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2"/>
        </w:rPr>
        <w:t>Chapter Insert: Harmonic Orientation and the QV State</w:t>
      </w:r>
    </w:p>
    <w:p>
      <w:r>
        <w:rPr>
          <w:b/>
          <w:sz w:val="22"/>
        </w:rPr>
        <w:t>Editorial Note</w:t>
        <w:br/>
      </w:r>
      <w:r>
        <w:rPr>
          <w:sz w:val="22"/>
        </w:rPr>
        <w:t>The following section presents concepts as part of the proposed Universal Harmonic Theory framework. These definitions are theoretical and are not established scientific consensus.</w:t>
      </w:r>
    </w:p>
    <w:p>
      <w:pPr>
        <w:pStyle w:val="Heading2"/>
      </w:pPr>
      <w:r>
        <w:rPr>
          <w:sz w:val="22"/>
        </w:rPr>
        <w:t>Foundational Definition</w:t>
      </w:r>
    </w:p>
    <w:p>
      <w:r>
        <w:rPr>
          <w:sz w:val="22"/>
        </w:rPr>
        <w:t>QV is defined as the underlying harmonic state from which quantum behaviour emerges. It is not a smaller physical scale than the quantum domain, but a more fundamental harmonic description. Within the QV state, particle identity is preserved while trajectory, effective mass distribution, and harmonic orientation evolve through coherent harmonic interactions.</w:t>
      </w:r>
    </w:p>
    <w:p>
      <w:pPr>
        <w:pStyle w:val="Heading2"/>
      </w:pPr>
      <w:r>
        <w:rPr>
          <w:sz w:val="22"/>
        </w:rPr>
        <w:t>Harmonic Orientation</w:t>
      </w:r>
    </w:p>
    <w:p>
      <w:r>
        <w:rPr>
          <w:sz w:val="22"/>
        </w:rPr>
        <w:t>Within this framework, quantum spin is interpreted as a mathematical descriptor of harmonic orientation rather than a physical rotation. The observed quantum state is proposed to reflect orientation within the underlying harmonic field. Harmonic orientation is defined independently from local planetary gravity and is instead associated with the surrounding spacetime gravitational-wave structure as represented by the QV state.</w:t>
      </w:r>
    </w:p>
    <w:p>
      <w:pPr>
        <w:pStyle w:val="Heading2"/>
      </w:pPr>
      <w:r>
        <w:rPr>
          <w:sz w:val="22"/>
        </w:rPr>
        <w:t>Framework Equations</w:t>
      </w:r>
    </w:p>
    <w:p>
      <w:r>
        <w:rPr>
          <w:sz w:val="22"/>
        </w:rPr>
        <w:t>QV ≡ (ZNE ⊕ ZNY)_(C,G)</w:t>
      </w:r>
    </w:p>
    <w:p>
      <w:r>
        <w:rPr>
          <w:sz w:val="22"/>
        </w:rPr>
        <w:t>P_S(QV) → {T, M_d, R_h}</w:t>
      </w:r>
    </w:p>
    <w:p>
      <w:pPr>
        <w:pStyle w:val="Heading2"/>
      </w:pPr>
      <w:r>
        <w:rPr>
          <w:sz w:val="22"/>
        </w:rPr>
        <w:t>Definitions</w:t>
      </w:r>
    </w:p>
    <w:p>
      <w:pPr>
        <w:pStyle w:val="ListBullet"/>
      </w:pPr>
      <w:r>
        <w:rPr>
          <w:sz w:val="22"/>
        </w:rPr>
        <w:t>ZNE = Zero Neutral Equilibrium</w:t>
      </w:r>
    </w:p>
    <w:p>
      <w:pPr>
        <w:pStyle w:val="ListBullet"/>
      </w:pPr>
      <w:r>
        <w:rPr>
          <w:sz w:val="22"/>
        </w:rPr>
        <w:t>ZNY = Zero Neutral Yield</w:t>
      </w:r>
    </w:p>
    <w:p>
      <w:pPr>
        <w:pStyle w:val="ListBullet"/>
      </w:pPr>
      <w:r>
        <w:rPr>
          <w:sz w:val="22"/>
        </w:rPr>
        <w:t>⊕ = Harmonic coupling operator</w:t>
      </w:r>
    </w:p>
    <w:p>
      <w:pPr>
        <w:pStyle w:val="ListBullet"/>
      </w:pPr>
      <w:r>
        <w:rPr>
          <w:sz w:val="22"/>
        </w:rPr>
        <w:t>H(C,G) = C–G harmonic resonance</w:t>
      </w:r>
    </w:p>
    <w:p>
      <w:pPr>
        <w:pStyle w:val="ListBullet"/>
      </w:pPr>
      <w:r>
        <w:rPr>
          <w:sz w:val="22"/>
        </w:rPr>
        <w:t>P_S = Scatter-field propagation</w:t>
      </w:r>
    </w:p>
    <w:p>
      <w:pPr>
        <w:pStyle w:val="ListBullet"/>
      </w:pPr>
      <w:r>
        <w:rPr>
          <w:sz w:val="22"/>
        </w:rPr>
        <w:t>T = Trajectory</w:t>
      </w:r>
    </w:p>
    <w:p>
      <w:pPr>
        <w:pStyle w:val="ListBullet"/>
      </w:pPr>
      <w:r>
        <w:rPr>
          <w:sz w:val="22"/>
        </w:rPr>
        <w:t>M_d = Effective mass distribution</w:t>
      </w:r>
    </w:p>
    <w:p>
      <w:pPr>
        <w:pStyle w:val="ListBullet"/>
      </w:pPr>
      <w:r>
        <w:rPr>
          <w:sz w:val="22"/>
        </w:rPr>
        <w:t>R_h = Harmonic orientation</w:t>
      </w:r>
    </w:p>
    <w:p>
      <w:pPr>
        <w:pStyle w:val="Heading2"/>
      </w:pPr>
      <w:r>
        <w:rPr>
          <w:sz w:val="22"/>
        </w:rPr>
        <w:t>Ethical Statement</w:t>
      </w:r>
    </w:p>
    <w:p>
      <w:r>
        <w:rPr>
          <w:sz w:val="22"/>
        </w:rPr>
        <w:t>If this framework were ever supported by empirical evidence, any practical application capable of modifying matter, energy, gravitation, or spacetime would require rigorous independent validation, transparent scientific review, and appropriate ethical oversight before any real-world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