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2"/>
        </w:rPr>
        <w:t>Chapter Insert – Harmonic Resonance and Equilibrium</w:t>
      </w:r>
    </w:p>
    <w:p>
      <w:pPr>
        <w:pStyle w:val="Heading2"/>
      </w:pPr>
      <w:r>
        <w:rPr>
          <w:sz w:val="22"/>
        </w:rPr>
        <w:t>16.X Harmonic Resonance and Equilibrium</w:t>
      </w:r>
    </w:p>
    <w:p>
      <w:r>
        <w:rPr>
          <w:sz w:val="22"/>
        </w:rPr>
        <w:t>Within the proposed Universal Harmonic Theory, harmonic equilibrium is defined by the coherent interaction of Zero Neutral Equilibrium (ZNE) and Zero Neutral Yield (ZNY). Their harmonic coupling establishes the underlying QV state through which coherent scatter-field propagation is proposed to occur.</w:t>
      </w:r>
    </w:p>
    <w:p>
      <w:pPr>
        <w:pStyle w:val="Heading2"/>
      </w:pPr>
      <w:r>
        <w:rPr>
          <w:sz w:val="22"/>
        </w:rPr>
        <w:t>Framework Relations</w:t>
      </w:r>
    </w:p>
    <w:p>
      <w:r>
        <w:rPr>
          <w:sz w:val="22"/>
        </w:rPr>
        <w:t>QV ≡ (ZNE ⊕ ZNY)_(C,G)</w:t>
      </w:r>
    </w:p>
    <w:p>
      <w:r>
        <w:rPr>
          <w:sz w:val="22"/>
        </w:rPr>
        <w:t>P_S(QV) = (ZNE ⊕ ZNY)_(C,G)</w:t>
      </w:r>
    </w:p>
    <w:p>
      <w:pPr>
        <w:pStyle w:val="Heading2"/>
      </w:pPr>
      <w:r>
        <w:rPr>
          <w:sz w:val="22"/>
        </w:rPr>
        <w:t>C–G Harmonic Resonance</w:t>
      </w:r>
    </w:p>
    <w:p>
      <w:r>
        <w:rPr>
          <w:sz w:val="22"/>
        </w:rPr>
        <w:t>y(t) = A_C sin(2π f_C t) + A_G sin(2π f_G t)</w:t>
      </w:r>
    </w:p>
    <w:p>
      <w:r>
        <w:rPr>
          <w:sz w:val="22"/>
        </w:rPr>
        <w:t>f_G = 3/2 f_C</w:t>
      </w:r>
    </w:p>
    <w:p>
      <w:r>
        <w:rPr>
          <w:sz w:val="22"/>
        </w:rPr>
        <w:t>Within this framework, the exact 3:2 C–G harmonic ratio is proposed to maintain harmonic equilibrium between ZNE and ZNY. This equilibrium establishes the coherent QV state, from which unified scatter-field propagation is hypothesized to emerge while preserving the continuity of the matter configuration.</w:t>
      </w:r>
    </w:p>
    <w:p>
      <w:pPr>
        <w:pStyle w:val="Heading2"/>
      </w:pPr>
      <w:r>
        <w:rPr>
          <w:sz w:val="22"/>
        </w:rPr>
        <w:t>Definitions</w:t>
      </w:r>
    </w:p>
    <w:p>
      <w:pPr>
        <w:pStyle w:val="ListBullet"/>
      </w:pPr>
      <w:r>
        <w:rPr>
          <w:sz w:val="22"/>
        </w:rPr>
        <w:t>ZNE — Zero Neutral Equilibrium</w:t>
      </w:r>
    </w:p>
    <w:p>
      <w:pPr>
        <w:pStyle w:val="ListBullet"/>
      </w:pPr>
      <w:r>
        <w:rPr>
          <w:sz w:val="22"/>
        </w:rPr>
        <w:t>ZNY — Harmonic balancing relationship</w:t>
      </w:r>
    </w:p>
    <w:p>
      <w:pPr>
        <w:pStyle w:val="ListBullet"/>
      </w:pPr>
      <w:r>
        <w:rPr>
          <w:sz w:val="22"/>
        </w:rPr>
        <w:t>QV — Underlying harmonic state</w:t>
      </w:r>
    </w:p>
    <w:p>
      <w:pPr>
        <w:pStyle w:val="ListBullet"/>
      </w:pPr>
      <w:r>
        <w:rPr>
          <w:sz w:val="22"/>
        </w:rPr>
        <w:t>P_S — Scatter-field propagation</w:t>
      </w:r>
    </w:p>
    <w:p>
      <w:pPr>
        <w:pStyle w:val="ListBullet"/>
      </w:pPr>
      <w:r>
        <w:rPr>
          <w:sz w:val="22"/>
        </w:rPr>
        <w:t>A_C, A_G — Harmonic amplitudes of the C and G resonances</w:t>
      </w:r>
    </w:p>
    <w:p>
      <w:pPr>
        <w:pStyle w:val="ListBullet"/>
      </w:pPr>
      <w:r>
        <w:rPr>
          <w:sz w:val="22"/>
        </w:rPr>
        <w:t>f_C, f_G — Fundamental C frequency and resonant G frequency (3:2 ratio)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