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Chapter Insert: ZNE–ZNY Harmonic Axiom</w:t>
      </w:r>
    </w:p>
    <w:p>
      <w:r>
        <w:rPr>
          <w:b/>
          <w:sz w:val="22"/>
        </w:rPr>
        <w:t>Foundational Definition</w:t>
        <w:br/>
      </w:r>
      <w:r>
        <w:rPr>
          <w:sz w:val="22"/>
        </w:rPr>
        <w:t>Within this theoretical framework:</w:t>
        <w:br/>
        <w:br/>
        <w:t>ZNE ⊕ ZNY → H(C,G)</w:t>
        <w:br/>
        <w:br/>
        <w:t>where:</w:t>
        <w:br/>
        <w:t>• ZNE = Zero Neutral Equilibrium</w:t>
        <w:br/>
        <w:t>• ZNY = Zero Neutral Yield</w:t>
        <w:br/>
        <w:t>• ⊕ = Harmonic coupling operator</w:t>
        <w:br/>
        <w:t>• H(C,G) = Perfect C–G Harmonic State</w:t>
        <w:br/>
        <w:br/>
        <w:t>Concise Statement</w:t>
        <w:br/>
        <w:t>Zero Neutral Equilibrium harmonically coupled with Zero Neutral Yield produces the Perfect C–G Harmonic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