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 Magnetic Wave Propulsion Within an Ionized Field</w:t>
      </w:r>
    </w:p>
    <w:p>
      <w:r>
        <w:t>This chapter presents a speculative proposal within the Universal Harmonic Theory and should be interpreted as a theoretical framework rather than an experimentally validated model.</w:t>
        <w:br/>
        <w:br/>
        <w:t>Within the Universal Harmonic framework, an ionized medium (plasma) provides a dynamic environment in which electromagnetic fields may be organised into coherent propagating structures. Rather than relying solely upon conventional reaction mass, propulsion is hypothesised to arise through harmonic interactions between a controlled ionized plasma, oscillating magnetic fields, harmonic resonance between the reference C and G frequencies, and the equilibrium operators ZNE and ZNY.</w:t>
        <w:br/>
        <w:br/>
        <w:t>Magnetic field representation:</w:t>
        <w:br/>
        <w:br/>
        <w:t>B(r,t) = B0 sin(kr − ωt + φ)</w:t>
        <w:br/>
        <w:br/>
        <w:t>where B0 is the magnetic field amplitude, k the wave number, ω the angular frequency, and φ the harmonic phase.</w:t>
        <w:br/>
        <w:br/>
        <w:t>Within this hypothesis the plasma responds collectively to the travelling magnetic field, producing a coherent harmonic structure instead of simply accelerating individual charged particles.</w:t>
        <w:br/>
        <w:br/>
        <w:t>Universal Harmonic balance:</w:t>
        <w:br/>
        <w:br/>
        <w:t>ΨH = ZNE + ZNY + C:G</w:t>
        <w:br/>
        <w:br/>
        <w:t>where ZNE represents positive harmonic equilibrium, ZNY represents negative harmonic equilibrium, and C:G denotes the harmonic resonance relationship.</w:t>
        <w:br/>
        <w:br/>
        <w:t>The theory further proposes that propulsion arises through a local redistribution of harmonic field density,</w:t>
        <w:br/>
        <w:br/>
        <w:t>∇H ≠ 0,</w:t>
        <w:br/>
        <w:br/>
        <w:t>while maintaining overall conservation,</w:t>
        <w:br/>
        <w:br/>
        <w:t>ΔHtotal = 0.</w:t>
        <w:br/>
        <w:br/>
        <w:t>In this interpretation the surrounding harmonic field is locally reconfigured rather than energy being created. If coherent plasma resonance can be sustained, the framework predicts reduced inertial coupling, localised gravitational perturbation, harmonic scatter-field formation, spatial phase displacement, and, hypothetically, co-location under sufficiently coherent harmonic conditions.</w:t>
        <w:br/>
        <w:br/>
        <w:t>Future development would require explicit mathematical coupling between plasma physics, Maxwell's equations, and any new field equations proposed by the Universal Harmonic Theory. These ideas remain speculative and require experimental verification before they could be considered established physics.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