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F6242" w14:textId="79345C17" w:rsidR="006E4993" w:rsidRDefault="007E3D30" w:rsidP="007E3D30">
      <w:pPr>
        <w:jc w:val="center"/>
        <w:rPr>
          <w:rFonts w:ascii="Arial" w:hAnsi="Arial" w:cs="Arial"/>
        </w:rPr>
      </w:pPr>
      <w:r w:rsidRPr="007E3D30">
        <w:rPr>
          <w:rFonts w:ascii="Arial" w:hAnsi="Arial" w:cs="Arial"/>
          <w:b/>
          <w:bCs/>
        </w:rPr>
        <w:t xml:space="preserve">A2A </w:t>
      </w:r>
      <w:proofErr w:type="spellStart"/>
      <w:r w:rsidRPr="007E3D30">
        <w:rPr>
          <w:rFonts w:ascii="Arial" w:hAnsi="Arial" w:cs="Arial"/>
          <w:b/>
          <w:bCs/>
        </w:rPr>
        <w:t>Reorganized</w:t>
      </w:r>
      <w:proofErr w:type="spellEnd"/>
      <w:r w:rsidRPr="007E3D30">
        <w:rPr>
          <w:rFonts w:ascii="Arial" w:hAnsi="Arial" w:cs="Arial"/>
          <w:b/>
          <w:bCs/>
        </w:rPr>
        <w:t xml:space="preserve"> Financial </w:t>
      </w:r>
      <w:proofErr w:type="spellStart"/>
      <w:r w:rsidRPr="007E3D30">
        <w:rPr>
          <w:rFonts w:ascii="Arial" w:hAnsi="Arial" w:cs="Arial"/>
          <w:b/>
          <w:bCs/>
        </w:rPr>
        <w:t>Statements</w:t>
      </w:r>
      <w:proofErr w:type="spellEnd"/>
      <w:r w:rsidRPr="007E3D30">
        <w:rPr>
          <w:rFonts w:ascii="Arial" w:hAnsi="Arial" w:cs="Arial"/>
          <w:b/>
          <w:bCs/>
        </w:rPr>
        <w:t xml:space="preserve"> </w:t>
      </w:r>
    </w:p>
    <w:p w14:paraId="68BDD6D7" w14:textId="55E7D2F1" w:rsidR="007E3D30" w:rsidRDefault="007E3D30" w:rsidP="007E3D30">
      <w:pPr>
        <w:jc w:val="center"/>
        <w:rPr>
          <w:rFonts w:ascii="Arial" w:hAnsi="Arial" w:cs="Arial"/>
        </w:rPr>
      </w:pPr>
    </w:p>
    <w:p w14:paraId="3994436A" w14:textId="38D0337E" w:rsidR="007E3D30" w:rsidRDefault="007E3D30" w:rsidP="007E3D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Sources </w:t>
      </w:r>
    </w:p>
    <w:p w14:paraId="5143EC85" w14:textId="11E9E00D" w:rsidR="00AB495C" w:rsidRDefault="007E3D30" w:rsidP="00AB495C">
      <w:pPr>
        <w:pStyle w:val="Paragrafoelenco"/>
        <w:numPr>
          <w:ilvl w:val="0"/>
          <w:numId w:val="1"/>
        </w:numPr>
        <w:rPr>
          <w:rFonts w:ascii="Arial" w:hAnsi="Arial" w:cs="Arial"/>
          <w:lang w:val="en-GB"/>
        </w:rPr>
      </w:pPr>
      <w:r w:rsidRPr="00AB495C">
        <w:rPr>
          <w:rFonts w:ascii="Arial" w:hAnsi="Arial" w:cs="Arial"/>
          <w:lang w:val="en-GB"/>
        </w:rPr>
        <w:t>A</w:t>
      </w:r>
      <w:r w:rsidR="009A58AE" w:rsidRPr="00AB495C">
        <w:rPr>
          <w:rFonts w:ascii="Arial" w:hAnsi="Arial" w:cs="Arial"/>
          <w:lang w:val="en-GB"/>
        </w:rPr>
        <w:t>2A’disclosure since 2015: consolidated financial statements</w:t>
      </w:r>
      <w:r w:rsidR="00AB495C" w:rsidRPr="00AB495C">
        <w:rPr>
          <w:rFonts w:ascii="Arial" w:hAnsi="Arial" w:cs="Arial"/>
          <w:lang w:val="en-GB"/>
        </w:rPr>
        <w:t>,</w:t>
      </w:r>
      <w:r w:rsidR="00AB495C">
        <w:rPr>
          <w:rFonts w:ascii="Arial" w:hAnsi="Arial" w:cs="Arial"/>
          <w:lang w:val="en-GB"/>
        </w:rPr>
        <w:t xml:space="preserve"> future target reports. </w:t>
      </w:r>
    </w:p>
    <w:p w14:paraId="54451C00" w14:textId="1B948302" w:rsidR="00AB495C" w:rsidRDefault="002662E0" w:rsidP="00AB495C">
      <w:pPr>
        <w:pStyle w:val="Paragrafoelenco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A2A’s first quarter relations since 2015 until 2020, this in order to compute </w:t>
      </w:r>
      <w:r w:rsidR="00BE58D4">
        <w:rPr>
          <w:rFonts w:ascii="Arial" w:hAnsi="Arial" w:cs="Arial"/>
          <w:lang w:val="en-GB"/>
        </w:rPr>
        <w:t xml:space="preserve">LTM statements. </w:t>
      </w:r>
    </w:p>
    <w:p w14:paraId="2B72B3C0" w14:textId="6723DFF3" w:rsidR="00BE58D4" w:rsidRDefault="00BE58D4" w:rsidP="00BE58D4">
      <w:pPr>
        <w:rPr>
          <w:rFonts w:ascii="Arial" w:hAnsi="Arial" w:cs="Arial"/>
          <w:lang w:val="en-GB"/>
        </w:rPr>
      </w:pPr>
    </w:p>
    <w:p w14:paraId="66536A08" w14:textId="2801C087" w:rsidR="00BE58D4" w:rsidRPr="00E77FA2" w:rsidRDefault="00BE58D4" w:rsidP="00BE58D4">
      <w:pPr>
        <w:rPr>
          <w:rFonts w:ascii="Arial" w:hAnsi="Arial" w:cs="Arial"/>
          <w:b/>
          <w:bCs/>
          <w:lang w:val="en-GB"/>
        </w:rPr>
      </w:pPr>
      <w:r w:rsidRPr="00E77FA2">
        <w:rPr>
          <w:rFonts w:ascii="Arial" w:hAnsi="Arial" w:cs="Arial"/>
          <w:b/>
          <w:bCs/>
          <w:lang w:val="en-GB"/>
        </w:rPr>
        <w:t>Our wor</w:t>
      </w:r>
      <w:r w:rsidR="00E77FA2" w:rsidRPr="00E77FA2">
        <w:rPr>
          <w:rFonts w:ascii="Arial" w:hAnsi="Arial" w:cs="Arial"/>
          <w:b/>
          <w:bCs/>
          <w:lang w:val="en-GB"/>
        </w:rPr>
        <w:t xml:space="preserve">karound </w:t>
      </w:r>
    </w:p>
    <w:p w14:paraId="6643C838" w14:textId="5DB99CE4" w:rsidR="00E77FA2" w:rsidRDefault="00E77FA2" w:rsidP="00BE58D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First</w:t>
      </w:r>
      <w:r w:rsidR="00BC29E5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we have downloaded </w:t>
      </w:r>
      <w:r w:rsidR="007F4E84">
        <w:rPr>
          <w:rFonts w:ascii="Arial" w:hAnsi="Arial" w:cs="Arial"/>
          <w:lang w:val="en-GB"/>
        </w:rPr>
        <w:t xml:space="preserve">balance sheets and income statements (or P&amp;L) </w:t>
      </w:r>
      <w:r w:rsidR="00BC29E5">
        <w:rPr>
          <w:rFonts w:ascii="Arial" w:hAnsi="Arial" w:cs="Arial"/>
          <w:lang w:val="en-GB"/>
        </w:rPr>
        <w:t xml:space="preserve">from consolidated financial statements, we organized two excel sheets filled with all the details. </w:t>
      </w:r>
    </w:p>
    <w:p w14:paraId="323EFC09" w14:textId="45CD5067" w:rsidR="00BC29E5" w:rsidRDefault="00CD1325" w:rsidP="00BE58D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Then, we have created a sheet with the purpose of representing all </w:t>
      </w:r>
      <w:r w:rsidR="006C28D9">
        <w:rPr>
          <w:rFonts w:ascii="Arial" w:hAnsi="Arial" w:cs="Arial"/>
          <w:lang w:val="en-GB"/>
        </w:rPr>
        <w:t>restatements including a proper cash flows statement. The l</w:t>
      </w:r>
      <w:r w:rsidR="006701DC">
        <w:rPr>
          <w:rFonts w:ascii="Arial" w:hAnsi="Arial" w:cs="Arial"/>
          <w:lang w:val="en-GB"/>
        </w:rPr>
        <w:t xml:space="preserve">atter was structured to </w:t>
      </w:r>
      <w:r w:rsidR="00A312F5">
        <w:rPr>
          <w:rFonts w:ascii="Arial" w:hAnsi="Arial" w:cs="Arial"/>
          <w:lang w:val="en-GB"/>
        </w:rPr>
        <w:t>highlight</w:t>
      </w:r>
      <w:r w:rsidR="006701DC">
        <w:rPr>
          <w:rFonts w:ascii="Arial" w:hAnsi="Arial" w:cs="Arial"/>
          <w:lang w:val="en-GB"/>
        </w:rPr>
        <w:t xml:space="preserve"> NOPAT, Net Capex, changes in Net Working Capital, FCFF, FCFE, and equity movements. </w:t>
      </w:r>
      <w:r w:rsidR="00B005DE">
        <w:rPr>
          <w:rFonts w:ascii="Arial" w:hAnsi="Arial" w:cs="Arial"/>
          <w:lang w:val="en-GB"/>
        </w:rPr>
        <w:br/>
        <w:t xml:space="preserve">All in order to reconcile cash flow changes with bottom line of our prospect called NCF (net cash flow). </w:t>
      </w:r>
    </w:p>
    <w:p w14:paraId="70925073" w14:textId="382549CF" w:rsidR="00A312F5" w:rsidRDefault="00A312F5" w:rsidP="00BE58D4">
      <w:pPr>
        <w:rPr>
          <w:rFonts w:ascii="Arial" w:hAnsi="Arial" w:cs="Arial"/>
          <w:lang w:val="en-GB"/>
        </w:rPr>
      </w:pPr>
    </w:p>
    <w:p w14:paraId="098D51C2" w14:textId="46FA6681" w:rsidR="00A312F5" w:rsidRDefault="00D70F7B" w:rsidP="00BE58D4">
      <w:pPr>
        <w:rPr>
          <w:rFonts w:ascii="Arial" w:hAnsi="Arial" w:cs="Arial"/>
          <w:b/>
          <w:bCs/>
          <w:lang w:val="en-GB"/>
        </w:rPr>
      </w:pPr>
      <w:r w:rsidRPr="00521FC9">
        <w:drawing>
          <wp:anchor distT="0" distB="0" distL="114300" distR="114300" simplePos="0" relativeHeight="251658240" behindDoc="1" locked="0" layoutInCell="1" allowOverlap="1" wp14:anchorId="6B35DD78" wp14:editId="0888070B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4015105" cy="3968115"/>
            <wp:effectExtent l="0" t="0" r="4445" b="0"/>
            <wp:wrapTight wrapText="bothSides">
              <wp:wrapPolygon edited="0">
                <wp:start x="0" y="0"/>
                <wp:lineTo x="0" y="21465"/>
                <wp:lineTo x="21521" y="21465"/>
                <wp:lineTo x="2152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78" cy="39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2F5" w:rsidRPr="00A312F5">
        <w:rPr>
          <w:rFonts w:ascii="Arial" w:hAnsi="Arial" w:cs="Arial"/>
          <w:b/>
          <w:bCs/>
          <w:lang w:val="en-GB"/>
        </w:rPr>
        <w:t xml:space="preserve">Overview representation </w:t>
      </w:r>
    </w:p>
    <w:p w14:paraId="2E2F7B3B" w14:textId="77777777" w:rsidR="00D70F7B" w:rsidRPr="00D70F7B" w:rsidRDefault="00D70F7B" w:rsidP="00BE58D4">
      <w:pPr>
        <w:rPr>
          <w:rFonts w:ascii="Arial" w:hAnsi="Arial" w:cs="Arial"/>
          <w:i/>
          <w:iCs/>
          <w:lang w:val="en-GB"/>
        </w:rPr>
      </w:pPr>
      <w:r w:rsidRPr="00D70F7B">
        <w:rPr>
          <w:rFonts w:ascii="Arial" w:hAnsi="Arial" w:cs="Arial"/>
          <w:i/>
          <w:iCs/>
          <w:lang w:val="en-GB"/>
        </w:rPr>
        <w:t xml:space="preserve">Comment </w:t>
      </w:r>
    </w:p>
    <w:p w14:paraId="7D5F35EF" w14:textId="014C91BE" w:rsidR="00521FC9" w:rsidRPr="00B26931" w:rsidRDefault="001466A4" w:rsidP="00BE58D4">
      <w:pPr>
        <w:rPr>
          <w:rFonts w:ascii="Arial" w:hAnsi="Arial" w:cs="Arial"/>
          <w:sz w:val="20"/>
          <w:szCs w:val="20"/>
          <w:lang w:val="en-GB"/>
        </w:rPr>
      </w:pPr>
      <w:r w:rsidRPr="00B26931">
        <w:rPr>
          <w:rFonts w:ascii="Arial" w:hAnsi="Arial" w:cs="Arial"/>
          <w:sz w:val="20"/>
          <w:szCs w:val="20"/>
          <w:lang w:val="en-GB"/>
        </w:rPr>
        <w:t>Financial</w:t>
      </w:r>
      <w:r w:rsidR="002B117A" w:rsidRPr="00B26931">
        <w:rPr>
          <w:rFonts w:ascii="Arial" w:hAnsi="Arial" w:cs="Arial"/>
          <w:sz w:val="20"/>
          <w:szCs w:val="20"/>
          <w:lang w:val="en-GB"/>
        </w:rPr>
        <w:t>s</w:t>
      </w:r>
      <w:r w:rsidRPr="00B26931">
        <w:rPr>
          <w:rFonts w:ascii="Arial" w:hAnsi="Arial" w:cs="Arial"/>
          <w:sz w:val="20"/>
          <w:szCs w:val="20"/>
          <w:lang w:val="en-GB"/>
        </w:rPr>
        <w:t xml:space="preserve"> were composed by </w:t>
      </w:r>
      <w:r w:rsidR="00D70F7B" w:rsidRPr="00B26931">
        <w:rPr>
          <w:rFonts w:ascii="Arial" w:hAnsi="Arial" w:cs="Arial"/>
          <w:sz w:val="20"/>
          <w:szCs w:val="20"/>
          <w:lang w:val="en-GB"/>
        </w:rPr>
        <w:t xml:space="preserve">shareholdings and non-current financial assets. </w:t>
      </w:r>
    </w:p>
    <w:p w14:paraId="087B3441" w14:textId="410F01BA" w:rsidR="002B117A" w:rsidRPr="00B26931" w:rsidRDefault="002B117A" w:rsidP="00BE58D4">
      <w:pPr>
        <w:rPr>
          <w:rFonts w:ascii="Arial" w:hAnsi="Arial" w:cs="Arial"/>
          <w:sz w:val="20"/>
          <w:szCs w:val="20"/>
          <w:lang w:val="en-GB"/>
        </w:rPr>
      </w:pPr>
      <w:r w:rsidRPr="00B26931">
        <w:rPr>
          <w:rFonts w:ascii="Arial" w:hAnsi="Arial" w:cs="Arial"/>
          <w:sz w:val="20"/>
          <w:szCs w:val="20"/>
          <w:lang w:val="en-GB"/>
        </w:rPr>
        <w:t xml:space="preserve">Operating working capital includes only inventories, trade receivables and payables. </w:t>
      </w:r>
    </w:p>
    <w:p w14:paraId="77C20925" w14:textId="2F947BDF" w:rsidR="002B117A" w:rsidRPr="00B26931" w:rsidRDefault="002B117A" w:rsidP="00BE58D4">
      <w:pPr>
        <w:rPr>
          <w:rFonts w:ascii="Arial" w:hAnsi="Arial" w:cs="Arial"/>
          <w:sz w:val="20"/>
          <w:szCs w:val="20"/>
          <w:lang w:val="en-GB"/>
        </w:rPr>
      </w:pPr>
      <w:r w:rsidRPr="00B26931">
        <w:rPr>
          <w:rFonts w:ascii="Arial" w:hAnsi="Arial" w:cs="Arial"/>
          <w:sz w:val="20"/>
          <w:szCs w:val="20"/>
          <w:lang w:val="en-GB"/>
        </w:rPr>
        <w:t xml:space="preserve">Other assets and liabilities such as </w:t>
      </w:r>
      <w:r w:rsidR="00706A20" w:rsidRPr="00B26931">
        <w:rPr>
          <w:rFonts w:ascii="Arial" w:hAnsi="Arial" w:cs="Arial"/>
          <w:sz w:val="20"/>
          <w:szCs w:val="20"/>
          <w:lang w:val="en-GB"/>
        </w:rPr>
        <w:t xml:space="preserve">other non-current financial assets or tax liabilities were all included in </w:t>
      </w:r>
      <w:r w:rsidR="00B26931" w:rsidRPr="00B26931">
        <w:rPr>
          <w:rFonts w:ascii="Arial" w:hAnsi="Arial" w:cs="Arial"/>
          <w:sz w:val="20"/>
          <w:szCs w:val="20"/>
          <w:lang w:val="en-GB"/>
        </w:rPr>
        <w:t xml:space="preserve">residual part, in order to get net working capital. </w:t>
      </w:r>
    </w:p>
    <w:p w14:paraId="1FD29754" w14:textId="10F83F56" w:rsidR="00D70F7B" w:rsidRDefault="00D303D1" w:rsidP="00BE58D4">
      <w:pPr>
        <w:rPr>
          <w:rFonts w:ascii="Arial" w:hAnsi="Arial" w:cs="Arial"/>
          <w:sz w:val="20"/>
          <w:szCs w:val="20"/>
          <w:lang w:val="en-GB"/>
        </w:rPr>
      </w:pPr>
      <w:r w:rsidRPr="00D303D1">
        <w:rPr>
          <w:rFonts w:ascii="Arial" w:hAnsi="Arial" w:cs="Arial"/>
          <w:sz w:val="20"/>
          <w:szCs w:val="20"/>
          <w:lang w:val="en-GB"/>
        </w:rPr>
        <w:t xml:space="preserve">Residual items: </w:t>
      </w:r>
      <w:r w:rsidR="00364B26">
        <w:rPr>
          <w:rFonts w:ascii="Arial" w:hAnsi="Arial" w:cs="Arial"/>
          <w:sz w:val="20"/>
          <w:szCs w:val="20"/>
          <w:lang w:val="en-GB"/>
        </w:rPr>
        <w:t xml:space="preserve">net deferred taxes, provisions for risks and employees’ benefits. </w:t>
      </w:r>
    </w:p>
    <w:p w14:paraId="1EA27231" w14:textId="0B5781D3" w:rsidR="00364B26" w:rsidRDefault="00364B26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Summing all we got what we called Net Invested Capital (denominator for ROIC). </w:t>
      </w:r>
    </w:p>
    <w:p w14:paraId="371C39C5" w14:textId="3FD0F8EA" w:rsidR="00364B26" w:rsidRDefault="00132F24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Equity was maintained equal to reported whereas Debt </w:t>
      </w:r>
      <w:r w:rsidR="00696D95">
        <w:rPr>
          <w:rFonts w:ascii="Arial" w:hAnsi="Arial" w:cs="Arial"/>
          <w:sz w:val="20"/>
          <w:szCs w:val="20"/>
          <w:lang w:val="en-GB"/>
        </w:rPr>
        <w:t xml:space="preserve">included only financial liabilities (Long Term and short term). </w:t>
      </w:r>
    </w:p>
    <w:p w14:paraId="798E068F" w14:textId="6582DE2D" w:rsidR="00DD00EC" w:rsidRDefault="00DD00EC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Netting out cash and cash equivalents we obtained Net Debt (NFP). </w:t>
      </w:r>
      <w:r>
        <w:rPr>
          <w:rFonts w:ascii="Arial" w:hAnsi="Arial" w:cs="Arial"/>
          <w:sz w:val="20"/>
          <w:szCs w:val="20"/>
          <w:lang w:val="en-GB"/>
        </w:rPr>
        <w:br/>
        <w:t xml:space="preserve">Finally, sum of equity </w:t>
      </w:r>
      <w:r w:rsidR="008434A8">
        <w:rPr>
          <w:rFonts w:ascii="Arial" w:hAnsi="Arial" w:cs="Arial"/>
          <w:sz w:val="20"/>
          <w:szCs w:val="20"/>
          <w:lang w:val="en-GB"/>
        </w:rPr>
        <w:t xml:space="preserve">and Net Debt, called total capital employed must reconcile with NIC. </w:t>
      </w:r>
    </w:p>
    <w:p w14:paraId="6892527D" w14:textId="6090A793" w:rsidR="008434A8" w:rsidRDefault="00F63901" w:rsidP="00BE58D4">
      <w:pPr>
        <w:rPr>
          <w:rFonts w:ascii="Arial" w:hAnsi="Arial" w:cs="Arial"/>
          <w:i/>
          <w:iCs/>
          <w:sz w:val="20"/>
          <w:szCs w:val="20"/>
          <w:lang w:val="en-GB"/>
        </w:rPr>
      </w:pPr>
      <w:r w:rsidRPr="00F63901">
        <w:rPr>
          <w:i/>
          <w:iCs/>
        </w:rPr>
        <w:lastRenderedPageBreak/>
        <w:drawing>
          <wp:anchor distT="0" distB="0" distL="114300" distR="114300" simplePos="0" relativeHeight="251659264" behindDoc="1" locked="0" layoutInCell="1" allowOverlap="1" wp14:anchorId="2F7D298F" wp14:editId="0A75D5E1">
            <wp:simplePos x="0" y="0"/>
            <wp:positionH relativeFrom="column">
              <wp:posOffset>879</wp:posOffset>
            </wp:positionH>
            <wp:positionV relativeFrom="paragraph">
              <wp:posOffset>2882</wp:posOffset>
            </wp:positionV>
            <wp:extent cx="4235457" cy="2889885"/>
            <wp:effectExtent l="0" t="0" r="0" b="5715"/>
            <wp:wrapTight wrapText="bothSides">
              <wp:wrapPolygon edited="0">
                <wp:start x="0" y="0"/>
                <wp:lineTo x="0" y="21500"/>
                <wp:lineTo x="21470" y="21500"/>
                <wp:lineTo x="2147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7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3901">
        <w:rPr>
          <w:rFonts w:ascii="Arial" w:hAnsi="Arial" w:cs="Arial"/>
          <w:i/>
          <w:iCs/>
          <w:sz w:val="20"/>
          <w:szCs w:val="20"/>
          <w:lang w:val="en-GB"/>
        </w:rPr>
        <w:t xml:space="preserve">Comments </w:t>
      </w:r>
    </w:p>
    <w:p w14:paraId="28798E57" w14:textId="05242C8B" w:rsidR="00F63901" w:rsidRDefault="008F4353" w:rsidP="00BE58D4">
      <w:pPr>
        <w:rPr>
          <w:rFonts w:ascii="Arial" w:hAnsi="Arial" w:cs="Arial"/>
          <w:sz w:val="20"/>
          <w:szCs w:val="20"/>
          <w:lang w:val="en-GB"/>
        </w:rPr>
      </w:pPr>
      <w:r w:rsidRPr="008F4353">
        <w:rPr>
          <w:rFonts w:ascii="Arial" w:hAnsi="Arial" w:cs="Arial"/>
          <w:sz w:val="20"/>
          <w:szCs w:val="20"/>
          <w:lang w:val="en-GB"/>
        </w:rPr>
        <w:t>Revenues</w:t>
      </w:r>
      <w:r>
        <w:rPr>
          <w:rFonts w:ascii="Arial" w:hAnsi="Arial" w:cs="Arial"/>
          <w:sz w:val="20"/>
          <w:szCs w:val="20"/>
          <w:lang w:val="en-GB"/>
        </w:rPr>
        <w:t xml:space="preserve"> include both operating revenues (sales) and other ones. </w:t>
      </w:r>
    </w:p>
    <w:p w14:paraId="57CD9175" w14:textId="32EB4F46" w:rsidR="008F4353" w:rsidRDefault="008F4353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Operating costs include </w:t>
      </w:r>
      <w:r w:rsidR="00496F41">
        <w:rPr>
          <w:rFonts w:ascii="Arial" w:hAnsi="Arial" w:cs="Arial"/>
          <w:sz w:val="20"/>
          <w:szCs w:val="20"/>
          <w:lang w:val="en-GB"/>
        </w:rPr>
        <w:t xml:space="preserve">materials, services and other operating expenses. </w:t>
      </w:r>
    </w:p>
    <w:p w14:paraId="084CF298" w14:textId="0B03739C" w:rsidR="00496F41" w:rsidRDefault="00496F41" w:rsidP="00BE58D4">
      <w:pPr>
        <w:rPr>
          <w:rFonts w:ascii="Arial" w:hAnsi="Arial" w:cs="Arial"/>
          <w:sz w:val="20"/>
          <w:szCs w:val="20"/>
          <w:lang w:val="en-GB"/>
        </w:rPr>
      </w:pPr>
    </w:p>
    <w:p w14:paraId="1E76D89A" w14:textId="6820C1B0" w:rsidR="00496F41" w:rsidRPr="008F4353" w:rsidRDefault="00496F41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Financial items represent </w:t>
      </w:r>
      <w:r w:rsidR="007E7777">
        <w:rPr>
          <w:rFonts w:ascii="Arial" w:hAnsi="Arial" w:cs="Arial"/>
          <w:sz w:val="20"/>
          <w:szCs w:val="20"/>
          <w:lang w:val="en-GB"/>
        </w:rPr>
        <w:t>the net value obtained summing results from non</w:t>
      </w:r>
      <w:r w:rsidR="002577A3">
        <w:rPr>
          <w:rFonts w:ascii="Arial" w:hAnsi="Arial" w:cs="Arial"/>
          <w:sz w:val="20"/>
          <w:szCs w:val="20"/>
          <w:lang w:val="en-GB"/>
        </w:rPr>
        <w:t>-</w:t>
      </w:r>
      <w:r w:rsidR="007E7777">
        <w:rPr>
          <w:rFonts w:ascii="Arial" w:hAnsi="Arial" w:cs="Arial"/>
          <w:sz w:val="20"/>
          <w:szCs w:val="20"/>
          <w:lang w:val="en-GB"/>
        </w:rPr>
        <w:t xml:space="preserve">recurring transactions and financial balance. </w:t>
      </w:r>
    </w:p>
    <w:p w14:paraId="54B29F5A" w14:textId="2E7DF402" w:rsidR="00A312F5" w:rsidRPr="002577A3" w:rsidRDefault="002577A3" w:rsidP="00BE58D4">
      <w:pPr>
        <w:rPr>
          <w:rFonts w:ascii="Arial" w:hAnsi="Arial" w:cs="Arial"/>
          <w:sz w:val="20"/>
          <w:szCs w:val="20"/>
          <w:lang w:val="en-GB"/>
        </w:rPr>
      </w:pPr>
      <w:r w:rsidRPr="002577A3">
        <w:rPr>
          <w:rFonts w:ascii="Arial" w:hAnsi="Arial" w:cs="Arial"/>
          <w:sz w:val="20"/>
          <w:szCs w:val="20"/>
          <w:lang w:val="en-GB"/>
        </w:rPr>
        <w:t xml:space="preserve">Residual items are the same presented in consolidated income statement. In our analysis we used as NPL (Net Income) group result of the year. </w:t>
      </w:r>
    </w:p>
    <w:p w14:paraId="6A0B8814" w14:textId="77777777" w:rsidR="00B005DE" w:rsidRDefault="00B005DE" w:rsidP="00BE58D4">
      <w:pPr>
        <w:rPr>
          <w:rFonts w:ascii="Arial" w:hAnsi="Arial" w:cs="Arial"/>
          <w:lang w:val="en-GB"/>
        </w:rPr>
      </w:pPr>
    </w:p>
    <w:p w14:paraId="001DBFF0" w14:textId="5A394341" w:rsidR="00BC29E5" w:rsidRDefault="0091765F" w:rsidP="00BE58D4">
      <w:pPr>
        <w:rPr>
          <w:rFonts w:ascii="Arial" w:hAnsi="Arial" w:cs="Arial"/>
          <w:sz w:val="20"/>
          <w:szCs w:val="20"/>
          <w:lang w:val="en-GB"/>
        </w:rPr>
      </w:pPr>
      <w:r w:rsidRPr="0091765F">
        <w:drawing>
          <wp:anchor distT="0" distB="0" distL="114300" distR="114300" simplePos="0" relativeHeight="251660288" behindDoc="1" locked="0" layoutInCell="1" allowOverlap="1" wp14:anchorId="24AA8ACE" wp14:editId="0681C949">
            <wp:simplePos x="0" y="0"/>
            <wp:positionH relativeFrom="column">
              <wp:posOffset>879</wp:posOffset>
            </wp:positionH>
            <wp:positionV relativeFrom="paragraph">
              <wp:posOffset>-2784</wp:posOffset>
            </wp:positionV>
            <wp:extent cx="3839179" cy="4917684"/>
            <wp:effectExtent l="0" t="0" r="9525" b="0"/>
            <wp:wrapTight wrapText="bothSides">
              <wp:wrapPolygon edited="0">
                <wp:start x="0" y="0"/>
                <wp:lineTo x="0" y="21505"/>
                <wp:lineTo x="21546" y="21505"/>
                <wp:lineTo x="21546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179" cy="491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  <w:lang w:val="en-GB"/>
        </w:rPr>
        <w:t>In cash flow reorganization we started from E</w:t>
      </w:r>
      <w:r w:rsidR="007C59E8">
        <w:rPr>
          <w:rFonts w:ascii="Arial" w:hAnsi="Arial" w:cs="Arial"/>
          <w:sz w:val="20"/>
          <w:szCs w:val="20"/>
          <w:lang w:val="en-GB"/>
        </w:rPr>
        <w:t xml:space="preserve">BIT, we subtracted reported taxes and an additional item called Shield on financial items. This represent the additional taxes paid on a full equity firm. </w:t>
      </w:r>
    </w:p>
    <w:p w14:paraId="33087230" w14:textId="4126F78A" w:rsidR="007C59E8" w:rsidRDefault="007C59E8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 sum yields to what we called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Nopat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. </w:t>
      </w:r>
    </w:p>
    <w:p w14:paraId="0EF33B68" w14:textId="5DEFB592" w:rsidR="007C59E8" w:rsidRDefault="007C59E8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Then we highlighted changes from previous year to </w:t>
      </w:r>
      <w:r w:rsidR="007771B2">
        <w:rPr>
          <w:rFonts w:ascii="Arial" w:hAnsi="Arial" w:cs="Arial"/>
          <w:sz w:val="20"/>
          <w:szCs w:val="20"/>
          <w:lang w:val="en-GB"/>
        </w:rPr>
        <w:t xml:space="preserve">following of NWC (and WC) we considered </w:t>
      </w:r>
      <w:r w:rsidR="0032048C">
        <w:rPr>
          <w:rFonts w:ascii="Arial" w:hAnsi="Arial" w:cs="Arial"/>
          <w:sz w:val="20"/>
          <w:szCs w:val="20"/>
          <w:lang w:val="en-GB"/>
        </w:rPr>
        <w:t xml:space="preserve">with positive sign negative changes, this because the contribute in terms of cash is positive and </w:t>
      </w:r>
      <w:proofErr w:type="spellStart"/>
      <w:r w:rsidR="0032048C">
        <w:rPr>
          <w:rFonts w:ascii="Arial" w:hAnsi="Arial" w:cs="Arial"/>
          <w:sz w:val="20"/>
          <w:szCs w:val="20"/>
          <w:lang w:val="en-GB"/>
        </w:rPr>
        <w:t>viceversa</w:t>
      </w:r>
      <w:proofErr w:type="spellEnd"/>
      <w:r w:rsidR="0032048C">
        <w:rPr>
          <w:rFonts w:ascii="Arial" w:hAnsi="Arial" w:cs="Arial"/>
          <w:sz w:val="20"/>
          <w:szCs w:val="20"/>
          <w:lang w:val="en-GB"/>
        </w:rPr>
        <w:t xml:space="preserve">. </w:t>
      </w:r>
    </w:p>
    <w:p w14:paraId="50158C10" w14:textId="6EEE4F94" w:rsidR="0032048C" w:rsidRDefault="0032048C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For obtained what we called Net Capex </w:t>
      </w:r>
      <w:r w:rsidR="00D52039">
        <w:rPr>
          <w:rFonts w:ascii="Arial" w:hAnsi="Arial" w:cs="Arial"/>
          <w:sz w:val="20"/>
          <w:szCs w:val="20"/>
          <w:lang w:val="en-GB"/>
        </w:rPr>
        <w:t xml:space="preserve">considering changes in tangibles and intangibles in years </w:t>
      </w:r>
      <w:r w:rsidR="004640C1">
        <w:rPr>
          <w:rFonts w:ascii="Arial" w:hAnsi="Arial" w:cs="Arial"/>
          <w:sz w:val="20"/>
          <w:szCs w:val="20"/>
          <w:lang w:val="en-GB"/>
        </w:rPr>
        <w:t xml:space="preserve">and adding D&amp;A of current year. As we can see </w:t>
      </w:r>
      <w:r w:rsidR="003C1E89">
        <w:rPr>
          <w:rFonts w:ascii="Arial" w:hAnsi="Arial" w:cs="Arial"/>
          <w:sz w:val="20"/>
          <w:szCs w:val="20"/>
          <w:lang w:val="en-GB"/>
        </w:rPr>
        <w:t xml:space="preserve">its contribute is always negative: there were increases every year which reduced cash flow. </w:t>
      </w:r>
    </w:p>
    <w:p w14:paraId="476FC8CE" w14:textId="135AC0B1" w:rsidR="00391648" w:rsidRDefault="00391648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Then, D&amp;A was </w:t>
      </w:r>
      <w:r w:rsidR="00DE4F1D">
        <w:rPr>
          <w:rFonts w:ascii="Arial" w:hAnsi="Arial" w:cs="Arial"/>
          <w:sz w:val="20"/>
          <w:szCs w:val="20"/>
          <w:lang w:val="en-GB"/>
        </w:rPr>
        <w:t>subtracted</w:t>
      </w:r>
      <w:r>
        <w:rPr>
          <w:rFonts w:ascii="Arial" w:hAnsi="Arial" w:cs="Arial"/>
          <w:sz w:val="20"/>
          <w:szCs w:val="20"/>
          <w:lang w:val="en-GB"/>
        </w:rPr>
        <w:t xml:space="preserve">, </w:t>
      </w:r>
      <w:r w:rsidR="003F6815">
        <w:rPr>
          <w:rFonts w:ascii="Arial" w:hAnsi="Arial" w:cs="Arial"/>
          <w:sz w:val="20"/>
          <w:szCs w:val="20"/>
          <w:lang w:val="en-GB"/>
        </w:rPr>
        <w:t xml:space="preserve">non-cash cost which would have been counted two times otherwise. </w:t>
      </w:r>
    </w:p>
    <w:p w14:paraId="1B9EF07D" w14:textId="56F94147" w:rsidR="003F6815" w:rsidRDefault="00793214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What we called </w:t>
      </w:r>
      <m:oMath>
        <m:r>
          <w:rPr>
            <w:rFonts w:ascii="Cambria Math" w:hAnsi="Cambria Math" w:cs="Arial"/>
            <w:sz w:val="20"/>
            <w:szCs w:val="20"/>
            <w:lang w:val="en-GB"/>
          </w:rPr>
          <m:t>∆</m:t>
        </m:r>
      </m:oMath>
      <w:r>
        <w:rPr>
          <w:rFonts w:ascii="Arial" w:eastAsiaTheme="minorEastAsia" w:hAnsi="Arial" w:cs="Arial"/>
          <w:sz w:val="20"/>
          <w:szCs w:val="20"/>
          <w:lang w:val="en-GB"/>
        </w:rPr>
        <w:t xml:space="preserve"> (something) </w:t>
      </w:r>
      <w:r w:rsidR="00EA3A18">
        <w:rPr>
          <w:rFonts w:ascii="Arial" w:eastAsiaTheme="minorEastAsia" w:hAnsi="Arial" w:cs="Arial"/>
          <w:sz w:val="20"/>
          <w:szCs w:val="20"/>
          <w:lang w:val="en-GB"/>
        </w:rPr>
        <w:t xml:space="preserve">was changes </w:t>
      </w:r>
      <w:r w:rsidR="00C31F1C">
        <w:rPr>
          <w:rFonts w:ascii="Arial" w:eastAsiaTheme="minorEastAsia" w:hAnsi="Arial" w:cs="Arial"/>
          <w:sz w:val="20"/>
          <w:szCs w:val="20"/>
          <w:lang w:val="en-GB"/>
        </w:rPr>
        <w:t xml:space="preserve">in other residual items: with positive impact </w:t>
      </w:r>
      <w:r w:rsidR="000E031E">
        <w:rPr>
          <w:rFonts w:ascii="Arial" w:eastAsiaTheme="minorEastAsia" w:hAnsi="Arial" w:cs="Arial"/>
          <w:sz w:val="20"/>
          <w:szCs w:val="20"/>
          <w:lang w:val="en-GB"/>
        </w:rPr>
        <w:t xml:space="preserve">to cash </w:t>
      </w:r>
      <w:r w:rsidR="00C31F1C">
        <w:rPr>
          <w:rFonts w:ascii="Arial" w:eastAsiaTheme="minorEastAsia" w:hAnsi="Arial" w:cs="Arial"/>
          <w:sz w:val="20"/>
          <w:szCs w:val="20"/>
          <w:lang w:val="en-GB"/>
        </w:rPr>
        <w:t xml:space="preserve">if decreased and </w:t>
      </w:r>
      <w:proofErr w:type="spellStart"/>
      <w:r w:rsidR="00C31F1C">
        <w:rPr>
          <w:rFonts w:ascii="Arial" w:eastAsiaTheme="minorEastAsia" w:hAnsi="Arial" w:cs="Arial"/>
          <w:sz w:val="20"/>
          <w:szCs w:val="20"/>
          <w:lang w:val="en-GB"/>
        </w:rPr>
        <w:t>viceversa</w:t>
      </w:r>
      <w:proofErr w:type="spellEnd"/>
      <w:r w:rsidR="00C31F1C">
        <w:rPr>
          <w:rFonts w:ascii="Arial" w:eastAsiaTheme="minorEastAsia" w:hAnsi="Arial" w:cs="Arial"/>
          <w:sz w:val="20"/>
          <w:szCs w:val="20"/>
          <w:lang w:val="en-GB"/>
        </w:rPr>
        <w:t xml:space="preserve">. </w:t>
      </w:r>
    </w:p>
    <w:p w14:paraId="334A1B88" w14:textId="6AAE63DB" w:rsidR="000E031E" w:rsidRDefault="006B16D8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  <w:r>
        <w:rPr>
          <w:rFonts w:ascii="Arial" w:eastAsiaTheme="minorEastAsia" w:hAnsi="Arial" w:cs="Arial"/>
          <w:sz w:val="20"/>
          <w:szCs w:val="20"/>
          <w:lang w:val="en-GB"/>
        </w:rPr>
        <w:t xml:space="preserve">For other minor we have considered two items in income statement: minorities and net result from discontinued operations. </w:t>
      </w:r>
    </w:p>
    <w:p w14:paraId="3F39B9C7" w14:textId="245F811B" w:rsidR="006B16D8" w:rsidRDefault="006B16D8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  <w:r>
        <w:rPr>
          <w:rFonts w:ascii="Arial" w:eastAsiaTheme="minorEastAsia" w:hAnsi="Arial" w:cs="Arial"/>
          <w:sz w:val="20"/>
          <w:szCs w:val="20"/>
          <w:lang w:val="en-GB"/>
        </w:rPr>
        <w:lastRenderedPageBreak/>
        <w:t xml:space="preserve">Summing </w:t>
      </w:r>
      <w:proofErr w:type="spellStart"/>
      <w:r w:rsidR="00A248FF">
        <w:rPr>
          <w:rFonts w:ascii="Arial" w:eastAsiaTheme="minorEastAsia" w:hAnsi="Arial" w:cs="Arial"/>
          <w:sz w:val="20"/>
          <w:szCs w:val="20"/>
          <w:lang w:val="en-GB"/>
        </w:rPr>
        <w:t>Nopat</w:t>
      </w:r>
      <w:proofErr w:type="spellEnd"/>
      <w:r w:rsidR="00A248FF">
        <w:rPr>
          <w:rFonts w:ascii="Arial" w:eastAsiaTheme="minorEastAsia" w:hAnsi="Arial" w:cs="Arial"/>
          <w:sz w:val="20"/>
          <w:szCs w:val="20"/>
          <w:lang w:val="en-GB"/>
        </w:rPr>
        <w:t xml:space="preserve"> with </w:t>
      </w:r>
      <m:oMath>
        <m:r>
          <w:rPr>
            <w:rFonts w:ascii="Cambria Math" w:hAnsi="Cambria Math" w:cs="Arial"/>
            <w:sz w:val="20"/>
            <w:szCs w:val="20"/>
            <w:lang w:val="en-GB"/>
          </w:rPr>
          <m:t>∆</m:t>
        </m:r>
        <m:r>
          <w:rPr>
            <w:rFonts w:ascii="Cambria Math" w:hAnsi="Cambria Math" w:cs="Arial"/>
            <w:sz w:val="20"/>
            <w:szCs w:val="20"/>
            <w:lang w:val="en-GB"/>
          </w:rPr>
          <m:t xml:space="preserve"> </m:t>
        </m:r>
      </m:oMath>
      <w:r w:rsidR="00A248FF">
        <w:rPr>
          <w:rFonts w:ascii="Arial" w:eastAsiaTheme="minorEastAsia" w:hAnsi="Arial" w:cs="Arial"/>
          <w:sz w:val="20"/>
          <w:szCs w:val="20"/>
          <w:lang w:val="en-GB"/>
        </w:rPr>
        <w:t xml:space="preserve">NWC and with other items we got </w:t>
      </w:r>
      <w:r w:rsidR="00A248FF" w:rsidRPr="00AA46FF">
        <w:rPr>
          <w:rFonts w:ascii="Arial" w:eastAsiaTheme="minorEastAsia" w:hAnsi="Arial" w:cs="Arial"/>
          <w:sz w:val="20"/>
          <w:szCs w:val="20"/>
          <w:u w:val="single"/>
          <w:lang w:val="en-GB"/>
        </w:rPr>
        <w:t>Free Cash Flow to firm (FCFF).</w:t>
      </w:r>
      <w:r w:rsidR="00A248FF">
        <w:rPr>
          <w:rFonts w:ascii="Arial" w:eastAsiaTheme="minorEastAsia" w:hAnsi="Arial" w:cs="Arial"/>
          <w:sz w:val="20"/>
          <w:szCs w:val="20"/>
          <w:lang w:val="en-GB"/>
        </w:rPr>
        <w:t xml:space="preserve"> </w:t>
      </w:r>
    </w:p>
    <w:p w14:paraId="7EE8C0D9" w14:textId="44DA4872" w:rsidR="00A248FF" w:rsidRDefault="00A248FF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  <w:r>
        <w:rPr>
          <w:rFonts w:ascii="Arial" w:eastAsiaTheme="minorEastAsia" w:hAnsi="Arial" w:cs="Arial"/>
          <w:sz w:val="20"/>
          <w:szCs w:val="20"/>
          <w:lang w:val="en-GB"/>
        </w:rPr>
        <w:t>Then</w:t>
      </w:r>
      <w:r w:rsidR="00AA46FF">
        <w:rPr>
          <w:rFonts w:ascii="Arial" w:eastAsiaTheme="minorEastAsia" w:hAnsi="Arial" w:cs="Arial"/>
          <w:sz w:val="20"/>
          <w:szCs w:val="20"/>
          <w:lang w:val="en-GB"/>
        </w:rPr>
        <w:t>,</w:t>
      </w:r>
      <w:r>
        <w:rPr>
          <w:rFonts w:ascii="Arial" w:eastAsiaTheme="minorEastAsia" w:hAnsi="Arial" w:cs="Arial"/>
          <w:sz w:val="20"/>
          <w:szCs w:val="20"/>
          <w:lang w:val="en-GB"/>
        </w:rPr>
        <w:t xml:space="preserve"> </w:t>
      </w:r>
      <w:r w:rsidR="00356839">
        <w:rPr>
          <w:rFonts w:ascii="Arial" w:eastAsiaTheme="minorEastAsia" w:hAnsi="Arial" w:cs="Arial"/>
          <w:sz w:val="20"/>
          <w:szCs w:val="20"/>
          <w:lang w:val="en-GB"/>
        </w:rPr>
        <w:t xml:space="preserve">we subtracted financial items which were enlarged also by changes in financial fixed asset </w:t>
      </w:r>
      <w:r w:rsidR="000C6803">
        <w:rPr>
          <w:rFonts w:ascii="Arial" w:eastAsiaTheme="minorEastAsia" w:hAnsi="Arial" w:cs="Arial"/>
          <w:sz w:val="20"/>
          <w:szCs w:val="20"/>
          <w:lang w:val="en-GB"/>
        </w:rPr>
        <w:t xml:space="preserve">for each year, we considered changes in total debt </w:t>
      </w:r>
      <w:r w:rsidR="00AA46FF">
        <w:rPr>
          <w:rFonts w:ascii="Arial" w:eastAsiaTheme="minorEastAsia" w:hAnsi="Arial" w:cs="Arial"/>
          <w:sz w:val="20"/>
          <w:szCs w:val="20"/>
          <w:lang w:val="en-GB"/>
        </w:rPr>
        <w:t xml:space="preserve">(positive sign if issues were higher than repayments) and re-added previous shield on financial items in order to get </w:t>
      </w:r>
      <w:r w:rsidR="00AA46FF" w:rsidRPr="00AA46FF">
        <w:rPr>
          <w:rFonts w:ascii="Arial" w:eastAsiaTheme="minorEastAsia" w:hAnsi="Arial" w:cs="Arial"/>
          <w:sz w:val="20"/>
          <w:szCs w:val="20"/>
          <w:u w:val="single"/>
          <w:lang w:val="en-GB"/>
        </w:rPr>
        <w:t>Free Cash Flow to equity (FCFE).</w:t>
      </w:r>
      <w:r w:rsidR="00AA46FF">
        <w:rPr>
          <w:rFonts w:ascii="Arial" w:eastAsiaTheme="minorEastAsia" w:hAnsi="Arial" w:cs="Arial"/>
          <w:sz w:val="20"/>
          <w:szCs w:val="20"/>
          <w:lang w:val="en-GB"/>
        </w:rPr>
        <w:t xml:space="preserve"> </w:t>
      </w:r>
    </w:p>
    <w:p w14:paraId="051A0BF1" w14:textId="394C3A70" w:rsidR="00020C70" w:rsidRDefault="00020C70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  <w:r>
        <w:rPr>
          <w:rFonts w:ascii="Arial" w:eastAsiaTheme="minorEastAsia" w:hAnsi="Arial" w:cs="Arial"/>
          <w:sz w:val="20"/>
          <w:szCs w:val="20"/>
          <w:lang w:val="en-GB"/>
        </w:rPr>
        <w:t xml:space="preserve">Finally, from FCFE we subtracted equity movements obtained by subtracting </w:t>
      </w:r>
      <w:r w:rsidR="0070010F">
        <w:rPr>
          <w:rFonts w:ascii="Arial" w:eastAsiaTheme="minorEastAsia" w:hAnsi="Arial" w:cs="Arial"/>
          <w:sz w:val="20"/>
          <w:szCs w:val="20"/>
          <w:lang w:val="en-GB"/>
        </w:rPr>
        <w:t xml:space="preserve">NI from changes in equity for each year. This operation yields to what we called Net Cash Flow (NCF) which must be equal to changes in cash balances </w:t>
      </w:r>
      <w:r w:rsidR="00C06C8C">
        <w:rPr>
          <w:rFonts w:ascii="Arial" w:eastAsiaTheme="minorEastAsia" w:hAnsi="Arial" w:cs="Arial"/>
          <w:sz w:val="20"/>
          <w:szCs w:val="20"/>
          <w:lang w:val="en-GB"/>
        </w:rPr>
        <w:t xml:space="preserve">during the year (End value – Begin value). </w:t>
      </w:r>
    </w:p>
    <w:p w14:paraId="3C6AA1F2" w14:textId="61D390C9" w:rsidR="00C06C8C" w:rsidRDefault="00C06C8C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</w:p>
    <w:p w14:paraId="0C6660FD" w14:textId="326C7504" w:rsidR="00C06C8C" w:rsidRDefault="00BC53F4" w:rsidP="00BE58D4">
      <w:pPr>
        <w:rPr>
          <w:rFonts w:ascii="Arial" w:eastAsiaTheme="minorEastAsia" w:hAnsi="Arial" w:cs="Arial"/>
          <w:b/>
          <w:bCs/>
          <w:lang w:val="en-GB"/>
        </w:rPr>
      </w:pPr>
      <w:r>
        <w:rPr>
          <w:rFonts w:ascii="Arial" w:eastAsiaTheme="minorEastAsia" w:hAnsi="Arial" w:cs="Arial"/>
          <w:b/>
          <w:bCs/>
          <w:lang w:val="en-GB"/>
        </w:rPr>
        <w:t xml:space="preserve">Trailing 12 months </w:t>
      </w:r>
    </w:p>
    <w:p w14:paraId="05D1E04A" w14:textId="2019DA17" w:rsidR="00BC53F4" w:rsidRDefault="00BC53F4" w:rsidP="00BE58D4">
      <w:pPr>
        <w:rPr>
          <w:rFonts w:ascii="Arial" w:eastAsiaTheme="minorEastAsia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For knowledge purposes we performed also the reorganization according to trailing 12 months approach. </w:t>
      </w:r>
    </w:p>
    <w:p w14:paraId="1AD05895" w14:textId="31EDFD5F" w:rsidR="00BC53F4" w:rsidRPr="000C6AA9" w:rsidRDefault="00BC53F4" w:rsidP="00BC53F4">
      <w:pPr>
        <w:pStyle w:val="Paragrafoelenco"/>
        <w:numPr>
          <w:ilvl w:val="0"/>
          <w:numId w:val="2"/>
        </w:numPr>
        <w:rPr>
          <w:rFonts w:ascii="Arial" w:eastAsiaTheme="minorEastAsia" w:hAnsi="Arial" w:cs="Arial"/>
          <w:b/>
          <w:bCs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We obtained </w:t>
      </w:r>
      <w:r w:rsidR="000C6AA9">
        <w:rPr>
          <w:rFonts w:ascii="Arial" w:eastAsiaTheme="minorEastAsia" w:hAnsi="Arial" w:cs="Arial"/>
          <w:lang w:val="en-GB"/>
        </w:rPr>
        <w:t xml:space="preserve">most recent values for Balance Sheet Items from Quarterly reports. </w:t>
      </w:r>
    </w:p>
    <w:p w14:paraId="121DF8AF" w14:textId="6576FF52" w:rsidR="000C6AA9" w:rsidRPr="002710AF" w:rsidRDefault="000C6AA9" w:rsidP="00BC53F4">
      <w:pPr>
        <w:pStyle w:val="Paragrafoelenco"/>
        <w:numPr>
          <w:ilvl w:val="0"/>
          <w:numId w:val="2"/>
        </w:numPr>
        <w:rPr>
          <w:rFonts w:ascii="Arial" w:eastAsiaTheme="minorEastAsia" w:hAnsi="Arial" w:cs="Arial"/>
          <w:b/>
          <w:bCs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For what about P&amp;L we computed </w:t>
      </w:r>
      <w:r w:rsidR="00D24AE5">
        <w:rPr>
          <w:rFonts w:ascii="Arial" w:eastAsiaTheme="minorEastAsia" w:hAnsi="Arial" w:cs="Arial"/>
          <w:lang w:val="en-GB"/>
        </w:rPr>
        <w:t>LTM according to the following formula: each item would be equal to</w:t>
      </w:r>
      <w:r w:rsidR="00D16B40">
        <w:rPr>
          <w:rFonts w:ascii="Arial" w:eastAsiaTheme="minorEastAsia" w:hAnsi="Arial" w:cs="Arial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GB"/>
              </w:rPr>
              <m:t>Item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31-12-X</m:t>
            </m:r>
          </m:sub>
        </m:sSub>
        <m:r>
          <w:rPr>
            <w:rFonts w:ascii="Cambria Math" w:eastAsiaTheme="minorEastAsia" w:hAnsi="Cambria Math" w:cs="Arial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GB"/>
                  </w:rPr>
                  <m:t>Item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GB"/>
                  </w:rPr>
                  <m:t>31</m:t>
                </m:r>
                <m:r>
                  <w:rPr>
                    <w:rFonts w:ascii="Cambria Math" w:eastAsiaTheme="minorEastAsia" w:hAnsi="Cambria Math" w:cs="Arial"/>
                    <w:lang w:val="en-GB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en-GB"/>
                  </w:rPr>
                  <m:t>03</m:t>
                </m:r>
                <m:r>
                  <w:rPr>
                    <w:rFonts w:ascii="Cambria Math" w:eastAsiaTheme="minorEastAsia" w:hAnsi="Cambria Math" w:cs="Arial"/>
                    <w:lang w:val="en-GB"/>
                  </w:rPr>
                  <m:t>-X</m:t>
                </m:r>
                <m:r>
                  <w:rPr>
                    <w:rFonts w:ascii="Cambria Math" w:eastAsiaTheme="minorEastAsia" w:hAnsi="Cambria Math" w:cs="Arial"/>
                    <w:lang w:val="en-GB"/>
                  </w:rPr>
                  <m:t>+1</m:t>
                </m:r>
              </m:sub>
            </m:sSub>
            <m:r>
              <w:rPr>
                <w:rFonts w:ascii="Cambria Math" w:eastAsiaTheme="minorEastAsia" w:hAnsi="Cambria Math" w:cs="Arial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GB"/>
                  </w:rPr>
                  <m:t>Item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GB"/>
                  </w:rPr>
                  <m:t>31-03-X</m:t>
                </m:r>
              </m:sub>
            </m:sSub>
          </m:e>
        </m:d>
      </m:oMath>
    </w:p>
    <w:p w14:paraId="212DE7C0" w14:textId="586C16EA" w:rsidR="002710AF" w:rsidRPr="00625C5B" w:rsidRDefault="002710AF" w:rsidP="00BC53F4">
      <w:pPr>
        <w:pStyle w:val="Paragrafoelenco"/>
        <w:numPr>
          <w:ilvl w:val="0"/>
          <w:numId w:val="2"/>
        </w:numPr>
        <w:rPr>
          <w:rFonts w:ascii="Arial" w:eastAsiaTheme="minorEastAsia" w:hAnsi="Arial" w:cs="Arial"/>
          <w:b/>
          <w:bCs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For what about cash flows we </w:t>
      </w:r>
      <w:r w:rsidR="00625C5B">
        <w:rPr>
          <w:rFonts w:ascii="Arial" w:eastAsiaTheme="minorEastAsia" w:hAnsi="Arial" w:cs="Arial"/>
          <w:lang w:val="en-GB"/>
        </w:rPr>
        <w:t xml:space="preserve">rearranged in the same way results from BS and P&amp;L. </w:t>
      </w:r>
    </w:p>
    <w:p w14:paraId="026A607F" w14:textId="36A10509" w:rsidR="006A114E" w:rsidRPr="006A114E" w:rsidRDefault="0006428C" w:rsidP="006A114E">
      <w:pPr>
        <w:pStyle w:val="Paragrafoelenco"/>
        <w:numPr>
          <w:ilvl w:val="0"/>
          <w:numId w:val="2"/>
        </w:numPr>
        <w:rPr>
          <w:rFonts w:ascii="Arial" w:eastAsiaTheme="minorEastAsia" w:hAnsi="Arial" w:cs="Arial"/>
          <w:b/>
          <w:bCs/>
          <w:lang w:val="en-GB"/>
        </w:rPr>
      </w:pPr>
      <w:r w:rsidRPr="006A114E">
        <w:drawing>
          <wp:anchor distT="0" distB="0" distL="114300" distR="114300" simplePos="0" relativeHeight="251661312" behindDoc="1" locked="0" layoutInCell="1" allowOverlap="1" wp14:anchorId="11D9142C" wp14:editId="2F5C8A48">
            <wp:simplePos x="0" y="0"/>
            <wp:positionH relativeFrom="column">
              <wp:posOffset>-351155</wp:posOffset>
            </wp:positionH>
            <wp:positionV relativeFrom="paragraph">
              <wp:posOffset>313055</wp:posOffset>
            </wp:positionV>
            <wp:extent cx="3200400" cy="4084955"/>
            <wp:effectExtent l="0" t="0" r="0" b="0"/>
            <wp:wrapTight wrapText="bothSides">
              <wp:wrapPolygon edited="0">
                <wp:start x="0" y="0"/>
                <wp:lineTo x="0" y="21456"/>
                <wp:lineTo x="21471" y="21456"/>
                <wp:lineTo x="21471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C5B">
        <w:rPr>
          <w:rFonts w:ascii="Arial" w:eastAsiaTheme="minorEastAsia" w:hAnsi="Arial" w:cs="Arial"/>
          <w:lang w:val="en-GB"/>
        </w:rPr>
        <w:t xml:space="preserve">Of course, restatements were made using same syntax and </w:t>
      </w:r>
      <w:r w:rsidR="006A114E">
        <w:rPr>
          <w:rFonts w:ascii="Arial" w:eastAsiaTheme="minorEastAsia" w:hAnsi="Arial" w:cs="Arial"/>
          <w:lang w:val="en-GB"/>
        </w:rPr>
        <w:t xml:space="preserve">allocations. </w:t>
      </w:r>
    </w:p>
    <w:p w14:paraId="4A24618E" w14:textId="76B270DF" w:rsidR="006A114E" w:rsidRDefault="006A114E" w:rsidP="006A114E">
      <w:pPr>
        <w:rPr>
          <w:rFonts w:ascii="Arial" w:eastAsiaTheme="minorEastAsia" w:hAnsi="Arial" w:cs="Arial"/>
          <w:b/>
          <w:bCs/>
          <w:lang w:val="en-GB"/>
        </w:rPr>
      </w:pPr>
    </w:p>
    <w:p w14:paraId="75C3E574" w14:textId="40AAA1F8" w:rsidR="006A114E" w:rsidRPr="006A114E" w:rsidRDefault="006A114E" w:rsidP="006A114E">
      <w:pPr>
        <w:rPr>
          <w:rFonts w:ascii="Arial" w:eastAsiaTheme="minorEastAsia" w:hAnsi="Arial" w:cs="Arial"/>
          <w:b/>
          <w:bCs/>
          <w:lang w:val="en-GB"/>
        </w:rPr>
      </w:pPr>
    </w:p>
    <w:p w14:paraId="07ADE7EB" w14:textId="291FA8FE" w:rsidR="00AA46FF" w:rsidRDefault="00AA46FF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</w:p>
    <w:p w14:paraId="34E4EA03" w14:textId="67AFA560" w:rsidR="00AA46FF" w:rsidRDefault="0006428C" w:rsidP="00BE58D4">
      <w:pPr>
        <w:rPr>
          <w:rFonts w:ascii="Arial" w:hAnsi="Arial" w:cs="Arial"/>
          <w:sz w:val="20"/>
          <w:szCs w:val="20"/>
          <w:lang w:val="en-GB"/>
        </w:rPr>
      </w:pPr>
      <w:r w:rsidRPr="0006428C">
        <w:drawing>
          <wp:inline distT="0" distB="0" distL="0" distR="0" wp14:anchorId="5868422B" wp14:editId="1E6D8FD4">
            <wp:extent cx="3158490" cy="2690184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51" cy="270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A718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008FAEB4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329BCDDE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333647A4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43B61788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5E4EF8F4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34ECE314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169E4481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0E05200A" w14:textId="322B6C21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  <w:r w:rsidRPr="00E80001">
        <w:lastRenderedPageBreak/>
        <w:drawing>
          <wp:anchor distT="0" distB="0" distL="114300" distR="114300" simplePos="0" relativeHeight="251662336" behindDoc="1" locked="0" layoutInCell="1" allowOverlap="1" wp14:anchorId="54A0CF77" wp14:editId="02AA1091">
            <wp:simplePos x="0" y="0"/>
            <wp:positionH relativeFrom="column">
              <wp:posOffset>2644140</wp:posOffset>
            </wp:positionH>
            <wp:positionV relativeFrom="paragraph">
              <wp:posOffset>2540</wp:posOffset>
            </wp:positionV>
            <wp:extent cx="3381375" cy="4587240"/>
            <wp:effectExtent l="0" t="0" r="9525" b="3810"/>
            <wp:wrapTight wrapText="bothSides">
              <wp:wrapPolygon edited="0">
                <wp:start x="0" y="0"/>
                <wp:lineTo x="0" y="21528"/>
                <wp:lineTo x="21539" y="21528"/>
                <wp:lineTo x="21539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0E380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5BC0B6F2" w14:textId="0815379D" w:rsidR="00E80001" w:rsidRDefault="00E80001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All presented results allow us to get more updated information. </w:t>
      </w:r>
    </w:p>
    <w:p w14:paraId="253453B3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1FD504D3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64A5C8B0" w14:textId="326A60B1" w:rsidR="00E80001" w:rsidRDefault="00E80001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Anyway, for consistency reasons we did not used in our valuation analysis, this because </w:t>
      </w:r>
      <w:r w:rsidR="00F824E6">
        <w:rPr>
          <w:rFonts w:ascii="Arial" w:hAnsi="Arial" w:cs="Arial"/>
          <w:sz w:val="20"/>
          <w:szCs w:val="20"/>
          <w:lang w:val="en-GB"/>
        </w:rPr>
        <w:t xml:space="preserve">in computational procedures we considered data time series until 31/12/2019. </w:t>
      </w:r>
    </w:p>
    <w:p w14:paraId="360C4589" w14:textId="0FD46D71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63774544" w14:textId="559F7675" w:rsidR="00F824E6" w:rsidRDefault="00F824E6" w:rsidP="00BE58D4">
      <w:pPr>
        <w:rPr>
          <w:rFonts w:ascii="Arial" w:hAnsi="Arial" w:cs="Arial"/>
          <w:i/>
          <w:iCs/>
          <w:sz w:val="20"/>
          <w:szCs w:val="20"/>
          <w:lang w:val="en-GB"/>
        </w:rPr>
      </w:pPr>
      <w:r w:rsidRPr="00F824E6">
        <w:rPr>
          <w:rFonts w:ascii="Arial" w:hAnsi="Arial" w:cs="Arial"/>
          <w:i/>
          <w:iCs/>
          <w:sz w:val="20"/>
          <w:szCs w:val="20"/>
          <w:lang w:val="en-GB"/>
        </w:rPr>
        <w:t xml:space="preserve">Comments </w:t>
      </w:r>
    </w:p>
    <w:p w14:paraId="53CA2D30" w14:textId="7C0CF90E" w:rsidR="001C3DEA" w:rsidRDefault="00F824E6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It’s interesting to notice the Covid19 effect in LTM </w:t>
      </w:r>
      <w:r w:rsidR="00C46BC8">
        <w:rPr>
          <w:rFonts w:ascii="Arial" w:hAnsi="Arial" w:cs="Arial"/>
          <w:sz w:val="20"/>
          <w:szCs w:val="20"/>
          <w:lang w:val="en-GB"/>
        </w:rPr>
        <w:t xml:space="preserve">Income statement, </w:t>
      </w:r>
      <w:r w:rsidR="001C3DEA">
        <w:rPr>
          <w:rFonts w:ascii="Arial" w:hAnsi="Arial" w:cs="Arial"/>
          <w:sz w:val="20"/>
          <w:szCs w:val="20"/>
          <w:lang w:val="en-GB"/>
        </w:rPr>
        <w:t xml:space="preserve">revenues reported are slightly lower, this comes from the fact that reported values in Q1 2020 were lower than Q1 2019 reducing </w:t>
      </w:r>
      <w:r w:rsidR="005E138B">
        <w:rPr>
          <w:rFonts w:ascii="Arial" w:hAnsi="Arial" w:cs="Arial"/>
          <w:sz w:val="20"/>
          <w:szCs w:val="20"/>
          <w:lang w:val="en-GB"/>
        </w:rPr>
        <w:t xml:space="preserve">values in consolidated report for 2019. </w:t>
      </w:r>
    </w:p>
    <w:p w14:paraId="18BB92DD" w14:textId="344447B8" w:rsidR="005E138B" w:rsidRPr="00F824E6" w:rsidRDefault="005E138B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Anyway, in terms of </w:t>
      </w:r>
      <w:r w:rsidR="007655B8">
        <w:rPr>
          <w:rFonts w:ascii="Arial" w:hAnsi="Arial" w:cs="Arial"/>
          <w:sz w:val="20"/>
          <w:szCs w:val="20"/>
          <w:lang w:val="en-GB"/>
        </w:rPr>
        <w:t xml:space="preserve">EBITDA and EBIT this was diluted by drop in operational expenses: operational results are slightly better than in the year report. </w:t>
      </w:r>
      <w:bookmarkStart w:id="0" w:name="_GoBack"/>
      <w:bookmarkEnd w:id="0"/>
    </w:p>
    <w:sectPr w:rsidR="005E138B" w:rsidRPr="00F824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45E8D"/>
    <w:multiLevelType w:val="hybridMultilevel"/>
    <w:tmpl w:val="12F46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B10EF"/>
    <w:multiLevelType w:val="hybridMultilevel"/>
    <w:tmpl w:val="C2BEA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55"/>
    <w:rsid w:val="00020C70"/>
    <w:rsid w:val="0006428C"/>
    <w:rsid w:val="000C6803"/>
    <w:rsid w:val="000C6AA9"/>
    <w:rsid w:val="000E031E"/>
    <w:rsid w:val="00132F24"/>
    <w:rsid w:val="001466A4"/>
    <w:rsid w:val="001C3DEA"/>
    <w:rsid w:val="002577A3"/>
    <w:rsid w:val="002662E0"/>
    <w:rsid w:val="002710AF"/>
    <w:rsid w:val="002B117A"/>
    <w:rsid w:val="0032048C"/>
    <w:rsid w:val="00356839"/>
    <w:rsid w:val="00364B26"/>
    <w:rsid w:val="00391648"/>
    <w:rsid w:val="003C1E89"/>
    <w:rsid w:val="003F6815"/>
    <w:rsid w:val="004640C1"/>
    <w:rsid w:val="00496F41"/>
    <w:rsid w:val="00521FC9"/>
    <w:rsid w:val="005E138B"/>
    <w:rsid w:val="00625C5B"/>
    <w:rsid w:val="006701DC"/>
    <w:rsid w:val="00696D95"/>
    <w:rsid w:val="006A114E"/>
    <w:rsid w:val="006B16D8"/>
    <w:rsid w:val="006C28D9"/>
    <w:rsid w:val="006E4993"/>
    <w:rsid w:val="0070010F"/>
    <w:rsid w:val="00706A20"/>
    <w:rsid w:val="007655B8"/>
    <w:rsid w:val="007771B2"/>
    <w:rsid w:val="00793214"/>
    <w:rsid w:val="007C59E8"/>
    <w:rsid w:val="007E3D30"/>
    <w:rsid w:val="007E7777"/>
    <w:rsid w:val="007F4E84"/>
    <w:rsid w:val="008434A8"/>
    <w:rsid w:val="008F4353"/>
    <w:rsid w:val="0091765F"/>
    <w:rsid w:val="009A58AE"/>
    <w:rsid w:val="00A248FF"/>
    <w:rsid w:val="00A312F5"/>
    <w:rsid w:val="00AA46FF"/>
    <w:rsid w:val="00AB495C"/>
    <w:rsid w:val="00B005DE"/>
    <w:rsid w:val="00B26931"/>
    <w:rsid w:val="00BC29E5"/>
    <w:rsid w:val="00BC53F4"/>
    <w:rsid w:val="00BE58D4"/>
    <w:rsid w:val="00C06C8C"/>
    <w:rsid w:val="00C31F1C"/>
    <w:rsid w:val="00C46BC8"/>
    <w:rsid w:val="00CD1325"/>
    <w:rsid w:val="00D16B40"/>
    <w:rsid w:val="00D24AE5"/>
    <w:rsid w:val="00D303D1"/>
    <w:rsid w:val="00D50B55"/>
    <w:rsid w:val="00D52039"/>
    <w:rsid w:val="00D70F7B"/>
    <w:rsid w:val="00DD00EC"/>
    <w:rsid w:val="00DE4F1D"/>
    <w:rsid w:val="00E77FA2"/>
    <w:rsid w:val="00E80001"/>
    <w:rsid w:val="00EA3A18"/>
    <w:rsid w:val="00F63901"/>
    <w:rsid w:val="00F8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AA1C"/>
  <w15:chartTrackingRefBased/>
  <w15:docId w15:val="{7995D23B-951A-4D83-93FA-C1DCF4EE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3D3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932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33B9-238E-4911-BB6B-4B08562C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simone.luca.lucchesi@gmail.com</dc:creator>
  <cp:keywords/>
  <dc:description/>
  <cp:lastModifiedBy>simone.luca.lucchesi@gmail.com</cp:lastModifiedBy>
  <cp:revision>67</cp:revision>
  <dcterms:created xsi:type="dcterms:W3CDTF">2020-06-08T10:27:00Z</dcterms:created>
  <dcterms:modified xsi:type="dcterms:W3CDTF">2020-06-08T11:19:00Z</dcterms:modified>
</cp:coreProperties>
</file>