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Arial" w:hAnsi="Arial" w:eastAsia="Microsoft YaHei"/>
          <w:b/>
          <w:color w:val="0B2545"/>
          <w:sz w:val="40"/>
        </w:rPr>
        <w:t>Omni Collector 架构决策记录（ADR）</w:t>
      </w:r>
    </w:p>
    <w:p>
      <w:pPr>
        <w:spacing w:before="0" w:after="200" w:line="264" w:lineRule="auto"/>
      </w:pPr>
      <w:r>
        <w:rPr>
          <w:rFonts w:ascii="Arial" w:hAnsi="Arial" w:eastAsia="Microsoft YaHei"/>
          <w:b w:val="0"/>
          <w:color w:val="555555"/>
          <w:sz w:val="24"/>
        </w:rPr>
        <w:t>冲突裁决与修订台账  v1.0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920"/>
        <w:gridCol w:w="7440"/>
      </w:tblGrid>
      <w:tr>
        <w:trPr>
          <w:tblHeader w:val="true"/>
        </w:trPr>
        <w:tc>
          <w:tcPr>
            <w:tcW w:type="dxa" w:w="192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9"/>
              </w:rPr>
              <w:t>字段</w:t>
            </w:r>
          </w:p>
        </w:tc>
        <w:tc>
          <w:tcPr>
            <w:tcW w:type="dxa" w:w="744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版本 / 日期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v1.0  ·  2026-08-07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状态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已裁决，并已同步修订 PRD v4.2 与 SPEC v3.3（待团队复核确认）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适用范围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后续 TDD v1.x 编写、Codex / AI Coding Agent 任务下发与验收的唯一冲突裁决依据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优先级规则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用户 / 团队直接指令 &gt; TDD 架构冻结纪要（含两次会议结论）&gt; SPEC &gt; PRD；业务规则以 PRD 为准，技术实现以 TDD 为准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9"/>
              </w:rPr>
              <w:t>上游来源</w:t>
            </w:r>
          </w:p>
        </w:tc>
        <w:tc>
          <w:tcPr>
            <w:tcW w:type="dxa" w:w="74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9"/>
              </w:rPr>
              <w:t>PRD v4.1 · SPEC v3.2 · TDD 架构冻结纪要 · TDD 会议纪要（两次预备会议）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Arial" w:hAnsi="Arial" w:eastAsia="Microsoft YaHei"/>
          <w:b/>
          <w:color w:val="2E74B5"/>
          <w:sz w:val="32"/>
        </w:rPr>
        <w:t>一、背景与目的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sz w:val="22"/>
        </w:rPr>
        <w:t>背景：PRD v4.1、SPEC v3.2、TDD 架构冻结纪要与两次 TDD 会议纪要在通信方案、技术栈、实体模型、Cookie 存储、AI 批处理上限、测试策略等 12 个点上存在冲突或口径漂移。若直接进入 AI 编码，各 Task 会因文档矛盾产生实现分歧，返工成本高。</w:t>
      </w:r>
    </w:p>
    <w:p>
      <w:pPr>
        <w:spacing w:before="0" w:after="120" w:line="264" w:lineRule="auto"/>
      </w:pPr>
      <w:r>
        <w:rPr>
          <w:rFonts w:ascii="Arial" w:hAnsi="Arial" w:eastAsia="Microsoft YaHei"/>
          <w:b w:val="0"/>
          <w:sz w:val="22"/>
        </w:rPr>
        <w:t>目的：固化全部争议的最终裁决，形成单一裁决台账；同步修订 PRD（v4.2）与 SPEC（v3.3），保证文档链一致；后续 TDD 与 Codex 任务引用本 ADR 编号即可，无需重复讨论已裁决内容。</w:t>
      </w:r>
    </w:p>
    <w:p>
      <w:pPr>
        <w:pStyle w:val="Heading1"/>
        <w:keepNext/>
        <w:spacing w:before="240" w:after="120"/>
      </w:pPr>
      <w:r>
        <w:rPr>
          <w:rFonts w:ascii="Arial" w:hAnsi="Arial" w:eastAsia="Microsoft YaHei"/>
          <w:b/>
          <w:color w:val="2E74B5"/>
          <w:sz w:val="32"/>
        </w:rPr>
        <w:t>二、裁决原则</w:t>
      </w:r>
    </w:p>
    <w:p>
      <w:pPr>
        <w:pStyle w:val="ListNumber"/>
        <w:spacing w:after="160" w:line="280" w:lineRule="auto"/>
      </w:pPr>
      <w:r>
        <w:rPr>
          <w:rFonts w:ascii="Arial" w:hAnsi="Arial" w:eastAsia="Microsoft YaHei"/>
          <w:b w:val="0"/>
          <w:sz w:val="22"/>
        </w:rPr>
        <w:t>文档优先级（从高到低）：用户 / 团队直接指令 → TDD 架构冻结纪要（含两次会议结论）→ SPEC v3.3 → PRD v4.2。业务规则仍以 PRD 为权威，技术实现以 TDD 为权威。</w:t>
      </w:r>
    </w:p>
    <w:p>
      <w:pPr>
        <w:pStyle w:val="ListNumber"/>
        <w:spacing w:after="160" w:line="280" w:lineRule="auto"/>
      </w:pPr>
      <w:r>
        <w:rPr>
          <w:rFonts w:ascii="Arial" w:hAnsi="Arial" w:eastAsia="Microsoft YaHei"/>
          <w:b w:val="0"/>
          <w:sz w:val="22"/>
        </w:rPr>
        <w:t>本 ADR 裁决一经批准，任何功能开发任务不得推翻；如需变更，必须新增 ADR 条目并同步修订受影响文档。</w:t>
      </w:r>
    </w:p>
    <w:p>
      <w:pPr>
        <w:pStyle w:val="ListNumber"/>
        <w:spacing w:after="160" w:line="280" w:lineRule="auto"/>
      </w:pPr>
      <w:r>
        <w:rPr>
          <w:rFonts w:ascii="Arial" w:hAnsi="Arial" w:eastAsia="Microsoft YaHei"/>
          <w:b w:val="0"/>
          <w:sz w:val="22"/>
        </w:rPr>
        <w:t>所有裁决必须能直接转化为 TDD 的字段、接口或流程定义，禁止停留在原则层面无法落地。</w:t>
      </w:r>
    </w:p>
    <w:p>
      <w:pPr>
        <w:pStyle w:val="ListNumber"/>
        <w:spacing w:after="160" w:line="280" w:lineRule="auto"/>
      </w:pPr>
      <w:r>
        <w:rPr>
          <w:rFonts w:ascii="Arial" w:hAnsi="Arial" w:eastAsia="Microsoft YaHei"/>
          <w:b w:val="0"/>
          <w:sz w:val="22"/>
        </w:rPr>
        <w:t>涉及数据库结构、接口协议、数据模型的变更，必须通过新的设计任务完成，禁止在普通功能开发中临时修改。</w:t>
      </w:r>
    </w:p>
    <w:p>
      <w:pPr>
        <w:pStyle w:val="ListNumber"/>
        <w:spacing w:after="160" w:line="280" w:lineRule="auto"/>
      </w:pPr>
      <w:r>
        <w:rPr>
          <w:rFonts w:ascii="Arial" w:hAnsi="Arial" w:eastAsia="Microsoft YaHei"/>
          <w:b w:val="0"/>
          <w:sz w:val="22"/>
        </w:rPr>
        <w:t>TDD 由人工主导编写，不由 AI 自动生成；AI 仅承担整理、校验与一致性检查。</w:t>
      </w:r>
    </w:p>
    <w:p>
      <w:pPr>
        <w:pStyle w:val="Heading1"/>
        <w:keepNext/>
        <w:spacing w:before="240" w:after="120"/>
      </w:pPr>
      <w:r>
        <w:rPr>
          <w:rFonts w:ascii="Arial" w:hAnsi="Arial" w:eastAsia="Microsoft YaHei"/>
          <w:b/>
          <w:color w:val="2E74B5"/>
          <w:sz w:val="32"/>
        </w:rPr>
        <w:t>三、冲突裁决表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860"/>
        <w:gridCol w:w="1580"/>
        <w:gridCol w:w="1560"/>
        <w:gridCol w:w="4360"/>
        <w:gridCol w:w="1000"/>
      </w:tblGrid>
      <w:tr>
        <w:trPr>
          <w:tblHeader w:val="true"/>
        </w:trPr>
        <w:tc>
          <w:tcPr>
            <w:tcW w:type="dxa" w:w="86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158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争议点</w:t>
            </w:r>
          </w:p>
        </w:tc>
        <w:tc>
          <w:tcPr>
            <w:tcW w:type="dxa" w:w="156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涉及文档 / 章节</w:t>
            </w:r>
          </w:p>
        </w:tc>
        <w:tc>
          <w:tcPr>
            <w:tcW w:type="dxa" w:w="436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最终裁决（生效口径）</w:t>
            </w:r>
          </w:p>
        </w:tc>
        <w:tc>
          <w:tcPr>
            <w:tcW w:type="dxa" w:w="100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修订状态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ADR-001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通信主通道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SPEC S1 / S3.4 与 S13.1 / S16.1 互相矛盾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主通道：Local Socket（Windows：Named Pipe；macOS/Linux：Unix Domain Socket）+ WebSocket（命令 + 事件推送）；HTTP API 废弃为主通道，仅作调试兜底备选。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SPEC v3.3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ADR-002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技术栈与双引擎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SPEC 元信息 / S2.3 与 S1 / S16 不一致；TDD T2 裁决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统一 Node.js + TypeScript 单引擎，废除 Python、废除双引擎及备选实现；未来新增模块保持 TypeScript。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SPEC v3.3 / PRD v4.2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ADR-003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Adapter 接口语言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SPEC S11.2 标注 TypeScript 实为 Python 伪代码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BaseAdapter / PlatformAdapter 统一为 TypeScript 接口定义，完整定义移交 TDD。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SPEC v3.3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ADR-004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冷启动指标口径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SPEC S3.3 与 TDD T4.3 对原值的引用漂移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Engine 进程启动目标 ≤3 秒（不含浏览器加载）；Playwright 仅在需要访问平台时延迟加载，加载硬性上限 15 秒；TDD 中“SPEC 原值 ≤10 秒”的引用作废。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SPEC v3.3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ADR-005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Cookie 存储方案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PRD 25.2 与 26.1 / 31.3 矛盾；TDD T10 裁决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V1：加密文件方案（用户数据目录 cookies/*.enc），由 Engine 统一管理，Plugin 不接触 Cookie；后续可升级 macOS Keychain / Windows Credential Manager。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PRD v4.2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ADR-006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organize_status / priority 权威层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PRD 22.2（用户区 Markdown）与 SPEC S8.1（SQLite 状态机）冲突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用户整理状态与优先级权威来源为 Markdown 用户区；SQLite 保存同步副本，供查询、过滤、排序与状态机流转使用，规则同 user_notes。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SPEC v3.3 / PRD v4.2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ADR-007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AI 批处理上限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PRD 13.4（50 条）与 PRD 19.1 / SPEC S9.3（100 条）冲突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统一为单批 ≤100 条；PRD 13.4 的 50 条口径作废。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PRD v4.2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ADR-008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测试策略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SPEC S14.3 / S15.2 / S16.2 与 TDD T11 冲突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第一阶段采用 Milestone Testing（里程碑功能验收）；Repository / Migration / Adapter关键模块保留最小自动化测试；Task 验收方式允许“手动验证”。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SPEC v3.3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ADR-009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Engine 进程状态机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SPEC S8.4 与二次会议状态机命名不一致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统一为 OFF → STARTING → READY → RUNNING → IDLE → STOPPING → OFF；异常分支 STARTING → FAILED、RUNNING → ERROR（重试或关闭推送错误日志）；IDLE 由 Plugin 决定关闭或继续。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SPEC v3.3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ADR-010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实体模型命名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PRD 4 / 25.1 / 27 / 28（Content Entity）与 SPEC S5.1、TDD T8（ContentGroup）不一致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统一 ContentGroup + Collection 双层模型；废除“Content Entity / content_entities / entity_id”命名；关联关系通过 collection_group_mapping 映射表承载。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已修订 PRD v4.2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ADR-011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Markdown 生成职责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SPEC S7 表述与 TDD T6.3 裁决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Plugin 负责生成 / 更新 Markdown（含系统区），Engine 仅返回标准化 DTO，不触碰 Obsidian API；SPEC 表述复核通过，无需修改。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保持（TDD 已冻结）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ADR-012</w:t>
            </w:r>
          </w:p>
        </w:tc>
        <w:tc>
          <w:tcPr>
            <w:tcW w:type="dxa" w:w="15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文档优先级与变更规则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TDD T1.2 / T13 强约束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文档冲突时以 TDD 架构冻结纪要为准；数据库 / 接口 / 数据模型变更必须新增设计任务；TDD 由人工主导编写，不由 AI 自动生成。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保持（TDD 已冻结）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Arial" w:hAnsi="Arial" w:eastAsia="Microsoft YaHei"/>
          <w:b/>
          <w:color w:val="2E74B5"/>
          <w:sz w:val="32"/>
        </w:rPr>
        <w:t>四、补充冻结决策（新增项，非冲突）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860"/>
        <w:gridCol w:w="1560"/>
        <w:gridCol w:w="5400"/>
        <w:gridCol w:w="1540"/>
      </w:tblGrid>
      <w:tr>
        <w:trPr>
          <w:tblHeader w:val="true"/>
        </w:trPr>
        <w:tc>
          <w:tcPr>
            <w:tcW w:type="dxa" w:w="86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编号</w:t>
            </w:r>
          </w:p>
        </w:tc>
        <w:tc>
          <w:tcPr>
            <w:tcW w:type="dxa" w:w="156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决策项</w:t>
            </w:r>
          </w:p>
        </w:tc>
        <w:tc>
          <w:tcPr>
            <w:tcW w:type="dxa" w:w="540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决策内容</w:t>
            </w:r>
          </w:p>
        </w:tc>
        <w:tc>
          <w:tcPr>
            <w:tcW w:type="dxa" w:w="154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状态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ADR-013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Repository 层设计</w:t>
            </w:r>
          </w:p>
        </w:tc>
        <w:tc>
          <w:tcPr>
            <w:tcW w:type="dxa" w:w="5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packages/database/repository/ 按领域拆分：CollectionRepository、ContentGroupRepository、CommentRepository、AIRepository、FileRepository、UserRepository；业务模块禁止直连 SQLite。</w:t>
            </w:r>
          </w:p>
        </w:tc>
        <w:tc>
          <w:tcPr>
            <w:tcW w:type="dxa" w:w="15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需并入 TDD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ADR-014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数据目录独立存储</w:t>
            </w:r>
          </w:p>
        </w:tc>
        <w:tc>
          <w:tcPr>
            <w:tcW w:type="dxa" w:w="5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数据库、备份、Cookie、缓存、日志、迁移脚本置于用户首次安装时指定的数据目录；不随插件升级 / 卸载删除，不放 Obsidian Vault 或插件目录。</w:t>
            </w:r>
          </w:p>
        </w:tc>
        <w:tc>
          <w:tcPr>
            <w:tcW w:type="dxa" w:w="15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需并入 TDD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ADR-015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错误码体系</w:t>
            </w:r>
          </w:p>
        </w:tc>
        <w:tc>
          <w:tcPr>
            <w:tcW w:type="dxa" w:w="5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格式 MODULE_CODE_NUMBER（如 ENGINE_001、SYNC_001、DB_001、AI_001）；等级 INFO / WARNING / ERROR / FATAL；全集由 TDD 定义。</w:t>
            </w:r>
          </w:p>
        </w:tc>
        <w:tc>
          <w:tcPr>
            <w:tcW w:type="dxa" w:w="15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需并入 TDD</w:t>
            </w:r>
          </w:p>
        </w:tc>
      </w:tr>
      <w:tr>
        <w:tc>
          <w:tcPr>
            <w:tcW w:type="dxa" w:w="8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ADR-016</w:t>
            </w:r>
          </w:p>
        </w:tc>
        <w:tc>
          <w:tcPr>
            <w:tcW w:type="dxa" w:w="15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发布与部署</w:t>
            </w:r>
          </w:p>
        </w:tc>
        <w:tc>
          <w:tcPr>
            <w:tcW w:type="dxa" w:w="5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插件安装时自动部署 Engine；首次启动自动初始化数据目录并建库；Plugin 与 Engine 采用最低兼容版本矩阵。</w:t>
            </w:r>
          </w:p>
        </w:tc>
        <w:tc>
          <w:tcPr>
            <w:tcW w:type="dxa" w:w="15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需并入 TDD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Arial" w:hAnsi="Arial" w:eastAsia="Microsoft YaHei"/>
          <w:b/>
          <w:color w:val="2E74B5"/>
          <w:sz w:val="32"/>
        </w:rPr>
        <w:t>五、本次修订执行记录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A6B4C4"/>
          <w:left w:val="single" w:sz="4" w:space="0" w:color="A6B4C4"/>
          <w:bottom w:val="single" w:sz="4" w:space="0" w:color="A6B4C4"/>
          <w:right w:val="single" w:sz="4" w:space="0" w:color="A6B4C4"/>
          <w:insideH w:val="single" w:sz="4" w:space="0" w:color="A6B4C4"/>
          <w:insideV w:val="single" w:sz="4" w:space="0" w:color="A6B4C4"/>
        </w:tblBorders>
      </w:tblPr>
      <w:tblGrid>
        <w:gridCol w:w="1780"/>
        <w:gridCol w:w="1360"/>
        <w:gridCol w:w="2680"/>
        <w:gridCol w:w="3540"/>
      </w:tblGrid>
      <w:tr>
        <w:trPr>
          <w:tblHeader w:val="true"/>
        </w:trPr>
        <w:tc>
          <w:tcPr>
            <w:tcW w:type="dxa" w:w="178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文档</w:t>
            </w:r>
          </w:p>
        </w:tc>
        <w:tc>
          <w:tcPr>
            <w:tcW w:type="dxa" w:w="136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版本变更</w:t>
            </w:r>
          </w:p>
        </w:tc>
        <w:tc>
          <w:tcPr>
            <w:tcW w:type="dxa" w:w="268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并入裁决</w:t>
            </w:r>
          </w:p>
        </w:tc>
        <w:tc>
          <w:tcPr>
            <w:tcW w:type="dxa" w:w="3540"/>
            <w:shd w:val="clear" w:color="auto" w:fill="F2F4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 w:eastAsia="Microsoft YaHei"/>
                <w:b/>
                <w:color w:val="1F3A5F"/>
                <w:sz w:val="18"/>
              </w:rPr>
              <w:t>修订说明</w:t>
            </w:r>
          </w:p>
        </w:tc>
      </w:tr>
      <w:tr>
        <w:tc>
          <w:tcPr>
            <w:tcW w:type="dxa" w:w="178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Omni Collector SPEC</w:t>
            </w:r>
          </w:p>
        </w:tc>
        <w:tc>
          <w:tcPr>
            <w:tcW w:type="dxa" w:w="1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v3.2 → v3.3</w:t>
            </w:r>
          </w:p>
        </w:tc>
        <w:tc>
          <w:tcPr>
            <w:tcW w:type="dxa" w:w="26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ADR-001 / 002 / 003 / 004 / 006 / 008 / 009</w:t>
            </w:r>
          </w:p>
        </w:tc>
        <w:tc>
          <w:tcPr>
            <w:tcW w:type="dxa" w:w="35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统一通信与技术栈口径；Adapter 接口改 TypeScript；修正冷启动指标；organize 权威层；里程碑验收；状态机统一；S17 新增 v3.3 变更记录行</w:t>
            </w:r>
          </w:p>
        </w:tc>
      </w:tr>
      <w:tr>
        <w:tc>
          <w:tcPr>
            <w:tcW w:type="dxa" w:w="178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Arial" w:hAnsi="Arial" w:eastAsia="Microsoft YaHei"/>
                <w:b w:val="0"/>
                <w:sz w:val="18"/>
              </w:rPr>
              <w:t>Omni Collector PRD</w:t>
            </w:r>
          </w:p>
        </w:tc>
        <w:tc>
          <w:tcPr>
            <w:tcW w:type="dxa" w:w="1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v4.1 → v4.2</w:t>
            </w:r>
          </w:p>
        </w:tc>
        <w:tc>
          <w:tcPr>
            <w:tcW w:type="dxa" w:w="268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ADR-002 / 005 / 006 / 007 / 010</w:t>
            </w:r>
          </w:p>
        </w:tc>
        <w:tc>
          <w:tcPr>
            <w:tcW w:type="dxa" w:w="354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Arial" w:hAnsi="Arial" w:eastAsia="Microsoft YaHei"/>
                <w:b w:val="0"/>
                <w:sz w:val="18"/>
              </w:rPr>
              <w:t>统一 TypeScript 表述；Cookie V1 加密文件方案；AI 批处理 100 条；organize / priority权威层说明；ContentGroup 命名全量替换；32.1 新增 v4.2 版本行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Arial" w:hAnsi="Arial" w:eastAsia="Microsoft YaHei"/>
          <w:b/>
          <w:color w:val="2E74B5"/>
          <w:sz w:val="32"/>
        </w:rPr>
        <w:t>六、后续强制动作</w:t>
      </w:r>
    </w:p>
    <w:p>
      <w:pPr>
        <w:pStyle w:val="ListNumber"/>
        <w:spacing w:after="160" w:line="280" w:lineRule="auto"/>
      </w:pPr>
      <w:r>
        <w:rPr>
          <w:rFonts w:ascii="Arial" w:hAnsi="Arial" w:eastAsia="Microsoft YaHei"/>
          <w:b w:val="0"/>
          <w:sz w:val="22"/>
        </w:rPr>
        <w:t>TDD v1.x 编写时，凡涉及本表条目直接引用 ADR 编号；新增争议必须先入 ADR，再修改文档。</w:t>
      </w:r>
    </w:p>
    <w:p>
      <w:pPr>
        <w:pStyle w:val="ListNumber"/>
        <w:spacing w:after="160" w:line="280" w:lineRule="auto"/>
      </w:pPr>
      <w:r>
        <w:rPr>
          <w:rFonts w:ascii="Arial" w:hAnsi="Arial" w:eastAsia="Microsoft YaHei"/>
          <w:b w:val="0"/>
          <w:sz w:val="22"/>
        </w:rPr>
        <w:t>TDD.docx 中 T4.3 对“SPEC 原值 ≤10 秒”的引用与 T10 的 Cookie 表述，建议在人工修订 TDD.docx 时按 ADR-004 / ADR-005 对齐。</w:t>
      </w:r>
    </w:p>
    <w:p>
      <w:pPr>
        <w:pStyle w:val="ListNumber"/>
        <w:spacing w:after="160" w:line="280" w:lineRule="auto"/>
      </w:pPr>
      <w:r>
        <w:rPr>
          <w:rFonts w:ascii="Arial" w:hAnsi="Arial" w:eastAsia="Microsoft YaHei"/>
          <w:b w:val="0"/>
          <w:sz w:val="22"/>
        </w:rPr>
        <w:t>本次修订保留原 v3.2 / v4.1 文件，新版本为工作基线；团队复核确认后，ADR 作为冻结附件随 TDD 发布。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Microsoft YaHei"/>
        <w:b w:val="0"/>
        <w:color w:val="7F8C99"/>
        <w:sz w:val="18"/>
      </w:rPr>
      <w:t xml:space="preserve">第 </w:t>
    </w:r>
    <w:r>
      <w:rPr>
        <w:rFonts w:ascii="Arial" w:hAnsi="Arial" w:eastAsia="Microsoft YaHei"/>
        <w:b w:val="0"/>
        <w:color w:val="7F8C99"/>
        <w:sz w:val="18"/>
      </w:rPr>
      <w:fldChar w:fldCharType="begin"/>
      <w:instrText xml:space="preserve"> PAGE </w:instrText>
      <w:fldChar w:fldCharType="end"/>
    </w:r>
    <w:r>
      <w:rPr>
        <w:rFonts w:ascii="Arial" w:hAnsi="Arial" w:eastAsia="Microsoft YaHei"/>
        <w:b w:val="0"/>
        <w:color w:val="7F8C9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eastAsia="Microsoft YaHei"/>
        <w:b w:val="0"/>
        <w:color w:val="7F8C99"/>
        <w:sz w:val="18"/>
      </w:rPr>
      <w:t>Omni Collector ADR v1.0  |  架构决策记录</w:t>
    </w:r>
  </w:p>
</w:hdr>
</file>

<file path=word/numbering.xml><?xml version="1.0" encoding="utf-8"?>
<w:numbering xmlns:ns1="http://schemas.openxmlformats.org/markup-compatibility/2006" xmlns:w="http://schemas.openxmlformats.org/wordprocessingml/2006/main" ns1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  <w:spacing w:after="160" w:line="280" w:lineRule="auto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  <w:spacing w:after="160" w:line="280" w:lineRule="auto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  <w:spacing w:after="160" w:line="280" w:lineRule="auto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  <w:spacing w:after="160" w:line="28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