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 Collector 产品规格文档（SPEC）v1.0</w:t>
      </w:r>
    </w:p>
    <w:p>
      <w:r>
        <w:t>本文档基于《Omni Collector PRD v4.1 最终版》生成，用于连接产品需求与后续技术设计文档（TDD）。SPEC 聚焦系统能力规格、模块边界、数据行为、业务流程和验收约束，不展开具体代码实现。</w:t>
      </w:r>
    </w:p>
    <w:p>
      <w:pPr>
        <w:pStyle w:val="Heading1"/>
      </w:pPr>
      <w:r>
        <w:t>1. 文档定位</w:t>
      </w:r>
    </w:p>
    <w:p>
      <w:r>
        <w:t>PRD定义用户价值、功能范围和产品规则；SPEC定义系统必须具备的能力规格；TDD将在SPEC基础上进一步定义Monorepo结构、接口协议、数据库SQL、通信协议和工程实现。</w:t>
      </w:r>
    </w:p>
    <w:p>
      <w:pPr>
        <w:pStyle w:val="Heading1"/>
      </w:pPr>
      <w:r>
        <w:t>2. 产品总体规格</w:t>
      </w:r>
    </w:p>
    <w:p>
      <w:r>
        <w:t>Omni Collector 是一个本地优先的个人知识资产管理系统，通过Obsidian插件与后台Engine协作，实现多平台收藏同步、内容资产保存、知识整理、AI辅助管理和长期数据独立保存。</w:t>
      </w:r>
    </w:p>
    <w:p>
      <w:pPr>
        <w:pStyle w:val="Heading1"/>
      </w:pPr>
      <w:r>
        <w:t>3. 系统架构规格</w:t>
      </w:r>
    </w:p>
    <w:p>
      <w:r>
        <w:t>• Plugin层：负责Obsidian内交互、Markdown管理、展示、设置、用户操作。</w:t>
      </w:r>
    </w:p>
    <w:p>
      <w:r>
        <w:t>• Engine层：负责平台采集、任务调度、Playwright自动化、AI队列、文件索引。</w:t>
      </w:r>
    </w:p>
    <w:p>
      <w:r>
        <w:t>• Shared Core层：负责公共模型、协议、数据访问和跨模块定义。</w:t>
      </w:r>
    </w:p>
    <w:p>
      <w:pPr>
        <w:pStyle w:val="Heading1"/>
      </w:pPr>
      <w:r>
        <w:t>4. 核心功能规格</w:t>
      </w:r>
    </w:p>
    <w:p>
      <w:pPr>
        <w:pStyle w:val="Heading2"/>
      </w:pPr>
      <w:r>
        <w:t>4.1 收藏同步系统</w:t>
      </w:r>
    </w:p>
    <w:p>
      <w:r>
        <w:t>系统必须支持平台Adapter模块化设计。V1.0优先支持B站收藏同步，后续扩展YouTube、小红书、MakerWorld、小黑盒。同步需要支持增量更新、失败恢复、状态记录和风控策略。</w:t>
      </w:r>
    </w:p>
    <w:p>
      <w:pPr>
        <w:pStyle w:val="Heading2"/>
      </w:pPr>
      <w:r>
        <w:t>4.2 内容资产保存</w:t>
      </w:r>
    </w:p>
    <w:p>
      <w:r>
        <w:t>每条收藏必须保存URL、标题、封面、简介、来源平台、同步状态。平台删除后仍保留本地资产，并根据规则进入deleted状态。</w:t>
      </w:r>
    </w:p>
    <w:p>
      <w:pPr>
        <w:pStyle w:val="Heading2"/>
      </w:pPr>
      <w:r>
        <w:t>4.3 Inbox整理流程</w:t>
      </w:r>
    </w:p>
    <w:p>
      <w:r>
        <w:t>新内容进入Inbox Queue，经历pending、processing、done状态。系统整理与用户整理状态分离，AI处理不能阻塞用户使用。</w:t>
      </w:r>
    </w:p>
    <w:p>
      <w:pPr>
        <w:pStyle w:val="Heading2"/>
      </w:pPr>
      <w:r>
        <w:t>4.4 Markdown集成</w:t>
      </w:r>
    </w:p>
    <w:p>
      <w:r>
        <w:t>插件只能写入系统区域，不允许覆盖用户区域。用户笔记、Tag、评分、优先级保持用户最高权限。</w:t>
      </w:r>
    </w:p>
    <w:p>
      <w:pPr>
        <w:pStyle w:val="Heading2"/>
      </w:pPr>
      <w:r>
        <w:t>4.5 Tag与Topic</w:t>
      </w:r>
    </w:p>
    <w:p>
      <w:r>
        <w:t>Tag负责精确分类，Topic负责主题聚合。AI生成内容必须经过Suggestion审核流程后才能成为正式数据。</w:t>
      </w:r>
    </w:p>
    <w:p>
      <w:pPr>
        <w:pStyle w:val="Heading2"/>
      </w:pPr>
      <w:r>
        <w:t>4.6 AI系统</w:t>
      </w:r>
    </w:p>
    <w:p>
      <w:r>
        <w:t>AI必须支持API、本地Embedding、Manual三种模式。AI结果默认不能直接修改用户知识库。</w:t>
      </w:r>
    </w:p>
    <w:p>
      <w:pPr>
        <w:pStyle w:val="Heading1"/>
      </w:pPr>
      <w:r>
        <w:t>5. 数据规格</w:t>
      </w:r>
    </w:p>
    <w:p>
      <w:r>
        <w:t>核心数据实体包括：collections、comments、platform_accounts、content_entities、series、topics、tags、tag_aliases、content_tags、ai_suggestions、user_feedback、sync_log、ai_queue、local_files、file_index、user_notes、business_rules。</w:t>
      </w:r>
    </w:p>
    <w:p>
      <w:pPr>
        <w:pStyle w:val="Heading1"/>
      </w:pPr>
      <w:r>
        <w:t>6. 状态模型规格</w:t>
      </w:r>
    </w:p>
    <w:p>
      <w:r>
        <w:t>内容生命周期包含：content_status、sync_status、inbox_status、ai_status、organize_status、priority。不同状态来源具有独立权威层，避免系统自动行为覆盖用户决策。</w:t>
      </w:r>
    </w:p>
    <w:p>
      <w:pPr>
        <w:pStyle w:val="Heading1"/>
      </w:pPr>
      <w:r>
        <w:t>7. 文件与多媒体规格</w:t>
      </w:r>
    </w:p>
    <w:p>
      <w:r>
        <w:t>文件采用轻量索引原则。默认保存路径引用和基础元数据，不复制文件、不生成TXT副本、不进行全文解析。图片、字幕、增强分析均采用用户可配置开关。</w:t>
      </w:r>
    </w:p>
    <w:p>
      <w:pPr>
        <w:pStyle w:val="Heading1"/>
      </w:pPr>
      <w:r>
        <w:t>8. 安全规格</w:t>
      </w:r>
    </w:p>
    <w:p>
      <w:r>
        <w:t>• Cookie和API Key必须使用系统密钥链保护。</w:t>
      </w:r>
    </w:p>
    <w:p>
      <w:r>
        <w:t>• 不保存用户密码。</w:t>
      </w:r>
    </w:p>
    <w:p>
      <w:r>
        <w:t>• AI调用不得上传Cookie、账号信息和本地文件路径。</w:t>
      </w:r>
    </w:p>
    <w:p>
      <w:r>
        <w:t>• 系统不得修改用户原始文件。</w:t>
      </w:r>
    </w:p>
    <w:p>
      <w:pPr>
        <w:pStyle w:val="Heading1"/>
      </w:pPr>
      <w:r>
        <w:t>9. 性能规格</w:t>
      </w:r>
    </w:p>
    <w:p>
      <w:r>
        <w:t>• 目录同步1000条以内目标5分钟完成。</w:t>
      </w:r>
    </w:p>
    <w:p>
      <w:r>
        <w:t>• Obsidian侧边栏响应目标低于200ms。</w:t>
      </w:r>
    </w:p>
    <w:p>
      <w:r>
        <w:t>• Dataview万级数据查询目标低于500ms。</w:t>
      </w:r>
    </w:p>
    <w:p>
      <w:r>
        <w:t>• AI任务必须异步执行。</w:t>
      </w:r>
    </w:p>
    <w:p>
      <w:pPr>
        <w:pStyle w:val="Heading1"/>
      </w:pPr>
      <w:r>
        <w:t>10. 版本能力范围</w:t>
      </w:r>
    </w:p>
    <w:p>
      <w:r>
        <w:t>V1.0：完成基础架构、B站同步、SQLite Schema、Markdown隔离、整理流程。</w:t>
        <w:br/>
        <w:t>V1.5：扩展多平台、评论、Series、文件索引、规则中心。</w:t>
        <w:br/>
        <w:t>V2.0：加入AI Suggestion、Topic、反馈闭环。</w:t>
        <w:br/>
        <w:t>V3.0：生态扩展和智能知识管理。</w:t>
      </w:r>
    </w:p>
    <w:p>
      <w:pPr>
        <w:pStyle w:val="Heading1"/>
      </w:pPr>
      <w:r>
        <w:t>11. 待进入TDD确认的问题</w:t>
      </w:r>
    </w:p>
    <w:p>
      <w:r>
        <w:t>• Plugin与Engine通信协议选择（IPC/WebSocket/HTTP等）。</w:t>
      </w:r>
    </w:p>
    <w:p>
      <w:r>
        <w:t>• SQLite Schema字段最终冻结与迁移策略。</w:t>
      </w:r>
    </w:p>
    <w:p>
      <w:r>
        <w:t>• Playwright实例生命周期管理方式。</w:t>
      </w:r>
    </w:p>
    <w:p>
      <w:r>
        <w:t>• Adapter接口抽象定义。</w:t>
      </w:r>
    </w:p>
    <w:p>
      <w:r>
        <w:t>• AI Queue具体调度策略。</w:t>
      </w:r>
    </w:p>
    <w:p>
      <w:r>
        <w:t>• Obsidian Markdown系统区格式。</w:t>
      </w:r>
    </w:p>
    <w:p>
      <w:r>
        <w:t>文档状态：SPEC Draft v1.0</w:t>
        <w:br/>
        <w:t>来源：Omni Collector PRD v4.1 Final</w:t>
        <w:br/>
        <w:t>下一阶段：技术设计文档（TDD）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