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 Collector SPEC v2.0 开发规格版</w:t>
      </w:r>
    </w:p>
    <w:p>
      <w:r>
        <w:t>基于Omni Collector PRD v4.1冻结版生成。</w:t>
        <w:br/>
        <w:t>目标：作为Codex/AI Coding Agent开发约束文档。</w:t>
        <w:br/>
        <w:t>范围：系统边界、技术决策、数据架构、模块职责、开发约束。</w:t>
        <w:br/>
        <w:t>详细代码接口、SQL、目录结构进入后续TDD。</w:t>
      </w:r>
    </w:p>
    <w:p>
      <w:pPr>
        <w:pStyle w:val="Heading1"/>
      </w:pPr>
      <w:r>
        <w:t>一、技术决策</w:t>
      </w:r>
    </w:p>
    <w:p>
      <w:pPr>
        <w:pStyle w:val="Heading2"/>
      </w:pPr>
      <w:r>
        <w:t>1. Engine运行方式</w:t>
      </w:r>
    </w:p>
    <w:p>
      <w:r>
        <w:t>决策：独立本地Engine进程（Node.js + TypeScript）。</w:t>
        <w:br/>
        <w:br/>
        <w:t>Engine职责：</w:t>
        <w:br/>
        <w:t>- 定时同步任务</w:t>
        <w:br/>
        <w:t>- Playwright自动化</w:t>
        <w:br/>
        <w:t>- 平台Adapter运行</w:t>
        <w:br/>
        <w:t>- Cookie管理</w:t>
        <w:br/>
        <w:t>- AI Queue调度</w:t>
        <w:br/>
        <w:t>- 文件索引</w:t>
        <w:br/>
        <w:t>- SQLite访问</w:t>
        <w:br/>
        <w:br/>
        <w:t>不推荐Plugin直接承担这些任务，因为Obsidian插件层应该保持轻量。</w:t>
        <w:br/>
        <w:br/>
        <w:t>Node优先：</w:t>
        <w:br/>
        <w:t>- 与Obsidian插件同为TypeScript生态</w:t>
        <w:br/>
        <w:t>- Playwright支持成熟</w:t>
        <w:br/>
        <w:t>- 跨平台部署简单</w:t>
        <w:br/>
        <w:t>- Codex生成效率最高</w:t>
        <w:br/>
        <w:br/>
        <w:t>Python仅在未来独立AI服务或数据分析场景考虑。</w:t>
      </w:r>
    </w:p>
    <w:p>
      <w:pPr>
        <w:pStyle w:val="Heading2"/>
      </w:pPr>
      <w:r>
        <w:t>2. Plugin与Engine通信</w:t>
      </w:r>
    </w:p>
    <w:p>
      <w:r>
        <w:t>决策：</w:t>
        <w:br/>
        <w:t>HTTP API + WebSocket事件通知。</w:t>
        <w:br/>
        <w:br/>
        <w:t>HTTP负责：</w:t>
        <w:br/>
        <w:t>- 查询数据</w:t>
        <w:br/>
        <w:t>- 控制同步</w:t>
        <w:br/>
        <w:t>- 修改配置</w:t>
        <w:br/>
        <w:br/>
        <w:t>WebSocket负责：</w:t>
        <w:br/>
        <w:t>- 同步进度</w:t>
        <w:br/>
        <w:t>- 状态变化</w:t>
        <w:br/>
        <w:t>- Engine健康通知</w:t>
        <w:br/>
        <w:br/>
        <w:t>不采用gRPC：</w:t>
        <w:br/>
        <w:t>本地插件场景复杂度收益不足。</w:t>
        <w:br/>
        <w:br/>
        <w:t>不采用纯IPC：</w:t>
        <w:br/>
        <w:t>调试、跨平台、扩展性较弱。</w:t>
      </w:r>
    </w:p>
    <w:p>
      <w:pPr>
        <w:pStyle w:val="Heading2"/>
      </w:pPr>
      <w:r>
        <w:t>3. 数据层关系</w:t>
      </w:r>
    </w:p>
    <w:p>
      <w:r>
        <w:t>架构：</w:t>
        <w:br/>
        <w:br/>
        <w:t>Obsidian Plugin</w:t>
        <w:br/>
        <w:t xml:space="preserve">        |</w:t>
        <w:br/>
        <w:t xml:space="preserve">        | API</w:t>
        <w:br/>
        <w:t xml:space="preserve">        |</w:t>
        <w:br/>
        <w:t>Engine</w:t>
        <w:br/>
        <w:t xml:space="preserve">        |</w:t>
        <w:br/>
        <w:t xml:space="preserve">        | SQLite访问</w:t>
        <w:br/>
        <w:t xml:space="preserve">        |</w:t>
        <w:br/>
        <w:t>SQLite Database</w:t>
        <w:br/>
        <w:br/>
        <w:t>Shared Core不是数据库，而是公共代码层。</w:t>
        <w:br/>
        <w:br/>
        <w:t>SQLite单一事实来源(Source of Truth)。</w:t>
        <w:br/>
        <w:br/>
        <w:t>Plugin禁止直接读写SQLite。</w:t>
        <w:br/>
        <w:br/>
        <w:t>原因：</w:t>
        <w:br/>
        <w:t>- 避免多入口修改</w:t>
        <w:br/>
        <w:t>- 保证业务规则集中</w:t>
        <w:br/>
        <w:t>- 方便未来CLI/Web/移动端扩展</w:t>
        <w:br/>
        <w:t>- 避免重复存储</w:t>
      </w:r>
    </w:p>
    <w:p>
      <w:pPr>
        <w:pStyle w:val="Heading1"/>
      </w:pPr>
      <w:r>
        <w:t>二、模块规格</w:t>
      </w:r>
    </w:p>
    <w:p>
      <w:pPr>
        <w:pStyle w:val="Heading2"/>
      </w:pPr>
      <w:r>
        <w:t>Plugin Layer</w:t>
      </w:r>
    </w:p>
    <w:p>
      <w:r>
        <w:t>负责UI、设置、Markdown写入、用户操作。禁止执行后台同步逻辑。</w:t>
      </w:r>
    </w:p>
    <w:p>
      <w:pPr>
        <w:pStyle w:val="Heading2"/>
      </w:pPr>
      <w:r>
        <w:t>Engine Core</w:t>
      </w:r>
    </w:p>
    <w:p>
      <w:r>
        <w:t>负责调度、数据库、生命周期、任务管理。</w:t>
      </w:r>
    </w:p>
    <w:p>
      <w:pPr>
        <w:pStyle w:val="Heading2"/>
      </w:pPr>
      <w:r>
        <w:t>Adapter Layer</w:t>
      </w:r>
    </w:p>
    <w:p>
      <w:r>
        <w:t>每个平台独立模块，只负责采集和解析。</w:t>
      </w:r>
    </w:p>
    <w:p>
      <w:pPr>
        <w:pStyle w:val="Heading2"/>
      </w:pPr>
      <w:r>
        <w:t>AI Queue</w:t>
      </w:r>
    </w:p>
    <w:p>
      <w:r>
        <w:t>异步AI任务，不阻塞核心同步。</w:t>
      </w:r>
    </w:p>
    <w:p>
      <w:pPr>
        <w:pStyle w:val="Heading2"/>
      </w:pPr>
      <w:r>
        <w:t>File Index</w:t>
      </w:r>
    </w:p>
    <w:p>
      <w:r>
        <w:t>保存文件引用和轻量元数据。</w:t>
      </w:r>
    </w:p>
    <w:p>
      <w:pPr>
        <w:pStyle w:val="Heading2"/>
      </w:pPr>
      <w:r>
        <w:t>Markdown Layer</w:t>
      </w:r>
    </w:p>
    <w:p>
      <w:r>
        <w:t>系统区与用户区隔离。</w:t>
      </w:r>
    </w:p>
    <w:p>
      <w:pPr>
        <w:pStyle w:val="Heading1"/>
      </w:pPr>
      <w:r>
        <w:t>三、数据库规格</w:t>
      </w:r>
    </w:p>
    <w:p>
      <w:r>
        <w:t>SQLite为唯一数据库。</w:t>
        <w:br/>
        <w:br/>
        <w:t>核心实体：</w:t>
        <w:br/>
        <w:t>collections：收藏主体</w:t>
        <w:br/>
        <w:t>comments：评论</w:t>
        <w:br/>
        <w:t>platform_accounts：平台账号</w:t>
        <w:br/>
        <w:t>content_entities：跨平台实体</w:t>
        <w:br/>
        <w:t>tags/tag_aliases：标签体系</w:t>
        <w:br/>
        <w:t>topics：主题</w:t>
        <w:br/>
        <w:t>ai_suggestions：AI建议</w:t>
        <w:br/>
        <w:t>user_feedback：反馈闭环</w:t>
        <w:br/>
        <w:t>sync_log：同步日志</w:t>
        <w:br/>
        <w:t>ai_queue：AI任务</w:t>
        <w:br/>
        <w:t>local_files/file_index：文件索引</w:t>
        <w:br/>
        <w:t>business_rules：规则中心</w:t>
        <w:br/>
        <w:br/>
        <w:t>数据库由Engine统一管理。</w:t>
      </w:r>
    </w:p>
    <w:p>
      <w:pPr>
        <w:pStyle w:val="Heading1"/>
      </w:pPr>
      <w:r>
        <w:t>四、同步流程规格</w:t>
      </w:r>
    </w:p>
    <w:p>
      <w:r>
        <w:t>Scheduler</w:t>
        <w:br/>
        <w:t>→ Adapter</w:t>
        <w:br/>
        <w:t>→ Sync Queue</w:t>
        <w:br/>
        <w:t>→ SQLite</w:t>
        <w:br/>
        <w:t>→ Inbox Queue</w:t>
        <w:br/>
        <w:t>→ AI Queue(可选)</w:t>
        <w:br/>
        <w:t>→ 用户审核</w:t>
        <w:br/>
        <w:br/>
        <w:t>要求：</w:t>
        <w:br/>
        <w:t>- 同步失败不影响已有数据。</w:t>
        <w:br/>
        <w:t>- AI失败不影响收藏保存。</w:t>
        <w:br/>
        <w:t>- 单个平台失败不影响其他平台。</w:t>
      </w:r>
    </w:p>
    <w:p>
      <w:pPr>
        <w:pStyle w:val="Heading1"/>
      </w:pPr>
      <w:r>
        <w:t>五、AI开发规格</w:t>
      </w:r>
    </w:p>
    <w:p>
      <w:r>
        <w:t>开发方式：</w:t>
        <w:br/>
        <w:t>Codex负责工程开发。</w:t>
        <w:br/>
        <w:t>DeepSeek API作为主要AI Provider。</w:t>
        <w:br/>
        <w:br/>
        <w:t>AI必须可关闭。</w:t>
        <w:br/>
        <w:br/>
        <w:t>关闭AI后：</w:t>
        <w:br/>
        <w:t>同步、Tag、Markdown、整理流程仍完整运行。</w:t>
        <w:br/>
        <w:br/>
        <w:t>AI输出：</w:t>
        <w:br/>
        <w:t>必须进入Suggestion流程。</w:t>
        <w:br/>
        <w:t>禁止直接修改用户知识库。</w:t>
      </w:r>
    </w:p>
    <w:p>
      <w:pPr>
        <w:pStyle w:val="Heading1"/>
      </w:pPr>
      <w:r>
        <w:t>六、Codex开发约束</w:t>
      </w:r>
    </w:p>
    <w:p>
      <w:r>
        <w:t>所有任务必须拆分：</w:t>
        <w:br/>
        <w:br/>
        <w:t>需求</w:t>
        <w:br/>
        <w:t>→ 模块</w:t>
        <w:br/>
        <w:t>→ Feature</w:t>
        <w:br/>
        <w:t>→ Task</w:t>
        <w:br/>
        <w:t>→ Test</w:t>
        <w:br/>
        <w:br/>
        <w:t>每个Task必须描述：</w:t>
        <w:br/>
        <w:t>- 目标</w:t>
        <w:br/>
        <w:t>- 输入输出</w:t>
        <w:br/>
        <w:t>- 修改范围</w:t>
        <w:br/>
        <w:t>- 禁止修改范围</w:t>
        <w:br/>
        <w:t>- 验收条件</w:t>
        <w:br/>
        <w:br/>
        <w:t>禁止一次生成整个项目代码。</w:t>
      </w:r>
    </w:p>
    <w:p>
      <w:pPr>
        <w:pStyle w:val="Heading1"/>
      </w:pPr>
      <w:r>
        <w:t>七、进入TDD前需要冻结</w:t>
      </w:r>
    </w:p>
    <w:p>
      <w:r>
        <w:t>• Monorepo目录结构</w:t>
      </w:r>
    </w:p>
    <w:p>
      <w:r>
        <w:t>• Engine API协议</w:t>
      </w:r>
    </w:p>
    <w:p>
      <w:r>
        <w:t>• SQLite字段级Schema</w:t>
      </w:r>
    </w:p>
    <w:p>
      <w:r>
        <w:t>• Adapter接口</w:t>
      </w:r>
    </w:p>
    <w:p>
      <w:r>
        <w:t>• Playwright流程</w:t>
      </w:r>
    </w:p>
    <w:p>
      <w:r>
        <w:t>• Cookie安全方案</w:t>
      </w:r>
    </w:p>
    <w:p>
      <w:r>
        <w:t>• Markdown YAML协议</w:t>
      </w:r>
    </w:p>
    <w:p>
      <w:r>
        <w:t>• Plugin UI组件结构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