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 differenza del think aloud, nel </w:t>
      </w:r>
      <w:r w:rsidDel="00000000" w:rsidR="00000000" w:rsidRPr="00000000">
        <w:rPr>
          <w:sz w:val="26"/>
          <w:szCs w:val="26"/>
          <w:u w:val="single"/>
          <w:rtl w:val="0"/>
        </w:rPr>
        <w:t xml:space="preserve">post walkthrough</w:t>
      </w:r>
      <w:r w:rsidDel="00000000" w:rsidR="00000000" w:rsidRPr="00000000">
        <w:rPr>
          <w:sz w:val="26"/>
          <w:szCs w:val="26"/>
          <w:rtl w:val="0"/>
        </w:rPr>
        <w:t xml:space="preserve">, l’utente è lasciato libero di vedere le varie funzionalità dell’applicazione, senza l’aiuto di nessuna persona.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Inizialmente ho illustrato alla persona intervistata lo scopo dell’applicazione, le varie funzionalità in generale, in modo che potesse avere una panoramica totale. Durante l’utilizzo, l’utente ha avuto delle incertezze su cosa dovesse fare precisamente, una volta spiegato, è riuscito a capire bene come muoversi all’interno dell’app.</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Ha svolto i vari task in maniera molto rapida, non avendo nessun tipo di dubbio.</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Al termine, ho effettuato delle domande finali all’utente per capire se avesse dei consigli o se qualcosa risultasse non comprensibile.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pPr>
      <w:r w:rsidDel="00000000" w:rsidR="00000000" w:rsidRPr="00000000">
        <w:rPr>
          <w:sz w:val="26"/>
          <w:szCs w:val="26"/>
          <w:rtl w:val="0"/>
        </w:rPr>
        <w:t xml:space="preserve">L’utente ha detto che le è sembrato tutto molto semplice ed intuitivo e non aveva nessun consiglio da dare.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