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C49C" w14:textId="77777777" w:rsidR="005B7C24" w:rsidRPr="005B7C24" w:rsidRDefault="005B7C24" w:rsidP="005B7C24">
      <w:pPr>
        <w:rPr>
          <w:lang w:val="en-US"/>
        </w:rPr>
      </w:pPr>
      <w:r w:rsidRPr="005B7C24">
        <w:rPr>
          <w:lang w:val="en-US"/>
        </w:rPr>
        <w:t>Dear Annette,</w:t>
      </w:r>
      <w:r w:rsidRPr="005B7C24">
        <w:rPr>
          <w:lang w:val="en-US"/>
        </w:rPr>
        <w:br/>
        <w:t>Dear Klaus,</w:t>
      </w:r>
    </w:p>
    <w:p w14:paraId="58F97661" w14:textId="77777777" w:rsidR="005B7C24" w:rsidRPr="005B7C24" w:rsidRDefault="005B7C24" w:rsidP="005B7C24">
      <w:pPr>
        <w:rPr>
          <w:lang w:val="en-US"/>
        </w:rPr>
      </w:pPr>
      <w:r w:rsidRPr="005B7C24">
        <w:rPr>
          <w:lang w:val="en-US"/>
        </w:rPr>
        <w:t>as promised, here are the questions and parameters we need in order to develop a solid concept for the beamline and spectrometer. It would be extremely helpful if you could suggest 2–3 concrete experiments for BESSY III and address the points below regarding both the beamline and the spectrometer.</w:t>
      </w:r>
    </w:p>
    <w:p w14:paraId="753F3BAE" w14:textId="77777777" w:rsidR="005B7C24" w:rsidRPr="005B7C24" w:rsidRDefault="005B7C24" w:rsidP="005B7C24">
      <w:pPr>
        <w:rPr>
          <w:lang w:val="en-US"/>
        </w:rPr>
      </w:pPr>
      <w:r w:rsidRPr="005B7C24">
        <w:rPr>
          <w:lang w:val="en-US"/>
        </w:rPr>
        <w:t>This will allow us to better differentiate the requirements and, if necessary, combine them into a coherent concept. Our goal is to avoid mixing “apples and oranges” – not every experiment requires the highest resolution; in some cases, higher flux with lower resolution may be more appropriate.</w:t>
      </w:r>
    </w:p>
    <w:p w14:paraId="15E17740" w14:textId="77777777" w:rsidR="005B7C24" w:rsidRPr="005B7C24" w:rsidRDefault="005B7C24" w:rsidP="005B7C24">
      <w:pPr>
        <w:rPr>
          <w:lang w:val="en-US"/>
        </w:rPr>
      </w:pPr>
      <w:r w:rsidRPr="005B7C24">
        <w:rPr>
          <w:lang w:val="en-US"/>
        </w:rPr>
        <w:t xml:space="preserve">Regarding the </w:t>
      </w:r>
      <w:r w:rsidRPr="005B7C24">
        <w:rPr>
          <w:i/>
          <w:iCs/>
          <w:lang w:val="en-US"/>
        </w:rPr>
        <w:t>hv²</w:t>
      </w:r>
      <w:r w:rsidRPr="005B7C24">
        <w:rPr>
          <w:lang w:val="en-US"/>
        </w:rPr>
        <w:t xml:space="preserve"> method, here is a paper showing its application:</w:t>
      </w:r>
    </w:p>
    <w:p w14:paraId="10545417" w14:textId="0D1BF54F" w:rsidR="0029449E" w:rsidRPr="0029449E" w:rsidRDefault="0029449E" w:rsidP="0029449E">
      <w:pPr>
        <w:rPr>
          <w:lang w:val="en-US"/>
        </w:rPr>
      </w:pPr>
      <w:hyperlink r:id="rId5" w:history="1">
        <w:r w:rsidRPr="0029449E">
          <w:rPr>
            <w:rStyle w:val="Hyperlink"/>
            <w:lang w:val="en-US"/>
          </w:rPr>
          <w:t>https://journals.iucr.org/s</w:t>
        </w:r>
        <w:r w:rsidRPr="0029449E">
          <w:rPr>
            <w:rStyle w:val="Hyperlink"/>
            <w:lang w:val="en-US"/>
          </w:rPr>
          <w:t>/</w:t>
        </w:r>
        <w:r w:rsidRPr="0029449E">
          <w:rPr>
            <w:rStyle w:val="Hyperlink"/>
            <w:lang w:val="en-US"/>
          </w:rPr>
          <w:t>issues/2020/05/00</w:t>
        </w:r>
        <w:r w:rsidRPr="0029449E">
          <w:rPr>
            <w:rStyle w:val="Hyperlink"/>
            <w:lang w:val="en-US"/>
          </w:rPr>
          <w:t>/</w:t>
        </w:r>
        <w:r w:rsidRPr="0029449E">
          <w:rPr>
            <w:rStyle w:val="Hyperlink"/>
            <w:lang w:val="en-US"/>
          </w:rPr>
          <w:t>il5053/index.html</w:t>
        </w:r>
      </w:hyperlink>
    </w:p>
    <w:p w14:paraId="4820F3E5" w14:textId="7C957A5D" w:rsidR="0029449E" w:rsidRPr="005B7C24" w:rsidRDefault="005B7C24">
      <w:pPr>
        <w:rPr>
          <w:lang w:val="en-US"/>
        </w:rPr>
      </w:pPr>
      <w:r w:rsidRPr="005B7C24">
        <w:rPr>
          <w:lang w:val="en-US"/>
        </w:rPr>
        <w:t>As references or competitors, we would like to highlight the following</w:t>
      </w:r>
      <w:r>
        <w:rPr>
          <w:lang w:val="en-US"/>
        </w:rPr>
        <w:t xml:space="preserve"> b</w:t>
      </w:r>
      <w:r w:rsidRPr="005B7C24">
        <w:rPr>
          <w:lang w:val="en-US"/>
        </w:rPr>
        <w:t>eamlines/spectrometers:</w:t>
      </w:r>
    </w:p>
    <w:p w14:paraId="19EB6456" w14:textId="7E78FFF9" w:rsidR="00560B74" w:rsidRPr="005B7C24" w:rsidRDefault="00560B74" w:rsidP="00560B74">
      <w:pPr>
        <w:pStyle w:val="Listenabsatz"/>
        <w:numPr>
          <w:ilvl w:val="0"/>
          <w:numId w:val="3"/>
        </w:numPr>
        <w:rPr>
          <w:lang w:val="en-US"/>
        </w:rPr>
      </w:pPr>
      <w:r w:rsidRPr="005B7C24">
        <w:rPr>
          <w:lang w:val="en-US"/>
        </w:rPr>
        <w:t xml:space="preserve">ESRF ID32 </w:t>
      </w:r>
    </w:p>
    <w:p w14:paraId="3117F0AE" w14:textId="77777777" w:rsidR="00560B74" w:rsidRDefault="00560B74" w:rsidP="00560B74">
      <w:pPr>
        <w:pStyle w:val="Listenabsatz"/>
        <w:numPr>
          <w:ilvl w:val="0"/>
          <w:numId w:val="3"/>
        </w:numPr>
      </w:pPr>
      <w:r w:rsidRPr="00560B74">
        <w:t xml:space="preserve">SLS ADRESS </w:t>
      </w:r>
    </w:p>
    <w:p w14:paraId="09ECEDAF" w14:textId="27E13A19" w:rsidR="00560B74" w:rsidRDefault="00560B74" w:rsidP="00560B74">
      <w:pPr>
        <w:pStyle w:val="Listenabsatz"/>
        <w:numPr>
          <w:ilvl w:val="0"/>
          <w:numId w:val="3"/>
        </w:numPr>
      </w:pPr>
      <w:r w:rsidRPr="00560B74">
        <w:t>DLS I32</w:t>
      </w:r>
    </w:p>
    <w:p w14:paraId="3FA76880" w14:textId="1D3AB6B9" w:rsidR="00560B74" w:rsidRDefault="00560B74" w:rsidP="00560B74">
      <w:pPr>
        <w:pStyle w:val="Listenabsatz"/>
        <w:numPr>
          <w:ilvl w:val="0"/>
          <w:numId w:val="3"/>
        </w:numPr>
      </w:pPr>
      <w:r>
        <w:t>Centurion RIXS @ NSLS-II</w:t>
      </w:r>
    </w:p>
    <w:p w14:paraId="2973CD27" w14:textId="4A229E30" w:rsidR="00560B74" w:rsidRDefault="00560B74" w:rsidP="00560B74">
      <w:pPr>
        <w:pStyle w:val="Listenabsatz"/>
        <w:numPr>
          <w:ilvl w:val="0"/>
          <w:numId w:val="3"/>
        </w:numPr>
      </w:pPr>
      <w:r>
        <w:t>2D-RIXS @ Nano-</w:t>
      </w:r>
      <w:proofErr w:type="spellStart"/>
      <w:r>
        <w:t>Teraso</w:t>
      </w:r>
      <w:proofErr w:type="spellEnd"/>
    </w:p>
    <w:p w14:paraId="124E1187" w14:textId="52ECFA58" w:rsidR="00560B74" w:rsidRDefault="00560B74" w:rsidP="00560B74">
      <w:pPr>
        <w:pStyle w:val="Listenabsatz"/>
        <w:numPr>
          <w:ilvl w:val="0"/>
          <w:numId w:val="3"/>
        </w:numPr>
      </w:pPr>
      <w:r>
        <w:t>Veritas RIXS @ MAX-IV</w:t>
      </w:r>
    </w:p>
    <w:p w14:paraId="232E402C" w14:textId="77777777" w:rsidR="00560B74" w:rsidRPr="00560B74" w:rsidRDefault="00560B74" w:rsidP="00560B74">
      <w:pPr>
        <w:pStyle w:val="Listenabsatz"/>
        <w:numPr>
          <w:ilvl w:val="0"/>
          <w:numId w:val="3"/>
        </w:numPr>
      </w:pPr>
      <w:r w:rsidRPr="00560B74">
        <w:t>RIXS @ NSRL in Hefei</w:t>
      </w:r>
    </w:p>
    <w:p w14:paraId="66D0DE45" w14:textId="77777777" w:rsidR="00560B74" w:rsidRDefault="00560B74"/>
    <w:p w14:paraId="0B0A469D" w14:textId="527ED57C" w:rsidR="00786C9E" w:rsidRDefault="00786C9E">
      <w:pPr>
        <w:rPr>
          <w:lang w:val="en-US"/>
        </w:rPr>
      </w:pPr>
      <w:r>
        <w:rPr>
          <w:lang w:val="en-US"/>
        </w:rPr>
        <w:t>Regarding the spectrometer, we need to know the following parameter/constrains etc. for a good first approach:</w:t>
      </w:r>
    </w:p>
    <w:p w14:paraId="265EF740" w14:textId="72677BDA" w:rsidR="00786C9E" w:rsidRPr="00786C9E" w:rsidRDefault="00786C9E" w:rsidP="00786C9E">
      <w:pPr>
        <w:pStyle w:val="Listenabsatz"/>
        <w:numPr>
          <w:ilvl w:val="0"/>
          <w:numId w:val="1"/>
        </w:numPr>
        <w:rPr>
          <w:lang w:val="en-US"/>
        </w:rPr>
      </w:pPr>
      <w:r w:rsidRPr="00786C9E">
        <w:rPr>
          <w:lang w:val="en-US"/>
        </w:rPr>
        <w:t xml:space="preserve">Measurement principle </w:t>
      </w:r>
      <w:r w:rsidR="0012714E">
        <w:rPr>
          <w:lang w:val="en-US"/>
        </w:rPr>
        <w:t>(</w:t>
      </w:r>
      <w:r w:rsidRPr="00786C9E">
        <w:rPr>
          <w:lang w:val="en-US"/>
        </w:rPr>
        <w:t>hv</w:t>
      </w:r>
      <w:r w:rsidR="0012714E">
        <w:rPr>
          <w:lang w:val="en-US"/>
        </w:rPr>
        <w:t>)</w:t>
      </w:r>
      <w:r w:rsidR="00BB0264">
        <w:rPr>
          <w:lang w:val="en-US"/>
        </w:rPr>
        <w:t>²</w:t>
      </w:r>
      <w:r w:rsidRPr="00786C9E">
        <w:rPr>
          <w:lang w:val="en-US"/>
        </w:rPr>
        <w:t xml:space="preserve"> (2D-RIXS)?</w:t>
      </w:r>
    </w:p>
    <w:p w14:paraId="24401E9B" w14:textId="1899CF13" w:rsidR="00786C9E" w:rsidRPr="00786C9E" w:rsidRDefault="00786C9E" w:rsidP="00786C9E">
      <w:pPr>
        <w:pStyle w:val="Listenabsatz"/>
        <w:numPr>
          <w:ilvl w:val="0"/>
          <w:numId w:val="1"/>
        </w:numPr>
        <w:rPr>
          <w:lang w:val="en-US"/>
        </w:rPr>
      </w:pPr>
      <w:r w:rsidRPr="00786C9E">
        <w:rPr>
          <w:lang w:val="en-US"/>
        </w:rPr>
        <w:t>Energy range (eV):</w:t>
      </w:r>
    </w:p>
    <w:p w14:paraId="4AE2D74E" w14:textId="77777777" w:rsidR="00786C9E" w:rsidRPr="00786C9E" w:rsidRDefault="00786C9E" w:rsidP="00786C9E">
      <w:pPr>
        <w:pStyle w:val="Listenabsatz"/>
        <w:numPr>
          <w:ilvl w:val="0"/>
          <w:numId w:val="1"/>
        </w:numPr>
        <w:rPr>
          <w:lang w:val="en-US"/>
        </w:rPr>
      </w:pPr>
      <w:r w:rsidRPr="00786C9E">
        <w:rPr>
          <w:lang w:val="en-US"/>
        </w:rPr>
        <w:t xml:space="preserve">Flux regime in </w:t>
      </w:r>
      <w:proofErr w:type="spellStart"/>
      <w:r w:rsidRPr="00786C9E">
        <w:rPr>
          <w:lang w:val="en-US"/>
        </w:rPr>
        <w:t>ph</w:t>
      </w:r>
      <w:proofErr w:type="spellEnd"/>
      <w:r w:rsidRPr="00786C9E">
        <w:rPr>
          <w:lang w:val="en-US"/>
        </w:rPr>
        <w:t>/s:</w:t>
      </w:r>
    </w:p>
    <w:p w14:paraId="7B6AB19C" w14:textId="682E5EB3" w:rsidR="00786C9E" w:rsidRPr="00786C9E" w:rsidRDefault="00786C9E" w:rsidP="00786C9E">
      <w:pPr>
        <w:pStyle w:val="Listenabsatz"/>
        <w:numPr>
          <w:ilvl w:val="0"/>
          <w:numId w:val="1"/>
        </w:numPr>
        <w:rPr>
          <w:lang w:val="en-US"/>
        </w:rPr>
      </w:pPr>
      <w:r w:rsidRPr="00786C9E">
        <w:rPr>
          <w:lang w:val="en-US"/>
        </w:rPr>
        <w:t>Resolving power:</w:t>
      </w:r>
    </w:p>
    <w:p w14:paraId="472CAB8D" w14:textId="300E780A" w:rsidR="00786C9E" w:rsidRPr="00786C9E" w:rsidRDefault="00786C9E" w:rsidP="00786C9E">
      <w:pPr>
        <w:pStyle w:val="Listenabsatz"/>
        <w:numPr>
          <w:ilvl w:val="0"/>
          <w:numId w:val="1"/>
        </w:numPr>
        <w:rPr>
          <w:lang w:val="en-US"/>
        </w:rPr>
      </w:pPr>
      <w:r w:rsidRPr="00786C9E">
        <w:rPr>
          <w:lang w:val="en-US"/>
        </w:rPr>
        <w:t>Resolving power (combined</w:t>
      </w:r>
      <w:r w:rsidR="00A00E2C">
        <w:rPr>
          <w:lang w:val="en-US"/>
        </w:rPr>
        <w:t xml:space="preserve"> </w:t>
      </w:r>
      <w:proofErr w:type="spellStart"/>
      <w:r w:rsidR="00A00E2C">
        <w:rPr>
          <w:lang w:val="en-US"/>
        </w:rPr>
        <w:t>BL+Spectrometer</w:t>
      </w:r>
      <w:proofErr w:type="spellEnd"/>
      <w:r w:rsidRPr="00786C9E">
        <w:rPr>
          <w:lang w:val="en-US"/>
        </w:rPr>
        <w:t>):</w:t>
      </w:r>
    </w:p>
    <w:p w14:paraId="1CBD71CE" w14:textId="77777777" w:rsidR="00BF6379" w:rsidRPr="00BF6379" w:rsidRDefault="00BF6379" w:rsidP="00BF6379">
      <w:pPr>
        <w:pStyle w:val="Listenabsatz"/>
        <w:numPr>
          <w:ilvl w:val="0"/>
          <w:numId w:val="1"/>
        </w:numPr>
        <w:rPr>
          <w:lang w:val="en-US"/>
        </w:rPr>
      </w:pPr>
      <w:r w:rsidRPr="00BF6379">
        <w:rPr>
          <w:lang w:val="en-US"/>
        </w:rPr>
        <w:t>Important absorption edges (now and in the future):</w:t>
      </w:r>
      <w:r w:rsidRPr="00BF6379">
        <w:rPr>
          <w:lang w:val="en-US"/>
        </w:rPr>
        <w:br/>
      </w:r>
      <w:r w:rsidRPr="00BF6379">
        <w:rPr>
          <w:i/>
          <w:iCs/>
          <w:sz w:val="20"/>
          <w:szCs w:val="20"/>
          <w:lang w:val="en-US"/>
        </w:rPr>
        <w:t>e.g.:</w:t>
      </w:r>
      <w:r w:rsidRPr="00BF6379">
        <w:rPr>
          <w:sz w:val="20"/>
          <w:szCs w:val="20"/>
          <w:lang w:val="en-US"/>
        </w:rPr>
        <w:t xml:space="preserve"> </w:t>
      </w:r>
      <w:r w:rsidRPr="00BF6379">
        <w:rPr>
          <w:i/>
          <w:iCs/>
          <w:sz w:val="20"/>
          <w:szCs w:val="20"/>
          <w:lang w:val="en-US"/>
        </w:rPr>
        <w:t xml:space="preserve">OK-edge // min. </w:t>
      </w:r>
      <w:proofErr w:type="spellStart"/>
      <w:r w:rsidRPr="00BF6379">
        <w:rPr>
          <w:i/>
          <w:iCs/>
          <w:sz w:val="20"/>
          <w:szCs w:val="20"/>
          <w:lang w:val="en-US"/>
        </w:rPr>
        <w:t>Ehv</w:t>
      </w:r>
      <w:proofErr w:type="spellEnd"/>
      <w:r w:rsidRPr="00BF6379">
        <w:rPr>
          <w:i/>
          <w:iCs/>
          <w:sz w:val="20"/>
          <w:szCs w:val="20"/>
          <w:lang w:val="en-US"/>
        </w:rPr>
        <w:t xml:space="preserve"> range: 525 eV – 545 eV // min. E-feature size to resolve: 30 </w:t>
      </w:r>
      <w:proofErr w:type="spellStart"/>
      <w:r w:rsidRPr="00BF6379">
        <w:rPr>
          <w:i/>
          <w:iCs/>
          <w:sz w:val="20"/>
          <w:szCs w:val="20"/>
          <w:lang w:val="en-US"/>
        </w:rPr>
        <w:t>meV</w:t>
      </w:r>
      <w:proofErr w:type="spellEnd"/>
    </w:p>
    <w:p w14:paraId="17BE200F" w14:textId="77777777" w:rsidR="00786C9E" w:rsidRPr="00786C9E" w:rsidRDefault="00786C9E" w:rsidP="00786C9E">
      <w:pPr>
        <w:pStyle w:val="Listenabsatz"/>
        <w:numPr>
          <w:ilvl w:val="0"/>
          <w:numId w:val="1"/>
        </w:numPr>
        <w:rPr>
          <w:lang w:val="en-US"/>
        </w:rPr>
      </w:pPr>
      <w:r w:rsidRPr="00786C9E">
        <w:rPr>
          <w:lang w:val="en-US"/>
        </w:rPr>
        <w:t>Acceptance angle:</w:t>
      </w:r>
    </w:p>
    <w:p w14:paraId="73E09F23" w14:textId="77777777" w:rsidR="00786C9E" w:rsidRPr="00786C9E" w:rsidRDefault="00786C9E" w:rsidP="00786C9E">
      <w:pPr>
        <w:pStyle w:val="Listenabsatz"/>
        <w:numPr>
          <w:ilvl w:val="0"/>
          <w:numId w:val="1"/>
        </w:numPr>
        <w:rPr>
          <w:lang w:val="en-US"/>
        </w:rPr>
      </w:pPr>
      <w:r w:rsidRPr="00786C9E">
        <w:rPr>
          <w:lang w:val="en-US"/>
        </w:rPr>
        <w:t>Scattering angle (range or a set of important angles):</w:t>
      </w:r>
      <w:r w:rsidRPr="00786C9E">
        <w:rPr>
          <w:lang w:val="en-US"/>
        </w:rPr>
        <w:br/>
      </w:r>
      <w:r w:rsidRPr="00786C9E">
        <w:rPr>
          <w:sz w:val="20"/>
          <w:szCs w:val="20"/>
          <w:lang w:val="en-US"/>
        </w:rPr>
        <w:t>by limiting the angles, we could build a larger spectrometer (depends on the available space)</w:t>
      </w:r>
    </w:p>
    <w:p w14:paraId="0B45EAB1" w14:textId="0BFE6B95" w:rsidR="00786C9E" w:rsidRPr="00786C9E" w:rsidRDefault="00786C9E" w:rsidP="00786C9E">
      <w:pPr>
        <w:pStyle w:val="Listenabsatz"/>
        <w:numPr>
          <w:ilvl w:val="0"/>
          <w:numId w:val="1"/>
        </w:numPr>
        <w:rPr>
          <w:lang w:val="en-US"/>
        </w:rPr>
      </w:pPr>
      <w:r w:rsidRPr="00786C9E">
        <w:rPr>
          <w:lang w:val="en-US"/>
        </w:rPr>
        <w:t xml:space="preserve">Energy window of the </w:t>
      </w:r>
      <w:r w:rsidR="009F4184">
        <w:rPr>
          <w:lang w:val="en-US"/>
        </w:rPr>
        <w:t>d</w:t>
      </w:r>
      <w:r w:rsidRPr="00786C9E">
        <w:rPr>
          <w:lang w:val="en-US"/>
        </w:rPr>
        <w:t>etector:</w:t>
      </w:r>
    </w:p>
    <w:p w14:paraId="14494E36" w14:textId="77777777" w:rsidR="00786C9E" w:rsidRPr="00786C9E" w:rsidRDefault="00786C9E" w:rsidP="00786C9E">
      <w:pPr>
        <w:pStyle w:val="Listenabsatz"/>
        <w:numPr>
          <w:ilvl w:val="0"/>
          <w:numId w:val="1"/>
        </w:numPr>
        <w:rPr>
          <w:lang w:val="en-US"/>
        </w:rPr>
      </w:pPr>
      <w:r w:rsidRPr="00786C9E">
        <w:rPr>
          <w:lang w:val="en-US"/>
        </w:rPr>
        <w:t>Focus size on detector:</w:t>
      </w:r>
    </w:p>
    <w:p w14:paraId="0B542ED5" w14:textId="0385474E" w:rsidR="00A00E2C" w:rsidRDefault="00786C9E" w:rsidP="00A00E2C">
      <w:pPr>
        <w:pStyle w:val="Listenabsatz"/>
        <w:numPr>
          <w:ilvl w:val="0"/>
          <w:numId w:val="1"/>
        </w:numPr>
        <w:rPr>
          <w:lang w:val="en-US"/>
        </w:rPr>
      </w:pPr>
      <w:r w:rsidRPr="00786C9E">
        <w:rPr>
          <w:lang w:val="en-US"/>
        </w:rPr>
        <w:t>Focus shape on detector (round, line, etc.):</w:t>
      </w:r>
    </w:p>
    <w:p w14:paraId="5F912575" w14:textId="77777777" w:rsidR="00A00E2C" w:rsidRDefault="00A00E2C" w:rsidP="00A00E2C">
      <w:pPr>
        <w:rPr>
          <w:lang w:val="en-US"/>
        </w:rPr>
      </w:pPr>
    </w:p>
    <w:p w14:paraId="46DF2725" w14:textId="68EB192A" w:rsidR="00A00E2C" w:rsidRDefault="00A00E2C" w:rsidP="00A00E2C">
      <w:pPr>
        <w:rPr>
          <w:lang w:val="en-US"/>
        </w:rPr>
      </w:pPr>
      <w:r>
        <w:rPr>
          <w:lang w:val="en-US"/>
        </w:rPr>
        <w:t>Regarding the spectrometer, we need to know the following parameter/constrains etc.</w:t>
      </w:r>
      <w:r>
        <w:rPr>
          <w:lang w:val="en-US"/>
        </w:rPr>
        <w:t>:</w:t>
      </w:r>
    </w:p>
    <w:p w14:paraId="2371F296" w14:textId="77777777" w:rsidR="00A00E2C" w:rsidRPr="00A00E2C" w:rsidRDefault="00A00E2C" w:rsidP="00A00E2C">
      <w:pPr>
        <w:pStyle w:val="Listenabsatz"/>
        <w:numPr>
          <w:ilvl w:val="0"/>
          <w:numId w:val="2"/>
        </w:numPr>
        <w:rPr>
          <w:lang w:val="en-US"/>
        </w:rPr>
      </w:pPr>
      <w:r w:rsidRPr="00A00E2C">
        <w:rPr>
          <w:lang w:val="en-US"/>
        </w:rPr>
        <w:t>Energy range (eV):</w:t>
      </w:r>
    </w:p>
    <w:p w14:paraId="65743005" w14:textId="77777777" w:rsidR="00A00E2C" w:rsidRPr="00A00E2C" w:rsidRDefault="00A00E2C" w:rsidP="00A00E2C">
      <w:pPr>
        <w:pStyle w:val="Listenabsatz"/>
        <w:numPr>
          <w:ilvl w:val="0"/>
          <w:numId w:val="2"/>
        </w:numPr>
        <w:rPr>
          <w:lang w:val="en-US"/>
        </w:rPr>
      </w:pPr>
      <w:r w:rsidRPr="00A00E2C">
        <w:rPr>
          <w:lang w:val="en-US"/>
        </w:rPr>
        <w:t xml:space="preserve">Flux regime in </w:t>
      </w:r>
      <w:proofErr w:type="spellStart"/>
      <w:r w:rsidRPr="00A00E2C">
        <w:rPr>
          <w:lang w:val="en-US"/>
        </w:rPr>
        <w:t>ph</w:t>
      </w:r>
      <w:proofErr w:type="spellEnd"/>
      <w:r w:rsidRPr="00A00E2C">
        <w:rPr>
          <w:lang w:val="en-US"/>
        </w:rPr>
        <w:t xml:space="preserve">/s (beamline): </w:t>
      </w:r>
    </w:p>
    <w:p w14:paraId="35630D41" w14:textId="77777777" w:rsidR="00A00E2C" w:rsidRPr="00A00E2C" w:rsidRDefault="00A00E2C" w:rsidP="00A00E2C">
      <w:pPr>
        <w:pStyle w:val="Listenabsatz"/>
        <w:numPr>
          <w:ilvl w:val="0"/>
          <w:numId w:val="2"/>
        </w:numPr>
        <w:rPr>
          <w:lang w:val="en-US"/>
        </w:rPr>
      </w:pPr>
      <w:r w:rsidRPr="00A00E2C">
        <w:rPr>
          <w:lang w:val="en-US"/>
        </w:rPr>
        <w:t>Resolving power:</w:t>
      </w:r>
    </w:p>
    <w:p w14:paraId="34003D7F" w14:textId="77777777" w:rsidR="00A00E2C" w:rsidRPr="00A00E2C" w:rsidRDefault="00A00E2C" w:rsidP="00A00E2C">
      <w:pPr>
        <w:pStyle w:val="Listenabsatz"/>
        <w:numPr>
          <w:ilvl w:val="0"/>
          <w:numId w:val="2"/>
        </w:numPr>
        <w:rPr>
          <w:lang w:val="en-US"/>
        </w:rPr>
      </w:pPr>
      <w:r w:rsidRPr="00A00E2C">
        <w:rPr>
          <w:lang w:val="en-US"/>
        </w:rPr>
        <w:t>Focus size on sample:</w:t>
      </w:r>
    </w:p>
    <w:p w14:paraId="08440489" w14:textId="77777777" w:rsidR="00A00E2C" w:rsidRPr="00A00E2C" w:rsidRDefault="00A00E2C" w:rsidP="00A00E2C">
      <w:pPr>
        <w:pStyle w:val="Listenabsatz"/>
        <w:numPr>
          <w:ilvl w:val="0"/>
          <w:numId w:val="2"/>
        </w:numPr>
        <w:rPr>
          <w:lang w:val="en-US"/>
        </w:rPr>
      </w:pPr>
      <w:r w:rsidRPr="00A00E2C">
        <w:rPr>
          <w:lang w:val="en-US"/>
        </w:rPr>
        <w:t>Focus shape on sample (round, line, etc.):</w:t>
      </w:r>
    </w:p>
    <w:p w14:paraId="346EB59D" w14:textId="77777777" w:rsidR="00A00E2C" w:rsidRPr="00A00E2C" w:rsidRDefault="00A00E2C" w:rsidP="00A00E2C">
      <w:pPr>
        <w:pStyle w:val="Listenabsatz"/>
        <w:numPr>
          <w:ilvl w:val="0"/>
          <w:numId w:val="2"/>
        </w:numPr>
        <w:rPr>
          <w:lang w:val="en-US"/>
        </w:rPr>
      </w:pPr>
      <w:r w:rsidRPr="00A00E2C">
        <w:rPr>
          <w:lang w:val="en-US"/>
        </w:rPr>
        <w:t>To consider: smaller focus on sample for good RIXS mapping measurements or is it better to have lower divergence to be quicker in alignment (focus will be lager on sample)</w:t>
      </w:r>
    </w:p>
    <w:p w14:paraId="38E4B658" w14:textId="77777777" w:rsidR="00786C9E" w:rsidRDefault="00786C9E">
      <w:pPr>
        <w:rPr>
          <w:lang w:val="en-US"/>
        </w:rPr>
      </w:pPr>
    </w:p>
    <w:p w14:paraId="1BE95285" w14:textId="4E1FBD30" w:rsidR="00A14480" w:rsidRDefault="00A14480">
      <w:pPr>
        <w:rPr>
          <w:lang w:val="en-US"/>
        </w:rPr>
      </w:pPr>
      <w:r>
        <w:rPr>
          <w:lang w:val="en-US"/>
        </w:rPr>
        <w:t xml:space="preserve">If you have any questions, don’t hesitate to contact me. </w:t>
      </w:r>
    </w:p>
    <w:p w14:paraId="5708B6AE" w14:textId="2BB9C8D8" w:rsidR="00A14480" w:rsidRDefault="00A14480">
      <w:pPr>
        <w:rPr>
          <w:lang w:val="en-US"/>
        </w:rPr>
      </w:pPr>
      <w:r>
        <w:rPr>
          <w:lang w:val="en-US"/>
        </w:rPr>
        <w:t>Best</w:t>
      </w:r>
    </w:p>
    <w:p w14:paraId="21C384C9" w14:textId="15B58691" w:rsidR="00A14480" w:rsidRPr="004D228B" w:rsidRDefault="00A14480">
      <w:pPr>
        <w:rPr>
          <w:lang w:val="en-US"/>
        </w:rPr>
      </w:pPr>
      <w:r>
        <w:rPr>
          <w:lang w:val="en-US"/>
        </w:rPr>
        <w:t>Sebastian</w:t>
      </w:r>
    </w:p>
    <w:sectPr w:rsidR="00A14480" w:rsidRPr="004D22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F78"/>
    <w:multiLevelType w:val="hybridMultilevel"/>
    <w:tmpl w:val="B914B32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EA85B8F"/>
    <w:multiLevelType w:val="hybridMultilevel"/>
    <w:tmpl w:val="829AB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AA7627"/>
    <w:multiLevelType w:val="hybridMultilevel"/>
    <w:tmpl w:val="305EFC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0346126">
    <w:abstractNumId w:val="2"/>
  </w:num>
  <w:num w:numId="2" w16cid:durableId="1256477204">
    <w:abstractNumId w:val="1"/>
  </w:num>
  <w:num w:numId="3" w16cid:durableId="10343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8B"/>
    <w:rsid w:val="000B046A"/>
    <w:rsid w:val="000C0695"/>
    <w:rsid w:val="0012714E"/>
    <w:rsid w:val="00182FF8"/>
    <w:rsid w:val="001C4724"/>
    <w:rsid w:val="0028464E"/>
    <w:rsid w:val="0029449E"/>
    <w:rsid w:val="002D1731"/>
    <w:rsid w:val="00306390"/>
    <w:rsid w:val="00475384"/>
    <w:rsid w:val="004D228B"/>
    <w:rsid w:val="00560B74"/>
    <w:rsid w:val="005B7C24"/>
    <w:rsid w:val="005F4FE3"/>
    <w:rsid w:val="0061697D"/>
    <w:rsid w:val="00786C9E"/>
    <w:rsid w:val="009A09E8"/>
    <w:rsid w:val="009F4184"/>
    <w:rsid w:val="00A00E2C"/>
    <w:rsid w:val="00A14480"/>
    <w:rsid w:val="00B00117"/>
    <w:rsid w:val="00B2144F"/>
    <w:rsid w:val="00BB0264"/>
    <w:rsid w:val="00BF6379"/>
    <w:rsid w:val="00C8143B"/>
    <w:rsid w:val="00CC5A99"/>
    <w:rsid w:val="00CF18A7"/>
    <w:rsid w:val="00D36028"/>
    <w:rsid w:val="00D608FE"/>
    <w:rsid w:val="00E16896"/>
    <w:rsid w:val="00F3394B"/>
    <w:rsid w:val="00F86B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45E4"/>
  <w15:chartTrackingRefBased/>
  <w15:docId w15:val="{00E377BD-4569-4504-91C9-CA17CB32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F6379"/>
  </w:style>
  <w:style w:type="paragraph" w:styleId="berschrift1">
    <w:name w:val="heading 1"/>
    <w:basedOn w:val="Standard"/>
    <w:next w:val="Standard"/>
    <w:link w:val="berschrift1Zchn"/>
    <w:uiPriority w:val="9"/>
    <w:qFormat/>
    <w:rsid w:val="004D2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D2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D22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D22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D22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D22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D22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D22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D22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D22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D228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D22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D22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D22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D22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D22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D22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D228B"/>
    <w:rPr>
      <w:rFonts w:eastAsiaTheme="majorEastAsia" w:cstheme="majorBidi"/>
      <w:color w:val="272727" w:themeColor="text1" w:themeTint="D8"/>
    </w:rPr>
  </w:style>
  <w:style w:type="paragraph" w:styleId="Titel">
    <w:name w:val="Title"/>
    <w:basedOn w:val="Standard"/>
    <w:next w:val="Standard"/>
    <w:link w:val="TitelZchn"/>
    <w:uiPriority w:val="10"/>
    <w:qFormat/>
    <w:rsid w:val="004D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22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D22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D22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D22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D228B"/>
    <w:rPr>
      <w:i/>
      <w:iCs/>
      <w:color w:val="404040" w:themeColor="text1" w:themeTint="BF"/>
    </w:rPr>
  </w:style>
  <w:style w:type="paragraph" w:styleId="Listenabsatz">
    <w:name w:val="List Paragraph"/>
    <w:basedOn w:val="Standard"/>
    <w:uiPriority w:val="34"/>
    <w:qFormat/>
    <w:rsid w:val="004D228B"/>
    <w:pPr>
      <w:ind w:left="720"/>
      <w:contextualSpacing/>
    </w:pPr>
  </w:style>
  <w:style w:type="character" w:styleId="IntensiveHervorhebung">
    <w:name w:val="Intense Emphasis"/>
    <w:basedOn w:val="Absatz-Standardschriftart"/>
    <w:uiPriority w:val="21"/>
    <w:qFormat/>
    <w:rsid w:val="004D228B"/>
    <w:rPr>
      <w:i/>
      <w:iCs/>
      <w:color w:val="0F4761" w:themeColor="accent1" w:themeShade="BF"/>
    </w:rPr>
  </w:style>
  <w:style w:type="paragraph" w:styleId="IntensivesZitat">
    <w:name w:val="Intense Quote"/>
    <w:basedOn w:val="Standard"/>
    <w:next w:val="Standard"/>
    <w:link w:val="IntensivesZitatZchn"/>
    <w:uiPriority w:val="30"/>
    <w:qFormat/>
    <w:rsid w:val="004D2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D228B"/>
    <w:rPr>
      <w:i/>
      <w:iCs/>
      <w:color w:val="0F4761" w:themeColor="accent1" w:themeShade="BF"/>
    </w:rPr>
  </w:style>
  <w:style w:type="character" w:styleId="IntensiverVerweis">
    <w:name w:val="Intense Reference"/>
    <w:basedOn w:val="Absatz-Standardschriftart"/>
    <w:uiPriority w:val="32"/>
    <w:qFormat/>
    <w:rsid w:val="004D228B"/>
    <w:rPr>
      <w:b/>
      <w:bCs/>
      <w:smallCaps/>
      <w:color w:val="0F4761" w:themeColor="accent1" w:themeShade="BF"/>
      <w:spacing w:val="5"/>
    </w:rPr>
  </w:style>
  <w:style w:type="paragraph" w:styleId="NurText">
    <w:name w:val="Plain Text"/>
    <w:basedOn w:val="Standard"/>
    <w:link w:val="NurTextZchn"/>
    <w:uiPriority w:val="99"/>
    <w:semiHidden/>
    <w:unhideWhenUsed/>
    <w:rsid w:val="0029449E"/>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29449E"/>
    <w:rPr>
      <w:rFonts w:ascii="Consolas" w:hAnsi="Consolas"/>
      <w:sz w:val="21"/>
      <w:szCs w:val="21"/>
    </w:rPr>
  </w:style>
  <w:style w:type="character" w:styleId="Hyperlink">
    <w:name w:val="Hyperlink"/>
    <w:basedOn w:val="Absatz-Standardschriftart"/>
    <w:uiPriority w:val="99"/>
    <w:unhideWhenUsed/>
    <w:rsid w:val="0029449E"/>
    <w:rPr>
      <w:color w:val="467886" w:themeColor="hyperlink"/>
      <w:u w:val="single"/>
    </w:rPr>
  </w:style>
  <w:style w:type="character" w:styleId="NichtaufgelsteErwhnung">
    <w:name w:val="Unresolved Mention"/>
    <w:basedOn w:val="Absatz-Standardschriftart"/>
    <w:uiPriority w:val="99"/>
    <w:semiHidden/>
    <w:unhideWhenUsed/>
    <w:rsid w:val="0029449E"/>
    <w:rPr>
      <w:color w:val="605E5C"/>
      <w:shd w:val="clear" w:color="auto" w:fill="E1DFDD"/>
    </w:rPr>
  </w:style>
  <w:style w:type="character" w:styleId="BesuchterLink">
    <w:name w:val="FollowedHyperlink"/>
    <w:basedOn w:val="Absatz-Standardschriftart"/>
    <w:uiPriority w:val="99"/>
    <w:semiHidden/>
    <w:unhideWhenUsed/>
    <w:rsid w:val="002944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urnals.iucr.org/s/issues/2020/05/00/il5053/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1878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Malerz, Sebastian</dc:creator>
  <cp:keywords/>
  <dc:description/>
  <cp:lastModifiedBy>Malerz, Sebastian</cp:lastModifiedBy>
  <cp:revision>30</cp:revision>
  <dcterms:created xsi:type="dcterms:W3CDTF">2025-09-22T07:41:00Z</dcterms:created>
  <dcterms:modified xsi:type="dcterms:W3CDTF">2025-09-22T18:48:00Z</dcterms:modified>
</cp:coreProperties>
</file>