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365D"/>
          <w:sz w:val="72"/>
          <w:szCs w:val="72"/>
        </w:rPr>
        <w:t xml:space="preserve">THE CHECKMATE FRAMEWORK</w:t>
      </w:r>
    </w:p>
    <w:p>
      <w:pPr>
        <w:spacing w:before="400"/>
      </w:pPr>
    </w:p>
    <w:p>
      <w:pPr>
        <w:jc w:val="center"/>
      </w:pPr>
      <w:r>
        <w:rPr>
          <w:color w:val="4A5568"/>
          <w:sz w:val="36"/>
          <w:szCs w:val="36"/>
        </w:rPr>
        <w:t xml:space="preserve">A Systematic On-Chain Bitcoin Trading Model</w:t>
      </w:r>
    </w:p>
    <w:p>
      <w:pPr>
        <w:spacing w:before="600"/>
      </w:pPr>
    </w:p>
    <w:p>
      <w:pPr>
        <w:jc w:val="center"/>
      </w:pPr>
      <w:r>
        <w:rPr>
          <w:i/>
          <w:iCs/>
          <w:color w:val="2B6CB0"/>
          <w:sz w:val="24"/>
          <w:szCs w:val="24"/>
        </w:rPr>
        <w:t xml:space="preserve">Based on the Masterclass Series by James Check</w:t>
      </w:r>
    </w:p>
    <w:p>
      <w:pPr>
        <w:spacing w:before="200"/>
      </w:pPr>
    </w:p>
    <w:p>
      <w:pPr>
        <w:jc w:val="center"/>
      </w:pPr>
      <w:r>
        <w:rPr>
          <w:color w:val="4A5568"/>
          <w:sz w:val="22"/>
          <w:szCs w:val="22"/>
        </w:rPr>
        <w:t xml:space="preserve">January 2026</w:t>
      </w:r>
    </w:p>
    <w:p>
      <w:pPr>
        <w:spacing w:before="1500"/>
      </w:pPr>
    </w:p>
    <w:p>
      <w:pPr>
        <w:jc w:val="center"/>
      </w:pPr>
      <w:r>
        <w:rPr>
          <w:i/>
          <w:iCs/>
          <w:color w:val="4A5568"/>
          <w:sz w:val="24"/>
          <w:szCs w:val="24"/>
        </w:rPr>
        <w:t xml:space="preserve">"We cannot predict the future, but we can certainly prepare for it."</w:t>
      </w:r>
    </w:p>
    <w:p>
      <w:pPr>
        <w:jc w:val="center"/>
      </w:pPr>
      <w:r>
        <w:rPr>
          <w:color w:val="4A5568"/>
          <w:sz w:val="20"/>
          <w:szCs w:val="20"/>
        </w:rPr>
        <w:t xml:space="preserve">- James Check</w:t>
      </w:r>
    </w:p>
    <w:p>
      <w:r>
        <w:br w:type="page"/>
      </w:r>
    </w:p>
    <w:p>
      <w:pPr>
        <w:pStyle w:val="Heading1"/>
      </w:pPr>
      <w:r>
        <w:t xml:space="preserve">Executive Summary</w:t>
      </w:r>
    </w:p>
    <w:p>
      <w:pPr>
        <w:spacing w:after="200"/>
      </w:pPr>
      <w:r>
        <w:rPr>
          <w:sz w:val="22"/>
          <w:szCs w:val="22"/>
        </w:rPr>
        <w:t xml:space="preserve">This framework translates the qualitative insights from James Check's on-chain masterclass into a systematic, rules-based trading model. The core philosophy: human behavior in markets is a constant we can rely on, and FOMO is one hell of a drug.</w:t>
      </w:r>
    </w:p>
    <w:p>
      <w:pPr>
        <w:spacing w:after="200"/>
      </w:pPr>
      <w:r>
        <w:rPr>
          <w:sz w:val="22"/>
          <w:szCs w:val="22"/>
        </w:rPr>
        <w:t xml:space="preserve">The model synthesizes multiple on-chain metrics into a composite score that identifies accumulation zones (buy low) and distribution zones (sell high) based on the aggregate behavior of market participants.</w:t>
      </w:r>
    </w:p>
    <w:p>
      <w:pPr>
        <w:spacing w:after="200"/>
      </w:pPr>
      <w:r>
        <w:rPr>
          <w:b/>
          <w:bCs/>
          <w:sz w:val="22"/>
          <w:szCs w:val="22"/>
        </w:rPr>
        <w:t xml:space="preserve">Key Principles:</w:t>
      </w:r>
    </w:p>
    <w:p>
      <w:pPr>
        <w:pStyle w:val="ListParagraph"/>
        <w:numPr>
          <w:ilvl w:val="0"/>
          <w:numId w:val="2"/>
        </w:numPr>
      </w:pPr>
      <w:r>
        <w:rPr>
          <w:sz w:val="22"/>
          <w:szCs w:val="22"/>
        </w:rPr>
        <w:t xml:space="preserve">Smart money accumulates during bear markets when coins are cheap and conviction is tested</w:t>
      </w:r>
    </w:p>
    <w:p>
      <w:pPr>
        <w:pStyle w:val="ListParagraph"/>
        <w:numPr>
          <w:ilvl w:val="0"/>
          <w:numId w:val="2"/>
        </w:numPr>
      </w:pPr>
      <w:r>
        <w:rPr>
          <w:sz w:val="22"/>
          <w:szCs w:val="22"/>
        </w:rPr>
        <w:t xml:space="preserve">Inexperienced money arrives at tops after being told they're missing out</w:t>
      </w:r>
    </w:p>
    <w:p>
      <w:pPr>
        <w:pStyle w:val="ListParagraph"/>
        <w:numPr>
          <w:ilvl w:val="0"/>
          <w:numId w:val="2"/>
        </w:numPr>
      </w:pPr>
      <w:r>
        <w:rPr>
          <w:sz w:val="22"/>
          <w:szCs w:val="22"/>
        </w:rPr>
        <w:t xml:space="preserve">People take profits when they have profits to take (profit motivation)</w:t>
      </w:r>
    </w:p>
    <w:p>
      <w:pPr>
        <w:pStyle w:val="ListParagraph"/>
        <w:numPr>
          <w:ilvl w:val="0"/>
          <w:numId w:val="2"/>
        </w:numPr>
      </w:pPr>
      <w:r>
        <w:rPr>
          <w:sz w:val="22"/>
          <w:szCs w:val="22"/>
        </w:rPr>
        <w:t xml:space="preserve">Capitulation cascades signal regime changes</w:t>
      </w:r>
    </w:p>
    <w:p>
      <w:r>
        <w:br w:type="page"/>
      </w:r>
    </w:p>
    <w:p>
      <w:pPr>
        <w:pStyle w:val="Heading1"/>
      </w:pPr>
      <w:r>
        <w:t xml:space="preserve">Framework Architecture</w:t>
      </w:r>
    </w:p>
    <w:p>
      <w:pPr>
        <w:spacing w:after="200"/>
      </w:pPr>
      <w:r>
        <w:rPr>
          <w:sz w:val="22"/>
          <w:szCs w:val="22"/>
        </w:rPr>
        <w:t xml:space="preserve">The Checkmate Framework consists of three integrated layers that work together to generate high-conviction trading signals:</w:t>
      </w:r>
    </w:p>
    <w:p>
      <w:pPr>
        <w:pStyle w:val="Heading2"/>
      </w:pPr>
      <w:r>
        <w:t xml:space="preserve">Layer 1: Investor Profitability Indicators</w:t>
      </w:r>
    </w:p>
    <w:p>
      <w:pPr>
        <w:spacing w:after="150"/>
      </w:pPr>
      <w:r>
        <w:rPr>
          <w:sz w:val="22"/>
          <w:szCs w:val="22"/>
        </w:rPr>
        <w:t xml:space="preserve">These metrics measure the aggregate profit or loss state of market participants. The core insight: investors are incentivized to take action based on their P&amp;L 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Metric</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What It Measures</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Bullish Signal</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Bearish Signal</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Weight</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MVRV</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Aggregate unrealized P/L</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&lt; 1.0</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&gt; 2.4</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25%</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STH-MVRV</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Short-term holder P/L</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&lt; 1.0</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&gt; 1.4</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15%</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LTH-MVRV</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Long-term holder P/L</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&lt; 1.5</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&gt; 3.5</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15%</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NUPL</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Net unrealized P/L ratio</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&lt; 0.25</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&gt; 0.6</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15%</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AVIV</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Active investor valuation</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&lt; 1.0</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&gt; 1.5</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10%</w:t>
            </w:r>
          </w:p>
        </w:tc>
      </w:tr>
    </w:tbl>
    <w:p>
      <w:pPr>
        <w:spacing w:before="300" w:after="150"/>
      </w:pPr>
    </w:p>
    <w:p>
      <w:pPr>
        <w:pStyle w:val="Heading2"/>
      </w:pPr>
      <w:r>
        <w:t xml:space="preserve">Layer 2: Spending Behavior Indicators</w:t>
      </w:r>
    </w:p>
    <w:p>
      <w:pPr>
        <w:spacing w:after="150"/>
      </w:pPr>
      <w:r>
        <w:rPr>
          <w:sz w:val="22"/>
          <w:szCs w:val="22"/>
        </w:rPr>
        <w:t xml:space="preserve">These metrics confirm whether investors are actually acting on their incentives by measuring realized profit-taking, loss capitulation, and old coin movement.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Metric</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What It Measures</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Bullish Signal</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Bearish Signal</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Weight</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SOPR</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Profit multiple of spent coins</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&lt; 1.0</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&gt; 1.05</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15%</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aSOPR</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SOPR (adjusted, no dust)</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&lt; 1.0</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&gt; 1.08</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10%</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Realized P/L Ratio</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Profit vs loss volume</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&lt; 0.5</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&gt; 10</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10%</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CDD (90d MA)</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Old coin dormancy</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Low &amp; flat</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Spiking</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10%</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Sell-Side Risk</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Profit taking vs market size</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&lt; 0.1%</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&gt; 0.5%</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10%</w:t>
            </w:r>
          </w:p>
        </w:tc>
      </w:tr>
    </w:tbl>
    <w:p>
      <w:pPr>
        <w:spacing w:before="300" w:after="150"/>
      </w:pPr>
    </w:p>
    <w:p>
      <w:pPr>
        <w:pStyle w:val="Heading2"/>
      </w:pPr>
      <w:r>
        <w:t xml:space="preserve">Layer 3: Market Structure Indicators</w:t>
      </w:r>
    </w:p>
    <w:p>
      <w:pPr>
        <w:spacing w:after="150"/>
      </w:pPr>
      <w:r>
        <w:rPr>
          <w:sz w:val="22"/>
          <w:szCs w:val="22"/>
        </w:rPr>
        <w:t xml:space="preserve">These metrics provide context about supply distribution, holder conviction, and derivatives positioning that helps validate Layer 1 and 2 signals.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Metric</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What It Measures</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Bullish Signal</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Bearish Signal</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Weight</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LTH Supply</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High-conviction holding</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Rising</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Falling sharply</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15%</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STH Supply</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Speculative demand</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Low &amp; rising</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Peaked &amp; falling</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10%</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Exchange Flows</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Accumulation vs distribution</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Net outflows</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Net inflows</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10%</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Funding Rates</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Derivatives sentiment</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Negative/neutral</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Highly positive</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10%</w:t>
            </w:r>
          </w:p>
        </w:tc>
      </w:tr>
      <w:tr>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Puell Multiple</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Miner revenue stress</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&lt; 0.5</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&gt; 4.0</w:t>
            </w:r>
          </w:p>
        </w:tc>
        <w:tc>
          <w:tcPr>
            <w:tcW w:type="dxa" w:w="1872"/>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5%</w:t>
            </w:r>
          </w:p>
        </w:tc>
      </w:tr>
    </w:tbl>
    <w:p>
      <w:r>
        <w:br w:type="page"/>
      </w:r>
    </w:p>
    <w:p>
      <w:pPr>
        <w:pStyle w:val="Heading1"/>
      </w:pPr>
      <w:r>
        <w:t xml:space="preserve">Composite Score Calculation</w:t>
      </w:r>
    </w:p>
    <w:p>
      <w:pPr>
        <w:pStyle w:val="Heading2"/>
      </w:pPr>
      <w:r>
        <w:t xml:space="preserve">Individual Metric Scoring</w:t>
      </w:r>
    </w:p>
    <w:p>
      <w:pPr>
        <w:spacing w:after="150"/>
      </w:pPr>
      <w:r>
        <w:rPr>
          <w:sz w:val="22"/>
          <w:szCs w:val="22"/>
        </w:rPr>
        <w:t xml:space="preserve">Each metric is converted to a standardized score from -2 to +2 based on its current value relative to historical distributions: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Score</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Zone</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Interpretation</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Typical Percentile</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+2</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Extreme Bearish</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Euphoria/Distribution</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&gt; 95th</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+1</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Moderately Bearish</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Overheated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75th - 95th</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Neutral</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Fair Value Range</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25th - 75th</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-1</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Moderately Bullish</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Undervalued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5th - 25th</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-2</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Extreme Bullish</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Capitulation/Accumulation</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&lt; 5th</w:t>
            </w:r>
          </w:p>
        </w:tc>
      </w:tr>
    </w:tbl>
    <w:p>
      <w:pPr>
        <w:spacing w:before="300"/>
      </w:pPr>
    </w:p>
    <w:p>
      <w:pPr>
        <w:pStyle w:val="Heading2"/>
      </w:pPr>
      <w:r>
        <w:t xml:space="preserve">Weighted Composite Score</w:t>
      </w:r>
    </w:p>
    <w:p>
      <w:pPr>
        <w:spacing w:after="150"/>
      </w:pPr>
      <w:r>
        <w:rPr>
          <w:sz w:val="22"/>
          <w:szCs w:val="22"/>
        </w:rPr>
        <w:t xml:space="preserve">The final composite score is the weighted average of all individual metric scores. This produces a single value ranging from -2 (maximum bullish) to +2 (maximum bearish).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Composite Score</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Market State</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Action Signal</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Position Sizing</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-2.0 to -1.5</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Deep Value</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Aggressive Accumulation</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100% of target allocation</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-1.5 to -1.0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Value Zone</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Accumulation</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75% of target allocation</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-1.0 to -0.5</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Mild Value</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DCA / Hold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50% of target allocation</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-0.5 to +0.5</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Neutral</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Hold / Small DCA</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25% of target allocation</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+0.5 to +1.0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Mild Risk</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Reduce DCA</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Hold, no new buys</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+1.0 to +1.5</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Risk Zone</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Distribution</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Take 25-50% profits</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+1.5 to +2.0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Extreme Risk</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Aggressive Distribution</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Take 50-75% profits</w:t>
            </w:r>
          </w:p>
        </w:tc>
      </w:tr>
    </w:tbl>
    <w:p>
      <w:r>
        <w:br w:type="page"/>
      </w:r>
    </w:p>
    <w:p>
      <w:pPr>
        <w:pStyle w:val="Heading1"/>
      </w:pPr>
      <w:r>
        <w:t xml:space="preserve">Systematic Trading Rules</w:t>
      </w:r>
    </w:p>
    <w:p>
      <w:pPr>
        <w:pStyle w:val="Heading2"/>
      </w:pPr>
      <w:r>
        <w:t xml:space="preserve">Entry Rules (Accumulation Phase)</w:t>
      </w:r>
    </w:p>
    <w:p>
      <w:pPr>
        <w:spacing w:after="100"/>
      </w:pPr>
      <w:r>
        <w:rPr>
          <w:b/>
          <w:bCs/>
          <w:sz w:val="22"/>
          <w:szCs w:val="22"/>
        </w:rPr>
        <w:t xml:space="preserve">Primary Entry Conditions (all must be met):</w:t>
      </w:r>
    </w:p>
    <w:p>
      <w:pPr>
        <w:pStyle w:val="ListParagraph"/>
        <w:numPr>
          <w:ilvl w:val="0"/>
          <w:numId w:val="3"/>
        </w:numPr>
      </w:pPr>
      <w:r>
        <w:rPr>
          <w:sz w:val="22"/>
          <w:szCs w:val="22"/>
        </w:rPr>
        <w:t xml:space="preserve">Composite Score &lt; -0.5 (value territory)</w:t>
      </w:r>
    </w:p>
    <w:p>
      <w:pPr>
        <w:pStyle w:val="ListParagraph"/>
        <w:numPr>
          <w:ilvl w:val="0"/>
          <w:numId w:val="3"/>
        </w:numPr>
      </w:pPr>
      <w:r>
        <w:rPr>
          <w:sz w:val="22"/>
          <w:szCs w:val="22"/>
        </w:rPr>
        <w:t xml:space="preserve">MVRV &lt; 1.2 (aggregate holders near or underwater)</w:t>
      </w:r>
    </w:p>
    <w:p>
      <w:pPr>
        <w:pStyle w:val="ListParagraph"/>
        <w:numPr>
          <w:ilvl w:val="0"/>
          <w:numId w:val="3"/>
        </w:numPr>
      </w:pPr>
      <w:r>
        <w:rPr>
          <w:sz w:val="22"/>
          <w:szCs w:val="22"/>
        </w:rPr>
        <w:t xml:space="preserve">SOPR &lt; 1.02 (minimal profit-taking)</w:t>
      </w:r>
    </w:p>
    <w:p>
      <w:pPr>
        <w:pStyle w:val="ListParagraph"/>
        <w:numPr>
          <w:ilvl w:val="0"/>
          <w:numId w:val="3"/>
        </w:numPr>
      </w:pPr>
      <w:r>
        <w:rPr>
          <w:sz w:val="22"/>
          <w:szCs w:val="22"/>
        </w:rPr>
        <w:t xml:space="preserve">LTH supply stable or rising (smart money accumulating)</w:t>
      </w:r>
    </w:p>
    <w:p>
      <w:pPr>
        <w:spacing w:before="200" w:after="100"/>
      </w:pPr>
    </w:p>
    <w:p>
      <w:r>
        <w:rPr>
          <w:b/>
          <w:bCs/>
          <w:sz w:val="22"/>
          <w:szCs w:val="22"/>
        </w:rPr>
        <w:t xml:space="preserve">Aggressive Entry Conditions (any one triggers):</w:t>
      </w:r>
    </w:p>
    <w:p>
      <w:pPr>
        <w:pStyle w:val="ListParagraph"/>
        <w:numPr>
          <w:ilvl w:val="0"/>
          <w:numId w:val="2"/>
        </w:numPr>
      </w:pPr>
      <w:r>
        <w:rPr>
          <w:sz w:val="22"/>
          <w:szCs w:val="22"/>
        </w:rPr>
        <w:t xml:space="preserve">MVRV &lt; 0.8 (market-wide capitulation)</w:t>
      </w:r>
    </w:p>
    <w:p>
      <w:pPr>
        <w:pStyle w:val="ListParagraph"/>
        <w:numPr>
          <w:ilvl w:val="0"/>
          <w:numId w:val="2"/>
        </w:numPr>
      </w:pPr>
      <w:r>
        <w:rPr>
          <w:sz w:val="22"/>
          <w:szCs w:val="22"/>
        </w:rPr>
        <w:t xml:space="preserve">STH-MVRV &lt; 0.75 (speculator washout)</w:t>
      </w:r>
    </w:p>
    <w:p>
      <w:pPr>
        <w:pStyle w:val="ListParagraph"/>
        <w:numPr>
          <w:ilvl w:val="0"/>
          <w:numId w:val="2"/>
        </w:numPr>
      </w:pPr>
      <w:r>
        <w:rPr>
          <w:sz w:val="22"/>
          <w:szCs w:val="22"/>
        </w:rPr>
        <w:t xml:space="preserve">NUPL &lt; 0 (net loss state)</w:t>
      </w:r>
    </w:p>
    <w:p>
      <w:pPr>
        <w:pStyle w:val="ListParagraph"/>
        <w:numPr>
          <w:ilvl w:val="0"/>
          <w:numId w:val="2"/>
        </w:numPr>
      </w:pPr>
      <w:r>
        <w:rPr>
          <w:sz w:val="22"/>
          <w:szCs w:val="22"/>
        </w:rPr>
        <w:t xml:space="preserve">Realized loss dominance &gt; 90% for 7+ days</w:t>
      </w:r>
    </w:p>
    <w:p>
      <w:pPr>
        <w:spacing w:before="300"/>
      </w:pPr>
    </w:p>
    <w:p>
      <w:pPr>
        <w:pStyle w:val="Heading2"/>
      </w:pPr>
      <w:r>
        <w:t xml:space="preserve">Exit Rules (Distribution Phase)</w:t>
      </w:r>
    </w:p>
    <w:p>
      <w:pPr>
        <w:spacing w:after="100"/>
      </w:pPr>
      <w:r>
        <w:rPr>
          <w:b/>
          <w:bCs/>
          <w:sz w:val="22"/>
          <w:szCs w:val="22"/>
        </w:rPr>
        <w:t xml:space="preserve">Initial Distribution Conditions (start taking profits):</w:t>
      </w:r>
    </w:p>
    <w:p>
      <w:pPr>
        <w:pStyle w:val="ListParagraph"/>
        <w:numPr>
          <w:ilvl w:val="0"/>
          <w:numId w:val="3"/>
        </w:numPr>
      </w:pPr>
      <w:r>
        <w:rPr>
          <w:sz w:val="22"/>
          <w:szCs w:val="22"/>
        </w:rPr>
        <w:t xml:space="preserve">Composite Score &gt; +0.75</w:t>
      </w:r>
    </w:p>
    <w:p>
      <w:pPr>
        <w:pStyle w:val="ListParagraph"/>
        <w:numPr>
          <w:ilvl w:val="0"/>
          <w:numId w:val="3"/>
        </w:numPr>
      </w:pPr>
      <w:r>
        <w:rPr>
          <w:sz w:val="22"/>
          <w:szCs w:val="22"/>
        </w:rPr>
        <w:t xml:space="preserve">MVRV &gt; 2.0</w:t>
      </w:r>
    </w:p>
    <w:p>
      <w:pPr>
        <w:pStyle w:val="ListParagraph"/>
        <w:numPr>
          <w:ilvl w:val="0"/>
          <w:numId w:val="3"/>
        </w:numPr>
      </w:pPr>
      <w:r>
        <w:rPr>
          <w:sz w:val="22"/>
          <w:szCs w:val="22"/>
        </w:rPr>
        <w:t xml:space="preserve">LTH-MVRV &gt; 2.5 (long-term holders in significant profit)</w:t>
      </w:r>
    </w:p>
    <w:p>
      <w:pPr>
        <w:pStyle w:val="ListParagraph"/>
        <w:numPr>
          <w:ilvl w:val="0"/>
          <w:numId w:val="3"/>
        </w:numPr>
      </w:pPr>
      <w:r>
        <w:rPr>
          <w:sz w:val="22"/>
          <w:szCs w:val="22"/>
        </w:rPr>
        <w:t xml:space="preserve">Realized profit volumes &gt; 2x 90-day average</w:t>
      </w:r>
    </w:p>
    <w:p>
      <w:pPr>
        <w:spacing w:before="200" w:after="100"/>
      </w:pPr>
    </w:p>
    <w:p>
      <w:r>
        <w:rPr>
          <w:b/>
          <w:bCs/>
          <w:sz w:val="22"/>
          <w:szCs w:val="22"/>
        </w:rPr>
        <w:t xml:space="preserve">Aggressive Distribution (scale out significantly):</w:t>
      </w:r>
    </w:p>
    <w:p>
      <w:pPr>
        <w:pStyle w:val="ListParagraph"/>
        <w:numPr>
          <w:ilvl w:val="0"/>
          <w:numId w:val="2"/>
        </w:numPr>
      </w:pPr>
      <w:r>
        <w:rPr>
          <w:sz w:val="22"/>
          <w:szCs w:val="22"/>
        </w:rPr>
        <w:t xml:space="preserve">MVRV &gt; 2.5 (historically rare euphoria)</w:t>
      </w:r>
    </w:p>
    <w:p>
      <w:pPr>
        <w:pStyle w:val="ListParagraph"/>
        <w:numPr>
          <w:ilvl w:val="0"/>
          <w:numId w:val="2"/>
        </w:numPr>
      </w:pPr>
      <w:r>
        <w:rPr>
          <w:sz w:val="22"/>
          <w:szCs w:val="22"/>
        </w:rPr>
        <w:t xml:space="preserve">STH-MVRV &gt; 1.3 (new buyers deep in profit)</w:t>
      </w:r>
    </w:p>
    <w:p>
      <w:pPr>
        <w:pStyle w:val="ListParagraph"/>
        <w:numPr>
          <w:ilvl w:val="0"/>
          <w:numId w:val="2"/>
        </w:numPr>
      </w:pPr>
      <w:r>
        <w:rPr>
          <w:sz w:val="22"/>
          <w:szCs w:val="22"/>
        </w:rPr>
        <w:t xml:space="preserve">NUPL &gt; 0.6 (greed zone)</w:t>
      </w:r>
    </w:p>
    <w:p>
      <w:pPr>
        <w:pStyle w:val="ListParagraph"/>
        <w:numPr>
          <w:ilvl w:val="0"/>
          <w:numId w:val="2"/>
        </w:numPr>
      </w:pPr>
      <w:r>
        <w:rPr>
          <w:sz w:val="22"/>
          <w:szCs w:val="22"/>
        </w:rPr>
        <w:t xml:space="preserve">Sell-side risk ratio &gt; 0.5%</w:t>
      </w:r>
    </w:p>
    <w:p>
      <w:pPr>
        <w:pStyle w:val="ListParagraph"/>
        <w:numPr>
          <w:ilvl w:val="0"/>
          <w:numId w:val="2"/>
        </w:numPr>
      </w:pPr>
      <w:r>
        <w:rPr>
          <w:sz w:val="22"/>
          <w:szCs w:val="22"/>
        </w:rPr>
        <w:t xml:space="preserve">Funding rates persistently &gt; 0.05%</w:t>
      </w:r>
    </w:p>
    <w:p>
      <w:r>
        <w:br w:type="page"/>
      </w:r>
    </w:p>
    <w:p>
      <w:pPr>
        <w:pStyle w:val="Heading1"/>
      </w:pPr>
      <w:r>
        <w:t xml:space="preserve">Price Target Framework</w:t>
      </w:r>
    </w:p>
    <w:p>
      <w:pPr>
        <w:spacing w:after="200"/>
      </w:pPr>
      <w:r>
        <w:rPr>
          <w:sz w:val="22"/>
          <w:szCs w:val="22"/>
        </w:rPr>
        <w:t xml:space="preserve">Rather than predicting exact prices, this framework identifies price zones where investor behavior is statistically likely to change based on their profit incentives.</w:t>
      </w:r>
    </w:p>
    <w:p>
      <w:pPr>
        <w:pStyle w:val="Heading2"/>
      </w:pPr>
      <w:r>
        <w:t xml:space="preserve">The Topping Cloud (Probability Zones)</w:t>
      </w:r>
    </w:p>
    <w:p>
      <w:pPr>
        <w:spacing w:after="150"/>
      </w:pPr>
      <w:r>
        <w:rPr>
          <w:sz w:val="22"/>
          <w:szCs w:val="22"/>
        </w:rPr>
        <w:t xml:space="preserve">As price rises through each zone, the probability of continued upside decreases while distribution pressure increases: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Zone</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Probability Range</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Expected Behavior</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Framework Action</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50%+ odds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Up to STH Realized Price x 1.2</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Normal bull market continuation</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Hold / mild accumulation dips</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30-50% odds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STH RP x 1.2 to x 1.4</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Healthy profit-taking, volatility</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Reduce DCA, hold</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10-30% odds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STH RP x 1.4 to LTH MVRV 3.0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Heavy distribution begins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Scale out 25-50%</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5-10% odds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LTH MVRV 3.0 to 3.5</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Euphoric blow-off risk</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Scale out 50-75%</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&lt; 5% odds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Beyond LTH MVRV 3.5</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Extreme euphoria, rare events</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Core position only</w:t>
            </w:r>
          </w:p>
        </w:tc>
      </w:tr>
    </w:tbl>
    <w:p>
      <w:pPr>
        <w:spacing w:before="300"/>
      </w:pPr>
    </w:p>
    <w:p>
      <w:pPr>
        <w:pStyle w:val="Heading2"/>
      </w:pPr>
      <w:r>
        <w:t xml:space="preserve">Key Pricing Anchors (Current Values)</w:t>
      </w:r>
    </w:p>
    <w:p>
      <w:pPr>
        <w:spacing w:after="150"/>
      </w:pPr>
      <w:r>
        <w:rPr>
          <w:sz w:val="22"/>
          <w:szCs w:val="22"/>
        </w:rPr>
        <w:t xml:space="preserve">Based on current on-chain data (January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Price Model</w:t>
            </w:r>
          </w:p>
        </w:tc>
        <w:tc>
          <w:tcPr>
            <w:tcW w:type="dxa" w:w="31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Current Value</w:t>
            </w:r>
          </w:p>
        </w:tc>
        <w:tc>
          <w:tcPr>
            <w:tcW w:type="dxa" w:w="31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Significance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Realized Price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$56,277</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Aggregate cost basis (MVRV floor)</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STH Realized Price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~$98,300</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Short-term holder breakeven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LTH Realized Price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~$38,700</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Long-term holder breakeven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True Mean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~$52,000</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Active investor cost basis (AVIV anchor)</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Spot Price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$95,571</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Current market price</w:t>
            </w:r>
          </w:p>
        </w:tc>
      </w:tr>
    </w:tbl>
    <w:p>
      <w:r>
        <w:br w:type="page"/>
      </w:r>
    </w:p>
    <w:p>
      <w:pPr>
        <w:pStyle w:val="Heading1"/>
      </w:pPr>
      <w:r>
        <w:t xml:space="preserve">Current Market State Assessment</w:t>
      </w:r>
    </w:p>
    <w:p>
      <w:pPr>
        <w:spacing w:after="100"/>
      </w:pPr>
      <w:r>
        <w:rPr>
          <w:i/>
          <w:iCs/>
          <w:color w:val="4A5568"/>
          <w:sz w:val="20"/>
          <w:szCs w:val="20"/>
        </w:rPr>
        <w:t xml:space="preserve">As of January 16, 2026</w:t>
      </w:r>
    </w:p>
    <w:p>
      <w:pPr>
        <w:pStyle w:val="Heading2"/>
      </w:pPr>
      <w:r>
        <w:t xml:space="preserve">Layer 1: Profitability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Current Value</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Score</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Interpretation</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MVRV</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1.70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Neutral - modest unrealized profit</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STH-MVRV</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0.97</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Bullish - STH near breakeven</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LTH-MVRV</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2.47</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Mildly bearish - LTH in good profit</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NUPL</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0.41</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Neutral - belief zone</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AVIV</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1.18</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Neutral - fair value</w:t>
            </w:r>
          </w:p>
        </w:tc>
      </w:tr>
    </w:tbl>
    <w:p>
      <w:pPr>
        <w:spacing w:before="300"/>
      </w:pPr>
    </w:p>
    <w:p>
      <w:pPr>
        <w:pStyle w:val="Heading2"/>
      </w:pPr>
      <w:r>
        <w:t xml:space="preserve">Layer 2: Spending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Current Value</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Score</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2"/>
                <w:szCs w:val="22"/>
              </w:rPr>
              <w:t xml:space="preserve">Interpretation</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SOPR</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1.005</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Neutral - minimal profit-taking</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Realized Profit (7d)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$870M daily avg</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+0.5</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Elevated but cooling</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Sell-Side Risk</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0.077%</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Neutral - manageable distribution</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left"/>
            </w:pPr>
            <w:r>
              <w:rPr>
                <w:sz w:val="20"/>
                <w:szCs w:val="20"/>
              </w:rPr>
              <w:t xml:space="preserve">CDD Trend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Cooling</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-0.5</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jc w:val="center"/>
            </w:pPr>
            <w:r>
              <w:rPr>
                <w:sz w:val="20"/>
                <w:szCs w:val="20"/>
              </w:rPr>
              <w:t xml:space="preserve">Bullish - old coins staying dormant</w:t>
            </w:r>
          </w:p>
        </w:tc>
      </w:tr>
    </w:tbl>
    <w:p>
      <w:pPr>
        <w:spacing w:before="300"/>
      </w:pPr>
    </w:p>
    <w:p>
      <w:pPr>
        <w:pStyle w:val="Heading2"/>
      </w:pPr>
      <w:r>
        <w:t xml:space="preserve">Composite Assessment</w:t>
      </w:r>
    </w:p>
    <w:p>
      <w:pPr>
        <w:spacing w:after="150"/>
      </w:pPr>
      <w:r>
        <w:rPr>
          <w:b/>
          <w:bCs/>
          <w:color w:val="2B6CB0"/>
          <w:sz w:val="24"/>
          <w:szCs w:val="24"/>
        </w:rPr>
        <w:t xml:space="preserve">Estimated Composite Score: +0.1 (Neutral)</w:t>
      </w:r>
    </w:p>
    <w:p>
      <w:pPr>
        <w:spacing w:after="150"/>
      </w:pPr>
      <w:r>
        <w:rPr>
          <w:sz w:val="22"/>
          <w:szCs w:val="22"/>
        </w:rPr>
        <w:t xml:space="preserve">The market sits in a balanced state. Short-term holders are near their cost basis (potential support), while long-term holders are in healthy profit. Profit-taking has cooled from recent highs, and old coins remain dormant, suggesting HODLers are waiting for higher prices before distribution.</w:t>
      </w:r>
    </w:p>
    <w:p>
      <w:r>
        <w:rPr>
          <w:b/>
          <w:bCs/>
          <w:sz w:val="22"/>
          <w:szCs w:val="22"/>
        </w:rPr>
        <w:t xml:space="preserve">Framework Recommendation: </w:t>
      </w:r>
      <w:r>
        <w:rPr>
          <w:sz w:val="22"/>
          <w:szCs w:val="22"/>
        </w:rPr>
        <w:t xml:space="preserve">Hold current positions. Light DCA on dips toward STH Realized Price (~$98k). No aggressive accumulation or distribution warranted at current levels.</w:t>
      </w:r>
    </w:p>
    <w:p>
      <w:r>
        <w:br w:type="page"/>
      </w:r>
    </w:p>
    <w:p>
      <w:pPr>
        <w:pStyle w:val="Heading1"/>
      </w:pPr>
      <w:r>
        <w:t xml:space="preserve">Implementation Guide</w:t>
      </w:r>
    </w:p>
    <w:p>
      <w:pPr>
        <w:pStyle w:val="Heading2"/>
      </w:pPr>
      <w:r>
        <w:t xml:space="preserve">Daily Monitoring Checklist</w:t>
      </w:r>
    </w:p>
    <w:p>
      <w:pPr>
        <w:pStyle w:val="ListParagraph"/>
        <w:numPr>
          <w:ilvl w:val="0"/>
          <w:numId w:val="3"/>
        </w:numPr>
      </w:pPr>
      <w:r>
        <w:rPr>
          <w:sz w:val="22"/>
          <w:szCs w:val="22"/>
        </w:rPr>
        <w:t xml:space="preserve">Check MVRV and NUPL for overall market temperature</w:t>
      </w:r>
    </w:p>
    <w:p>
      <w:pPr>
        <w:pStyle w:val="ListParagraph"/>
        <w:numPr>
          <w:ilvl w:val="0"/>
          <w:numId w:val="3"/>
        </w:numPr>
      </w:pPr>
      <w:r>
        <w:rPr>
          <w:sz w:val="22"/>
          <w:szCs w:val="22"/>
        </w:rPr>
        <w:t xml:space="preserve">Monitor SOPR for profit-taking behavior shifts</w:t>
      </w:r>
    </w:p>
    <w:p>
      <w:pPr>
        <w:pStyle w:val="ListParagraph"/>
        <w:numPr>
          <w:ilvl w:val="0"/>
          <w:numId w:val="3"/>
        </w:numPr>
      </w:pPr>
      <w:r>
        <w:rPr>
          <w:sz w:val="22"/>
          <w:szCs w:val="22"/>
        </w:rPr>
        <w:t xml:space="preserve">Review STH-MVRV for speculator stress levels</w:t>
      </w:r>
    </w:p>
    <w:p>
      <w:pPr>
        <w:pStyle w:val="ListParagraph"/>
        <w:numPr>
          <w:ilvl w:val="0"/>
          <w:numId w:val="3"/>
        </w:numPr>
      </w:pPr>
      <w:r>
        <w:rPr>
          <w:sz w:val="22"/>
          <w:szCs w:val="22"/>
        </w:rPr>
        <w:t xml:space="preserve">Track realized profit volumes vs 90-day average</w:t>
      </w:r>
    </w:p>
    <w:p>
      <w:pPr>
        <w:pStyle w:val="ListParagraph"/>
        <w:numPr>
          <w:ilvl w:val="0"/>
          <w:numId w:val="3"/>
        </w:numPr>
      </w:pPr>
      <w:r>
        <w:rPr>
          <w:sz w:val="22"/>
          <w:szCs w:val="22"/>
        </w:rPr>
        <w:t xml:space="preserve">Calculate composite score and compare to previous day</w:t>
      </w:r>
    </w:p>
    <w:p>
      <w:pPr>
        <w:spacing w:before="300"/>
      </w:pPr>
    </w:p>
    <w:p>
      <w:pPr>
        <w:pStyle w:val="Heading2"/>
      </w:pPr>
      <w:r>
        <w:t xml:space="preserve">Weekly Deep Dive</w:t>
      </w:r>
    </w:p>
    <w:p>
      <w:pPr>
        <w:pStyle w:val="ListParagraph"/>
        <w:numPr>
          <w:ilvl w:val="0"/>
          <w:numId w:val="2"/>
        </w:numPr>
      </w:pPr>
      <w:r>
        <w:rPr>
          <w:sz w:val="22"/>
          <w:szCs w:val="22"/>
        </w:rPr>
        <w:t xml:space="preserve">Analyze LTH/STH supply trends for structural shifts</w:t>
      </w:r>
    </w:p>
    <w:p>
      <w:pPr>
        <w:pStyle w:val="ListParagraph"/>
        <w:numPr>
          <w:ilvl w:val="0"/>
          <w:numId w:val="2"/>
        </w:numPr>
      </w:pPr>
      <w:r>
        <w:rPr>
          <w:sz w:val="22"/>
          <w:szCs w:val="22"/>
        </w:rPr>
        <w:t xml:space="preserve">Review CDD and coin age metrics for dormancy changes</w:t>
      </w:r>
    </w:p>
    <w:p>
      <w:pPr>
        <w:pStyle w:val="ListParagraph"/>
        <w:numPr>
          <w:ilvl w:val="0"/>
          <w:numId w:val="2"/>
        </w:numPr>
      </w:pPr>
      <w:r>
        <w:rPr>
          <w:sz w:val="22"/>
          <w:szCs w:val="22"/>
        </w:rPr>
        <w:t xml:space="preserve">Assess exchange flow patterns</w:t>
      </w:r>
    </w:p>
    <w:p>
      <w:pPr>
        <w:pStyle w:val="ListParagraph"/>
        <w:numPr>
          <w:ilvl w:val="0"/>
          <w:numId w:val="2"/>
        </w:numPr>
      </w:pPr>
      <w:r>
        <w:rPr>
          <w:sz w:val="22"/>
          <w:szCs w:val="22"/>
        </w:rPr>
        <w:t xml:space="preserve">Cross-reference with derivatives positioning (funding, OI)</w:t>
      </w:r>
    </w:p>
    <w:p>
      <w:pPr>
        <w:pStyle w:val="ListParagraph"/>
        <w:numPr>
          <w:ilvl w:val="0"/>
          <w:numId w:val="2"/>
        </w:numPr>
      </w:pPr>
      <w:r>
        <w:rPr>
          <w:sz w:val="22"/>
          <w:szCs w:val="22"/>
        </w:rPr>
        <w:t xml:space="preserve">Update price target zones based on realized price movements</w:t>
      </w:r>
    </w:p>
    <w:p>
      <w:pPr>
        <w:spacing w:before="300"/>
      </w:pPr>
    </w:p>
    <w:p>
      <w:pPr>
        <w:pStyle w:val="Heading2"/>
      </w:pPr>
      <w:r>
        <w:t xml:space="preserve">Risk Management Rules</w:t>
      </w:r>
    </w:p>
    <w:p>
      <w:pPr>
        <w:pStyle w:val="ListParagraph"/>
        <w:numPr>
          <w:ilvl w:val="0"/>
          <w:numId w:val="3"/>
        </w:numPr>
      </w:pPr>
      <w:r>
        <w:rPr>
          <w:sz w:val="22"/>
          <w:szCs w:val="22"/>
        </w:rPr>
        <w:t xml:space="preserve">Never allocate more than 50% of target in a single day regardless of signals</w:t>
      </w:r>
    </w:p>
    <w:p>
      <w:pPr>
        <w:pStyle w:val="ListParagraph"/>
        <w:numPr>
          <w:ilvl w:val="0"/>
          <w:numId w:val="3"/>
        </w:numPr>
      </w:pPr>
      <w:r>
        <w:rPr>
          <w:sz w:val="22"/>
          <w:szCs w:val="22"/>
        </w:rPr>
        <w:t xml:space="preserve">Scale in and out over multiple days/weeks - avoid lump sum at extremes</w:t>
      </w:r>
    </w:p>
    <w:p>
      <w:pPr>
        <w:pStyle w:val="ListParagraph"/>
        <w:numPr>
          <w:ilvl w:val="0"/>
          <w:numId w:val="3"/>
        </w:numPr>
      </w:pPr>
      <w:r>
        <w:rPr>
          <w:sz w:val="22"/>
          <w:szCs w:val="22"/>
        </w:rPr>
        <w:t xml:space="preserve">Maintain a core position (20-30%) that never gets sold</w:t>
      </w:r>
    </w:p>
    <w:p>
      <w:pPr>
        <w:pStyle w:val="ListParagraph"/>
        <w:numPr>
          <w:ilvl w:val="0"/>
          <w:numId w:val="3"/>
        </w:numPr>
      </w:pPr>
      <w:r>
        <w:rPr>
          <w:sz w:val="22"/>
          <w:szCs w:val="22"/>
        </w:rPr>
        <w:t xml:space="preserve">Use drawdown-based stop-losses only as insurance against black swans</w:t>
      </w:r>
    </w:p>
    <w:p>
      <w:pPr>
        <w:pStyle w:val="ListParagraph"/>
        <w:numPr>
          <w:ilvl w:val="0"/>
          <w:numId w:val="3"/>
        </w:numPr>
      </w:pPr>
      <w:r>
        <w:rPr>
          <w:sz w:val="22"/>
          <w:szCs w:val="22"/>
        </w:rPr>
        <w:t xml:space="preserve">Rebalance when composite score crosses major thresholds (+/-1.0)</w:t>
      </w:r>
    </w:p>
    <w:p>
      <w:r>
        <w:br w:type="page"/>
      </w:r>
    </w:p>
    <w:p>
      <w:pPr>
        <w:pStyle w:val="Heading1"/>
      </w:pPr>
      <w:r>
        <w:t xml:space="preserve">Closing Philosophy</w:t>
      </w:r>
    </w:p>
    <w:p>
      <w:pPr>
        <w:spacing w:after="200"/>
      </w:pPr>
      <w:r>
        <w:rPr>
          <w:sz w:val="22"/>
          <w:szCs w:val="22"/>
        </w:rPr>
        <w:t xml:space="preserve">This framework is not about being pinpoint accurate. Spotting the exact top or bottom is impossible, and anyone selling that story is pullin' ya leg.</w:t>
      </w:r>
    </w:p>
    <w:p>
      <w:pPr>
        <w:spacing w:after="200"/>
      </w:pPr>
      <w:r>
        <w:rPr>
          <w:sz w:val="22"/>
          <w:szCs w:val="22"/>
        </w:rPr>
        <w:t xml:space="preserve">Instead, this system is about knowing what prize zones are likely to motivate more and more sellers (or buyers). It's about thinking through ahead of time what decisions you will make IF the market gets to certain levels.</w:t>
      </w:r>
    </w:p>
    <w:p>
      <w:pPr>
        <w:spacing w:after="200"/>
      </w:pPr>
      <w:r>
        <w:rPr>
          <w:sz w:val="22"/>
          <w:szCs w:val="22"/>
        </w:rPr>
        <w:t xml:space="preserve">The faster we move higher, the less sustainable it is. The slower we move, and the more consolidation we have along the way, the more time our mean reversion anchors have to catch up.</w:t>
      </w:r>
    </w:p>
    <w:p>
      <w:pPr>
        <w:spacing w:after="300"/>
      </w:pPr>
      <w:r>
        <w:rPr>
          <w:b/>
          <w:bCs/>
          <w:color w:val="1A365D"/>
          <w:sz w:val="24"/>
          <w:szCs w:val="24"/>
        </w:rPr>
        <w:t xml:space="preserve">Key Takeaways:</w:t>
      </w:r>
    </w:p>
    <w:p>
      <w:pPr>
        <w:pStyle w:val="ListParagraph"/>
        <w:numPr>
          <w:ilvl w:val="0"/>
          <w:numId w:val="2"/>
        </w:numPr>
      </w:pPr>
      <w:r>
        <w:rPr>
          <w:sz w:val="22"/>
          <w:szCs w:val="22"/>
        </w:rPr>
        <w:t xml:space="preserve">None of us can control what the market will do</w:t>
      </w:r>
    </w:p>
    <w:p>
      <w:pPr>
        <w:pStyle w:val="ListParagraph"/>
        <w:numPr>
          <w:ilvl w:val="0"/>
          <w:numId w:val="2"/>
        </w:numPr>
      </w:pPr>
      <w:r>
        <w:rPr>
          <w:sz w:val="22"/>
          <w:szCs w:val="22"/>
        </w:rPr>
        <w:t xml:space="preserve">But we can control what our decisions will be IF it gets there</w:t>
      </w:r>
    </w:p>
    <w:p>
      <w:pPr>
        <w:pStyle w:val="ListParagraph"/>
        <w:numPr>
          <w:ilvl w:val="0"/>
          <w:numId w:val="2"/>
        </w:numPr>
      </w:pPr>
      <w:r>
        <w:rPr>
          <w:sz w:val="22"/>
          <w:szCs w:val="22"/>
        </w:rPr>
        <w:t xml:space="preserve">We cannot predict the future, but we can certainly prepare for it</w:t>
      </w:r>
    </w:p>
    <w:p>
      <w:pPr>
        <w:pStyle w:val="ListParagraph"/>
        <w:numPr>
          <w:ilvl w:val="0"/>
          <w:numId w:val="2"/>
        </w:numPr>
      </w:pPr>
      <w:r>
        <w:rPr>
          <w:sz w:val="22"/>
          <w:szCs w:val="22"/>
        </w:rPr>
        <w:t xml:space="preserve">Human behavior in markets will always be a constant we can rely on</w:t>
      </w:r>
    </w:p>
    <w:p>
      <w:pPr>
        <w:spacing w:before="500"/>
      </w:pPr>
    </w:p>
    <w:p>
      <w:pPr>
        <w:jc w:val="center"/>
      </w:pPr>
      <w:r>
        <w:rPr>
          <w:i/>
          <w:iCs/>
          <w:color w:val="4A5568"/>
          <w:sz w:val="24"/>
          <w:szCs w:val="24"/>
        </w:rPr>
        <w:t xml:space="preserve">"Put all your eggs in one basket, and then watch that basket."</w:t>
      </w:r>
    </w:p>
    <w:p>
      <w:pPr>
        <w:jc w:val="center"/>
      </w:pPr>
      <w:r>
        <w:rPr>
          <w:color w:val="4A5568"/>
          <w:sz w:val="20"/>
          <w:szCs w:val="20"/>
        </w:rPr>
        <w:t xml:space="preserve">- Andrew Carnegie</w:t>
      </w:r>
    </w:p>
    <w:p>
      <w:pPr>
        <w:spacing w:before="300"/>
      </w:pPr>
    </w:p>
    <w:p>
      <w:pPr>
        <w:spacing w:before="300"/>
        <w:jc w:val="center"/>
      </w:pPr>
      <w:r>
        <w:rPr>
          <w:b/>
          <w:bCs/>
          <w:color w:val="1A365D"/>
          <w:sz w:val="28"/>
          <w:szCs w:val="28"/>
        </w:rPr>
        <w:t xml:space="preserve">Strap 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5568"/>
        <w:sz w:val="18"/>
        <w:szCs w:val="18"/>
      </w:rPr>
      <w:t xml:space="preserve">Bitcoin On-Chain Systematic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2B6CB0"/>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4A55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2026-01-16T20:59:55.475Z</dcterms:created>
  <dcterms:modified xsi:type="dcterms:W3CDTF">2026-01-16T20:59:55.476Z</dcterms:modified>
</cp:coreProperties>
</file>

<file path=docProps/custom.xml><?xml version="1.0" encoding="utf-8"?>
<Properties xmlns="http://schemas.openxmlformats.org/officeDocument/2006/custom-properties" xmlns:vt="http://schemas.openxmlformats.org/officeDocument/2006/docPropsVTypes"/>
</file>