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E20FE" w14:textId="69A9E299" w:rsidR="00730DAC" w:rsidRDefault="00DF2690" w:rsidP="00585CAF">
      <w:pPr>
        <w:pStyle w:val="Heading1"/>
      </w:pPr>
      <w:r>
        <w:t xml:space="preserve">Patch </w:t>
      </w:r>
      <w:r w:rsidR="00CA00D2">
        <w:t>Management</w:t>
      </w:r>
      <w:r>
        <w:t xml:space="preserve"> – </w:t>
      </w:r>
      <w:r w:rsidR="002800BC">
        <w:t>Rings and rollouts</w:t>
      </w:r>
    </w:p>
    <w:p w14:paraId="3A34719D" w14:textId="0205EDFC" w:rsidR="00B10378" w:rsidRDefault="00466598" w:rsidP="00B10378">
      <w:r w:rsidRPr="00DF2690">
        <w:t xml:space="preserve">Hi everyone, </w:t>
      </w:r>
      <w:r w:rsidR="00DF2690" w:rsidRPr="00DF2690">
        <w:t>in</w:t>
      </w:r>
      <w:r w:rsidRPr="00DF2690">
        <w:t xml:space="preserve"> this video </w:t>
      </w:r>
      <w:r w:rsidR="00DF2690">
        <w:t>we’re</w:t>
      </w:r>
      <w:r w:rsidR="00700DAE" w:rsidRPr="00DF2690">
        <w:t xml:space="preserve"> going to</w:t>
      </w:r>
      <w:r w:rsidR="00DF2690">
        <w:t xml:space="preserve"> </w:t>
      </w:r>
      <w:r w:rsidR="00CA00D2">
        <w:t xml:space="preserve">have a </w:t>
      </w:r>
      <w:r w:rsidR="002800BC">
        <w:t>look at the concepts behind</w:t>
      </w:r>
      <w:r w:rsidR="00C33925">
        <w:t xml:space="preserve"> </w:t>
      </w:r>
      <w:r w:rsidR="001E0981">
        <w:t xml:space="preserve">Patch Management </w:t>
      </w:r>
      <w:r w:rsidR="002800BC">
        <w:t>rings and rollouts</w:t>
      </w:r>
      <w:r w:rsidR="00C33925">
        <w:t>.</w:t>
      </w:r>
    </w:p>
    <w:p w14:paraId="0E78147E" w14:textId="0DDC321D" w:rsidR="001310C0" w:rsidRPr="00132CF3" w:rsidRDefault="00132CF3" w:rsidP="00B10378">
      <w:r>
        <w:t xml:space="preserve">You can probably imagine the nightmare scenario where you deploy a patch across your IT estate and then discover that it either didn’t install on most devices or, worse still, causes issues on many of the devices where it was installed. Creating deployment rings and then designing rollouts to deploy patches first to a test ring, and then </w:t>
      </w:r>
      <w:r w:rsidR="005767D5">
        <w:t xml:space="preserve">only deploying </w:t>
      </w:r>
      <w:r>
        <w:t xml:space="preserve">to </w:t>
      </w:r>
      <w:r w:rsidR="005767D5">
        <w:t xml:space="preserve">further rings after confirming the success of the </w:t>
      </w:r>
      <w:r w:rsidR="005B4FD3">
        <w:t>previous</w:t>
      </w:r>
      <w:r w:rsidR="005767D5">
        <w:t xml:space="preserve"> ring </w:t>
      </w:r>
      <w:r>
        <w:t>can help mitigate these risks.</w:t>
      </w:r>
    </w:p>
    <w:p w14:paraId="72A9A271" w14:textId="27230A75" w:rsidR="00912AC8" w:rsidRDefault="00132CF3" w:rsidP="00B3550A">
      <w:pPr>
        <w:pBdr>
          <w:top w:val="wave" w:sz="6" w:space="1" w:color="auto"/>
          <w:bottom w:val="wave" w:sz="6" w:space="31" w:color="auto"/>
        </w:pBdr>
      </w:pPr>
      <w:r>
        <w:t xml:space="preserve">Let’s take a look at the big picture of how rings are built and what the process </w:t>
      </w:r>
      <w:r w:rsidR="00FD619E">
        <w:t xml:space="preserve">for configuring a rollout </w:t>
      </w:r>
      <w:r>
        <w:t>is</w:t>
      </w:r>
      <w:r w:rsidR="00A62A7D">
        <w:t>.</w:t>
      </w:r>
      <w:r>
        <w:t xml:space="preserve"> I’m going to leave the details</w:t>
      </w:r>
      <w:r w:rsidR="00D20198">
        <w:t xml:space="preserve"> of how to set this up</w:t>
      </w:r>
      <w:r>
        <w:t xml:space="preserve"> for the help documentation that is linked in the description – this video will just cover the concepts.</w:t>
      </w:r>
    </w:p>
    <w:p w14:paraId="328C4455" w14:textId="06741B94" w:rsidR="009A0FCE" w:rsidRDefault="005767D5" w:rsidP="00B3550A">
      <w:pPr>
        <w:pBdr>
          <w:top w:val="wave" w:sz="6" w:space="1" w:color="auto"/>
          <w:bottom w:val="wave" w:sz="6" w:space="31" w:color="auto"/>
        </w:pBdr>
      </w:pPr>
      <w:r>
        <w:t xml:space="preserve">Typically, </w:t>
      </w:r>
      <w:r w:rsidR="00C73A84">
        <w:t>you</w:t>
      </w:r>
      <w:r>
        <w:t xml:space="preserve"> use three rings: test, early adopters, and production – although you can combine early adopters and production into a single production ring a</w:t>
      </w:r>
      <w:r w:rsidR="00807B6C">
        <w:t>nd</w:t>
      </w:r>
      <w:r>
        <w:t xml:space="preserve"> go straight from your test ring to your production ring</w:t>
      </w:r>
      <w:r w:rsidR="009A0FCE">
        <w:t>.</w:t>
      </w:r>
    </w:p>
    <w:p w14:paraId="7A32161A" w14:textId="13FC98E6" w:rsidR="003E69E7" w:rsidRDefault="001B6D2B" w:rsidP="00B3550A">
      <w:pPr>
        <w:pBdr>
          <w:top w:val="wave" w:sz="6" w:space="1" w:color="auto"/>
          <w:bottom w:val="wave" w:sz="6" w:space="31" w:color="auto"/>
        </w:pBdr>
      </w:pPr>
      <w:r>
        <w:t>First, y</w:t>
      </w:r>
      <w:r w:rsidR="005767D5">
        <w:t xml:space="preserve">ou need to add devices to each ring. A good starting point is to have 1% of your devices in </w:t>
      </w:r>
      <w:r w:rsidR="002D53B5">
        <w:t xml:space="preserve">the </w:t>
      </w:r>
      <w:r w:rsidR="005767D5">
        <w:t>test</w:t>
      </w:r>
      <w:r w:rsidR="002D53B5">
        <w:t xml:space="preserve"> ring</w:t>
      </w:r>
      <w:r w:rsidR="005767D5">
        <w:t xml:space="preserve">, 9% in </w:t>
      </w:r>
      <w:r w:rsidR="002D53B5">
        <w:t xml:space="preserve">the </w:t>
      </w:r>
      <w:r w:rsidR="005767D5">
        <w:t>early adopters</w:t>
      </w:r>
      <w:r w:rsidR="00E120A1">
        <w:t>’</w:t>
      </w:r>
      <w:r w:rsidR="002D53B5">
        <w:t xml:space="preserve"> ring</w:t>
      </w:r>
      <w:r w:rsidR="005767D5">
        <w:t>, and the remaining 90% in</w:t>
      </w:r>
      <w:r w:rsidR="002D53B5">
        <w:t xml:space="preserve"> the</w:t>
      </w:r>
      <w:r w:rsidR="005767D5">
        <w:t xml:space="preserve"> production</w:t>
      </w:r>
      <w:r w:rsidR="002D53B5">
        <w:t xml:space="preserve"> ring</w:t>
      </w:r>
      <w:r w:rsidR="005767D5">
        <w:t xml:space="preserve">. Some best practice suggestions for creating your rings: DO NOT put your CEO’s laptop into the test ring. </w:t>
      </w:r>
      <w:r w:rsidR="003E69E7">
        <w:t>I</w:t>
      </w:r>
      <w:r w:rsidR="00D20198">
        <w:t>n fact, i</w:t>
      </w:r>
      <w:r w:rsidR="003E69E7">
        <w:t xml:space="preserve">t is </w:t>
      </w:r>
      <w:r w:rsidR="00E120A1">
        <w:t>best</w:t>
      </w:r>
      <w:r w:rsidR="003E69E7">
        <w:t xml:space="preserve"> for your test ring to either comprise specific test machines, or to include </w:t>
      </w:r>
      <w:r w:rsidR="00E120A1">
        <w:t xml:space="preserve">the </w:t>
      </w:r>
      <w:r w:rsidR="003E69E7">
        <w:t xml:space="preserve">devices of people close to your team </w:t>
      </w:r>
      <w:r w:rsidR="00D20198">
        <w:t xml:space="preserve">and </w:t>
      </w:r>
      <w:r w:rsidR="003E69E7">
        <w:t>who know what to expect. It is vital that people know that their devices are in the test ring.</w:t>
      </w:r>
    </w:p>
    <w:p w14:paraId="33A02530" w14:textId="24243EF3" w:rsidR="005767D5" w:rsidRDefault="003E69E7" w:rsidP="00B3550A">
      <w:pPr>
        <w:pBdr>
          <w:top w:val="wave" w:sz="6" w:space="1" w:color="auto"/>
          <w:bottom w:val="wave" w:sz="6" w:space="31" w:color="auto"/>
        </w:pBdr>
      </w:pPr>
      <w:r>
        <w:t>Also</w:t>
      </w:r>
      <w:r w:rsidR="005767D5">
        <w:t xml:space="preserve">, remember that patches can get </w:t>
      </w:r>
      <w:r w:rsidR="00E26D77">
        <w:t xml:space="preserve">automatically </w:t>
      </w:r>
      <w:r w:rsidR="005767D5">
        <w:t xml:space="preserve">promoted to the next ring </w:t>
      </w:r>
      <w:r w:rsidR="00E120A1">
        <w:t xml:space="preserve">only </w:t>
      </w:r>
      <w:r w:rsidR="005767D5">
        <w:t xml:space="preserve">if they meet the specified success criteria, so make sure that each ring contains devices running each of the applications that you want to patch. </w:t>
      </w:r>
      <w:r w:rsidR="00A23526">
        <w:t xml:space="preserve">If none of the devices in your test ring have Firefox installed, then no Firefox patches </w:t>
      </w:r>
      <w:r w:rsidR="003D0AD3">
        <w:t>can</w:t>
      </w:r>
      <w:r w:rsidR="00A23526">
        <w:t xml:space="preserve"> </w:t>
      </w:r>
      <w:r w:rsidR="003D0AD3">
        <w:t xml:space="preserve">get </w:t>
      </w:r>
      <w:r w:rsidR="00E26D77">
        <w:t xml:space="preserve">automatically </w:t>
      </w:r>
      <w:r w:rsidR="003D0AD3">
        <w:t xml:space="preserve">promoted from </w:t>
      </w:r>
      <w:r w:rsidR="00A23526">
        <w:t>the test ring.</w:t>
      </w:r>
    </w:p>
    <w:p w14:paraId="712AEB91" w14:textId="1B7907AE" w:rsidR="00A23526" w:rsidRDefault="003E69E7" w:rsidP="00B3550A">
      <w:pPr>
        <w:pBdr>
          <w:top w:val="wave" w:sz="6" w:space="1" w:color="auto"/>
          <w:bottom w:val="wave" w:sz="6" w:space="31" w:color="auto"/>
        </w:pBdr>
      </w:pPr>
      <w:r>
        <w:t xml:space="preserve">When you have your rings populated with the appropriate devices, </w:t>
      </w:r>
      <w:r w:rsidR="0063048D">
        <w:t>you configure the success criteria that must be met before a patch can progress to the next ring. More on this later – for now, let’s consider what happens in a rollout.</w:t>
      </w:r>
    </w:p>
    <w:p w14:paraId="5EA1C0CE" w14:textId="424F5831" w:rsidR="0063048D" w:rsidRDefault="003D0AD3" w:rsidP="00B3550A">
      <w:pPr>
        <w:pBdr>
          <w:top w:val="wave" w:sz="6" w:space="1" w:color="auto"/>
          <w:bottom w:val="wave" w:sz="6" w:space="31" w:color="auto"/>
        </w:pBdr>
      </w:pPr>
      <w:r>
        <w:t>For a rollout to run, it must be associated with a</w:t>
      </w:r>
      <w:r w:rsidR="00FB5B43">
        <w:t xml:space="preserve"> patch configuration.</w:t>
      </w:r>
      <w:r w:rsidR="006A7FCF">
        <w:t xml:space="preserve"> At the scheduled start of the rollout, all patches missing from the devices in the test ring that meet the criteria set in the patch configuration start to deploy. Then we wait</w:t>
      </w:r>
      <w:r>
        <w:t>…</w:t>
      </w:r>
    </w:p>
    <w:p w14:paraId="3DDFC06C" w14:textId="1C318DB0" w:rsidR="003D0AD3" w:rsidRDefault="0083145F" w:rsidP="00B3550A">
      <w:pPr>
        <w:pBdr>
          <w:top w:val="wave" w:sz="6" w:space="1" w:color="auto"/>
          <w:bottom w:val="wave" w:sz="6" w:space="31" w:color="auto"/>
        </w:pBdr>
      </w:pPr>
      <w:r>
        <w:t>One of the values you set when configuring a rollout is the soak time for a ring.</w:t>
      </w:r>
      <w:r w:rsidR="00254CB1">
        <w:t xml:space="preserve"> This is the duration from when the deployment of the ring starts until it ends, at which point we calculate the success </w:t>
      </w:r>
      <w:r w:rsidR="00D50384">
        <w:t xml:space="preserve">rate </w:t>
      </w:r>
      <w:r w:rsidR="00254CB1">
        <w:t xml:space="preserve">of each individual patch deployment. Only those patches that meet our success criteria are </w:t>
      </w:r>
      <w:r w:rsidR="00282349">
        <w:t xml:space="preserve">automatically </w:t>
      </w:r>
      <w:r w:rsidR="00254CB1">
        <w:t>promoted to the next ring</w:t>
      </w:r>
      <w:r w:rsidR="00282349">
        <w:t xml:space="preserve"> – although you could choose to override this</w:t>
      </w:r>
      <w:r w:rsidR="00254CB1">
        <w:t>.</w:t>
      </w:r>
    </w:p>
    <w:p w14:paraId="7027D3A1" w14:textId="513F2C06" w:rsidR="006E4177" w:rsidRDefault="009A4BEA" w:rsidP="00B3550A">
      <w:pPr>
        <w:pBdr>
          <w:top w:val="wave" w:sz="6" w:space="1" w:color="auto"/>
          <w:bottom w:val="wave" w:sz="6" w:space="31" w:color="auto"/>
        </w:pBdr>
      </w:pPr>
      <w:r>
        <w:t>Choosing the correct soak time is a Goldilocks situation: too long, and your rollout will drag on; too short, and there won’t be time for the devices in a ring to successfully install the patches</w:t>
      </w:r>
      <w:r w:rsidR="008927EF">
        <w:t xml:space="preserve"> or </w:t>
      </w:r>
      <w:r w:rsidR="00066C84">
        <w:t xml:space="preserve">to </w:t>
      </w:r>
      <w:r w:rsidR="008927EF">
        <w:t>give you a realistic indication of how well the patch is being installed</w:t>
      </w:r>
      <w:r>
        <w:t>. You may need to experiment to determine what is “just right.”</w:t>
      </w:r>
    </w:p>
    <w:p w14:paraId="28C8C77B" w14:textId="31CBB49C" w:rsidR="00254CB1" w:rsidRDefault="00254CB1" w:rsidP="00B3550A">
      <w:pPr>
        <w:pBdr>
          <w:top w:val="wave" w:sz="6" w:space="1" w:color="auto"/>
          <w:bottom w:val="wave" w:sz="6" w:space="31" w:color="auto"/>
        </w:pBdr>
      </w:pPr>
      <w:r>
        <w:t xml:space="preserve">In our example, we have set our success criteria to 75%. Patch 1 installed on </w:t>
      </w:r>
      <w:r w:rsidR="001C7A97">
        <w:t>4</w:t>
      </w:r>
      <w:r>
        <w:t xml:space="preserve"> out of 5 devices – </w:t>
      </w:r>
      <w:r w:rsidR="001C7A97">
        <w:t>8</w:t>
      </w:r>
      <w:r>
        <w:t>0%, so this patch meet</w:t>
      </w:r>
      <w:r w:rsidR="001C7A97">
        <w:t>s</w:t>
      </w:r>
      <w:r>
        <w:t xml:space="preserve"> our success criteria and is promoted. Patch 2 installed on </w:t>
      </w:r>
      <w:r w:rsidR="001C7A97">
        <w:t>3</w:t>
      </w:r>
      <w:r>
        <w:t xml:space="preserve"> of the 5 devices </w:t>
      </w:r>
      <w:r w:rsidR="00171276">
        <w:lastRenderedPageBreak/>
        <w:t>-</w:t>
      </w:r>
      <w:r>
        <w:t xml:space="preserve"> </w:t>
      </w:r>
      <w:r w:rsidR="001C7A97">
        <w:t>6</w:t>
      </w:r>
      <w:r>
        <w:t>0</w:t>
      </w:r>
      <w:r w:rsidR="001C7A97">
        <w:t>%, so this patch DOES NOT meet our success criteria and is NOT promoted.</w:t>
      </w:r>
      <w:r>
        <w:t xml:space="preserve"> Patches 3 and 4 installed on 100% of the devices, so </w:t>
      </w:r>
      <w:r w:rsidR="001C7A97">
        <w:t xml:space="preserve">both of </w:t>
      </w:r>
      <w:r>
        <w:t>these patches are promoted.</w:t>
      </w:r>
    </w:p>
    <w:p w14:paraId="17355B82" w14:textId="17A6AAB7" w:rsidR="00254CB1" w:rsidRDefault="00254CB1" w:rsidP="00B3550A">
      <w:pPr>
        <w:pBdr>
          <w:top w:val="wave" w:sz="6" w:space="1" w:color="auto"/>
          <w:bottom w:val="wave" w:sz="6" w:space="31" w:color="auto"/>
        </w:pBdr>
      </w:pPr>
      <w:r>
        <w:t>Shortly afterwards, the process repeats for the early adopter ring</w:t>
      </w:r>
      <w:r w:rsidR="00171276">
        <w:t>, and so on</w:t>
      </w:r>
      <w:r>
        <w:t>.</w:t>
      </w:r>
    </w:p>
    <w:p w14:paraId="79C3A843" w14:textId="672FF529" w:rsidR="002375CF" w:rsidRDefault="002375CF" w:rsidP="00B3550A">
      <w:pPr>
        <w:pBdr>
          <w:top w:val="wave" w:sz="6" w:space="1" w:color="auto"/>
          <w:bottom w:val="wave" w:sz="6" w:space="31" w:color="auto"/>
        </w:pBdr>
      </w:pPr>
      <w:r>
        <w:t xml:space="preserve">At the end of the rollout, review </w:t>
      </w:r>
      <w:r w:rsidR="00171276">
        <w:t xml:space="preserve">how </w:t>
      </w:r>
      <w:r w:rsidR="00877041">
        <w:t>things</w:t>
      </w:r>
      <w:r w:rsidR="00171276">
        <w:t xml:space="preserve"> went</w:t>
      </w:r>
      <w:r>
        <w:t>.</w:t>
      </w:r>
      <w:r w:rsidR="006E4177">
        <w:t xml:space="preserve"> Investigate why specific patches were not promoted </w:t>
      </w:r>
      <w:r w:rsidR="0069242F">
        <w:t>from the test</w:t>
      </w:r>
      <w:r w:rsidR="006E4177">
        <w:t xml:space="preserve"> ring and address any issues found. If these patches meet the criteria for the next rollout, th</w:t>
      </w:r>
      <w:r w:rsidR="00171276">
        <w:t>en th</w:t>
      </w:r>
      <w:r w:rsidR="006E4177">
        <w:t>eir deployment will be tried again – but they are likely to fail again unless you address the reasons that they failed th</w:t>
      </w:r>
      <w:r w:rsidR="003B7E6C">
        <w:t>e first</w:t>
      </w:r>
      <w:r w:rsidR="006E4177">
        <w:t xml:space="preserve"> time.</w:t>
      </w:r>
    </w:p>
    <w:p w14:paraId="2786F47E" w14:textId="1C03F368" w:rsidR="006E4177" w:rsidRDefault="006E4177" w:rsidP="00B3550A">
      <w:pPr>
        <w:pBdr>
          <w:top w:val="wave" w:sz="6" w:space="1" w:color="auto"/>
          <w:bottom w:val="wave" w:sz="6" w:space="31" w:color="auto"/>
        </w:pBdr>
      </w:pPr>
      <w:r>
        <w:t xml:space="preserve">Also, note that although Patch </w:t>
      </w:r>
      <w:r w:rsidR="00E158D2">
        <w:t>2</w:t>
      </w:r>
      <w:r>
        <w:t xml:space="preserve"> </w:t>
      </w:r>
      <w:r>
        <w:rPr>
          <w:i/>
          <w:iCs/>
        </w:rPr>
        <w:t>was</w:t>
      </w:r>
      <w:r>
        <w:t xml:space="preserve"> promoted, it wasn’t installed on all devices. So, again, why did it fail on that device in the test ring?</w:t>
      </w:r>
      <w:r w:rsidR="00B3550A">
        <w:t xml:space="preserve"> How can you improve its chances of deploying next time?</w:t>
      </w:r>
    </w:p>
    <w:p w14:paraId="0934BA89" w14:textId="0D2F2869" w:rsidR="00822190" w:rsidRPr="00822190" w:rsidRDefault="00822190" w:rsidP="00B3550A">
      <w:pPr>
        <w:pBdr>
          <w:top w:val="wave" w:sz="6" w:space="1" w:color="auto"/>
          <w:bottom w:val="wave" w:sz="6" w:space="31" w:color="auto"/>
        </w:pBdr>
        <w:rPr>
          <w:color w:val="FF0000"/>
        </w:rPr>
      </w:pPr>
      <w:r>
        <w:rPr>
          <w:color w:val="FF0000"/>
        </w:rPr>
        <w:t>What advice should we give customers for addressing the failed patches? Find all the patches that failed across the rings and add them to a new patch group for the next rollout?</w:t>
      </w:r>
    </w:p>
    <w:p w14:paraId="4DFCB028" w14:textId="71FED661" w:rsidR="00B3550A" w:rsidRDefault="00883EAC" w:rsidP="00B3550A">
      <w:pPr>
        <w:pBdr>
          <w:top w:val="wave" w:sz="6" w:space="1" w:color="auto"/>
          <w:bottom w:val="wave" w:sz="6" w:space="31" w:color="auto"/>
        </w:pBdr>
      </w:pPr>
      <w:r>
        <w:t>I hope you found</w:t>
      </w:r>
      <w:r w:rsidR="00E10794">
        <w:t xml:space="preserve"> this video</w:t>
      </w:r>
      <w:r>
        <w:t xml:space="preserve"> useful</w:t>
      </w:r>
      <w:r w:rsidR="00590FD9">
        <w:t>.</w:t>
      </w:r>
      <w:r w:rsidR="00DF2690">
        <w:t xml:space="preserve"> </w:t>
      </w:r>
      <w:r w:rsidR="00710796">
        <w:t xml:space="preserve">Remember to check the help for details on how to configure rings and rollouts, there is a link in the description. </w:t>
      </w:r>
      <w:r w:rsidR="00DF2690">
        <w:t>Thanks for watching.</w:t>
      </w:r>
    </w:p>
    <w:sectPr w:rsidR="00B35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2138CE"/>
    <w:multiLevelType w:val="multilevel"/>
    <w:tmpl w:val="DA04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4374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CAF"/>
    <w:rsid w:val="000013DE"/>
    <w:rsid w:val="00020BEF"/>
    <w:rsid w:val="00023934"/>
    <w:rsid w:val="00042A9A"/>
    <w:rsid w:val="00047340"/>
    <w:rsid w:val="00052DBC"/>
    <w:rsid w:val="00053464"/>
    <w:rsid w:val="0005429F"/>
    <w:rsid w:val="00065B75"/>
    <w:rsid w:val="00066C84"/>
    <w:rsid w:val="00071B91"/>
    <w:rsid w:val="00073F29"/>
    <w:rsid w:val="00077F26"/>
    <w:rsid w:val="00081F9F"/>
    <w:rsid w:val="000A0858"/>
    <w:rsid w:val="000A14EE"/>
    <w:rsid w:val="000A20CB"/>
    <w:rsid w:val="000A7B9F"/>
    <w:rsid w:val="000C2B10"/>
    <w:rsid w:val="000D1FE5"/>
    <w:rsid w:val="000D359C"/>
    <w:rsid w:val="000E1C0E"/>
    <w:rsid w:val="000E5413"/>
    <w:rsid w:val="000E7244"/>
    <w:rsid w:val="000F1EBC"/>
    <w:rsid w:val="000F3AE4"/>
    <w:rsid w:val="001064B8"/>
    <w:rsid w:val="001128D0"/>
    <w:rsid w:val="00112E80"/>
    <w:rsid w:val="0011628C"/>
    <w:rsid w:val="00125919"/>
    <w:rsid w:val="001310C0"/>
    <w:rsid w:val="00132CF3"/>
    <w:rsid w:val="00133F1F"/>
    <w:rsid w:val="001347B3"/>
    <w:rsid w:val="001460A4"/>
    <w:rsid w:val="00153E26"/>
    <w:rsid w:val="001543F1"/>
    <w:rsid w:val="00165D63"/>
    <w:rsid w:val="00171276"/>
    <w:rsid w:val="00174767"/>
    <w:rsid w:val="00176F0C"/>
    <w:rsid w:val="00181FA2"/>
    <w:rsid w:val="00183A6D"/>
    <w:rsid w:val="00184E73"/>
    <w:rsid w:val="00187DC6"/>
    <w:rsid w:val="001B0389"/>
    <w:rsid w:val="001B16D0"/>
    <w:rsid w:val="001B50BE"/>
    <w:rsid w:val="001B6D2B"/>
    <w:rsid w:val="001C7A97"/>
    <w:rsid w:val="001D34BD"/>
    <w:rsid w:val="001D61F5"/>
    <w:rsid w:val="001E0981"/>
    <w:rsid w:val="001E568A"/>
    <w:rsid w:val="001F44D3"/>
    <w:rsid w:val="0020194D"/>
    <w:rsid w:val="00204E4D"/>
    <w:rsid w:val="002247D9"/>
    <w:rsid w:val="002250A7"/>
    <w:rsid w:val="00227C96"/>
    <w:rsid w:val="002368D2"/>
    <w:rsid w:val="002375CF"/>
    <w:rsid w:val="002528A8"/>
    <w:rsid w:val="00254CB1"/>
    <w:rsid w:val="0026441A"/>
    <w:rsid w:val="0026508A"/>
    <w:rsid w:val="00273630"/>
    <w:rsid w:val="002750ED"/>
    <w:rsid w:val="002800BC"/>
    <w:rsid w:val="002810F2"/>
    <w:rsid w:val="00282349"/>
    <w:rsid w:val="00284553"/>
    <w:rsid w:val="00291F06"/>
    <w:rsid w:val="00294CEC"/>
    <w:rsid w:val="00296B03"/>
    <w:rsid w:val="002A3B46"/>
    <w:rsid w:val="002A74EA"/>
    <w:rsid w:val="002B283F"/>
    <w:rsid w:val="002B4435"/>
    <w:rsid w:val="002C0564"/>
    <w:rsid w:val="002C07F7"/>
    <w:rsid w:val="002D53B5"/>
    <w:rsid w:val="002D68FE"/>
    <w:rsid w:val="00302666"/>
    <w:rsid w:val="00303111"/>
    <w:rsid w:val="00305398"/>
    <w:rsid w:val="003078AB"/>
    <w:rsid w:val="00323D68"/>
    <w:rsid w:val="0033092B"/>
    <w:rsid w:val="00334F79"/>
    <w:rsid w:val="00334FCC"/>
    <w:rsid w:val="00341BE2"/>
    <w:rsid w:val="00341E84"/>
    <w:rsid w:val="00342F0C"/>
    <w:rsid w:val="003462E7"/>
    <w:rsid w:val="003574CE"/>
    <w:rsid w:val="0036433A"/>
    <w:rsid w:val="003674D9"/>
    <w:rsid w:val="00371290"/>
    <w:rsid w:val="00371D0B"/>
    <w:rsid w:val="00374DB6"/>
    <w:rsid w:val="003801AC"/>
    <w:rsid w:val="0038408D"/>
    <w:rsid w:val="003903DE"/>
    <w:rsid w:val="003A208D"/>
    <w:rsid w:val="003A3A6A"/>
    <w:rsid w:val="003A6FCA"/>
    <w:rsid w:val="003B58F8"/>
    <w:rsid w:val="003B7B03"/>
    <w:rsid w:val="003B7E6C"/>
    <w:rsid w:val="003D0AD3"/>
    <w:rsid w:val="003D5AE0"/>
    <w:rsid w:val="003E347E"/>
    <w:rsid w:val="003E69E7"/>
    <w:rsid w:val="003F389E"/>
    <w:rsid w:val="003F5EF1"/>
    <w:rsid w:val="00405946"/>
    <w:rsid w:val="00425876"/>
    <w:rsid w:val="00434CE3"/>
    <w:rsid w:val="004448AA"/>
    <w:rsid w:val="00456FFA"/>
    <w:rsid w:val="004608EE"/>
    <w:rsid w:val="004635DE"/>
    <w:rsid w:val="00466598"/>
    <w:rsid w:val="004667F9"/>
    <w:rsid w:val="00477142"/>
    <w:rsid w:val="00496B2F"/>
    <w:rsid w:val="004A2B7C"/>
    <w:rsid w:val="004B3586"/>
    <w:rsid w:val="004B4745"/>
    <w:rsid w:val="004C2AA0"/>
    <w:rsid w:val="004D68FE"/>
    <w:rsid w:val="004E4025"/>
    <w:rsid w:val="004E5D29"/>
    <w:rsid w:val="004E78A7"/>
    <w:rsid w:val="004F0D1C"/>
    <w:rsid w:val="004F1417"/>
    <w:rsid w:val="004F5421"/>
    <w:rsid w:val="004F5CE9"/>
    <w:rsid w:val="004F5E43"/>
    <w:rsid w:val="005028CE"/>
    <w:rsid w:val="0051010D"/>
    <w:rsid w:val="005166FA"/>
    <w:rsid w:val="005208FC"/>
    <w:rsid w:val="00522BE7"/>
    <w:rsid w:val="00525D2C"/>
    <w:rsid w:val="00527EA6"/>
    <w:rsid w:val="00527F93"/>
    <w:rsid w:val="0053199A"/>
    <w:rsid w:val="005442C2"/>
    <w:rsid w:val="00544920"/>
    <w:rsid w:val="0054655A"/>
    <w:rsid w:val="005767D5"/>
    <w:rsid w:val="00585CAF"/>
    <w:rsid w:val="00590FD9"/>
    <w:rsid w:val="00591225"/>
    <w:rsid w:val="0059162B"/>
    <w:rsid w:val="00593959"/>
    <w:rsid w:val="005B4FD3"/>
    <w:rsid w:val="005C38C5"/>
    <w:rsid w:val="005D37FE"/>
    <w:rsid w:val="005D3EC0"/>
    <w:rsid w:val="005F5C51"/>
    <w:rsid w:val="00606BB2"/>
    <w:rsid w:val="006258EA"/>
    <w:rsid w:val="00627E7F"/>
    <w:rsid w:val="0063048D"/>
    <w:rsid w:val="00633AC6"/>
    <w:rsid w:val="00641AA8"/>
    <w:rsid w:val="00650B2C"/>
    <w:rsid w:val="00651FCE"/>
    <w:rsid w:val="006552E0"/>
    <w:rsid w:val="00660171"/>
    <w:rsid w:val="00681D06"/>
    <w:rsid w:val="0068418E"/>
    <w:rsid w:val="00686544"/>
    <w:rsid w:val="0069242F"/>
    <w:rsid w:val="006961CF"/>
    <w:rsid w:val="00697E9B"/>
    <w:rsid w:val="006A154B"/>
    <w:rsid w:val="006A7FCF"/>
    <w:rsid w:val="006C2497"/>
    <w:rsid w:val="006D411F"/>
    <w:rsid w:val="006E0F90"/>
    <w:rsid w:val="006E24B1"/>
    <w:rsid w:val="006E2848"/>
    <w:rsid w:val="006E4177"/>
    <w:rsid w:val="006E58CA"/>
    <w:rsid w:val="006F7200"/>
    <w:rsid w:val="00700DAE"/>
    <w:rsid w:val="00703186"/>
    <w:rsid w:val="00710796"/>
    <w:rsid w:val="00715EA8"/>
    <w:rsid w:val="00717432"/>
    <w:rsid w:val="007201BB"/>
    <w:rsid w:val="007207B6"/>
    <w:rsid w:val="00721A41"/>
    <w:rsid w:val="00725BCF"/>
    <w:rsid w:val="00730DAC"/>
    <w:rsid w:val="0073157A"/>
    <w:rsid w:val="00736A56"/>
    <w:rsid w:val="007445A5"/>
    <w:rsid w:val="00745550"/>
    <w:rsid w:val="00746125"/>
    <w:rsid w:val="0075206F"/>
    <w:rsid w:val="00757170"/>
    <w:rsid w:val="00762AD5"/>
    <w:rsid w:val="007908F2"/>
    <w:rsid w:val="007A140C"/>
    <w:rsid w:val="007B775F"/>
    <w:rsid w:val="007C10C3"/>
    <w:rsid w:val="007C2EEC"/>
    <w:rsid w:val="007D46DB"/>
    <w:rsid w:val="007F775A"/>
    <w:rsid w:val="00806879"/>
    <w:rsid w:val="00807B6C"/>
    <w:rsid w:val="00815273"/>
    <w:rsid w:val="00815492"/>
    <w:rsid w:val="00822190"/>
    <w:rsid w:val="0083145F"/>
    <w:rsid w:val="008421C8"/>
    <w:rsid w:val="00847366"/>
    <w:rsid w:val="00847CA3"/>
    <w:rsid w:val="00852E55"/>
    <w:rsid w:val="0085653C"/>
    <w:rsid w:val="008677A6"/>
    <w:rsid w:val="00877041"/>
    <w:rsid w:val="00877542"/>
    <w:rsid w:val="00881B92"/>
    <w:rsid w:val="00883EAC"/>
    <w:rsid w:val="00884EE7"/>
    <w:rsid w:val="008900F6"/>
    <w:rsid w:val="00890567"/>
    <w:rsid w:val="00892658"/>
    <w:rsid w:val="008927EF"/>
    <w:rsid w:val="00896653"/>
    <w:rsid w:val="00896CC8"/>
    <w:rsid w:val="008C0391"/>
    <w:rsid w:val="008C0FC6"/>
    <w:rsid w:val="008C1F86"/>
    <w:rsid w:val="008C431C"/>
    <w:rsid w:val="008E20D1"/>
    <w:rsid w:val="008E54B4"/>
    <w:rsid w:val="008E6AA2"/>
    <w:rsid w:val="008F298F"/>
    <w:rsid w:val="008F6C96"/>
    <w:rsid w:val="008F78C7"/>
    <w:rsid w:val="00902FAD"/>
    <w:rsid w:val="009126D8"/>
    <w:rsid w:val="00912AC8"/>
    <w:rsid w:val="00925A46"/>
    <w:rsid w:val="0093535F"/>
    <w:rsid w:val="00952BB0"/>
    <w:rsid w:val="009654EE"/>
    <w:rsid w:val="00967EE6"/>
    <w:rsid w:val="00970705"/>
    <w:rsid w:val="00971C1C"/>
    <w:rsid w:val="009851E5"/>
    <w:rsid w:val="009A0FCE"/>
    <w:rsid w:val="009A3E34"/>
    <w:rsid w:val="009A4581"/>
    <w:rsid w:val="009A4BEA"/>
    <w:rsid w:val="009B0FE6"/>
    <w:rsid w:val="009E35C1"/>
    <w:rsid w:val="009E491D"/>
    <w:rsid w:val="009E774A"/>
    <w:rsid w:val="009E7A78"/>
    <w:rsid w:val="00A03264"/>
    <w:rsid w:val="00A12E26"/>
    <w:rsid w:val="00A2025F"/>
    <w:rsid w:val="00A23526"/>
    <w:rsid w:val="00A313DB"/>
    <w:rsid w:val="00A31C66"/>
    <w:rsid w:val="00A44FBC"/>
    <w:rsid w:val="00A52A5F"/>
    <w:rsid w:val="00A542F3"/>
    <w:rsid w:val="00A55453"/>
    <w:rsid w:val="00A62A7D"/>
    <w:rsid w:val="00A64438"/>
    <w:rsid w:val="00A749CB"/>
    <w:rsid w:val="00A915B4"/>
    <w:rsid w:val="00A93F1F"/>
    <w:rsid w:val="00AA7C32"/>
    <w:rsid w:val="00AB33CB"/>
    <w:rsid w:val="00AE533A"/>
    <w:rsid w:val="00AE7B5B"/>
    <w:rsid w:val="00AF456E"/>
    <w:rsid w:val="00B10378"/>
    <w:rsid w:val="00B135CE"/>
    <w:rsid w:val="00B207DB"/>
    <w:rsid w:val="00B21D9F"/>
    <w:rsid w:val="00B23893"/>
    <w:rsid w:val="00B33731"/>
    <w:rsid w:val="00B3550A"/>
    <w:rsid w:val="00B40A35"/>
    <w:rsid w:val="00B55977"/>
    <w:rsid w:val="00B653B9"/>
    <w:rsid w:val="00B67D91"/>
    <w:rsid w:val="00B722C9"/>
    <w:rsid w:val="00B7303D"/>
    <w:rsid w:val="00B74BAC"/>
    <w:rsid w:val="00B80630"/>
    <w:rsid w:val="00B80ECF"/>
    <w:rsid w:val="00B92552"/>
    <w:rsid w:val="00BC53EE"/>
    <w:rsid w:val="00BC7BE9"/>
    <w:rsid w:val="00BD0482"/>
    <w:rsid w:val="00BD0E28"/>
    <w:rsid w:val="00BD168F"/>
    <w:rsid w:val="00BD5287"/>
    <w:rsid w:val="00BE01F2"/>
    <w:rsid w:val="00BE1CEC"/>
    <w:rsid w:val="00BF0AD7"/>
    <w:rsid w:val="00C07848"/>
    <w:rsid w:val="00C143E5"/>
    <w:rsid w:val="00C16109"/>
    <w:rsid w:val="00C16F41"/>
    <w:rsid w:val="00C24B9A"/>
    <w:rsid w:val="00C33925"/>
    <w:rsid w:val="00C353D0"/>
    <w:rsid w:val="00C4456F"/>
    <w:rsid w:val="00C4627C"/>
    <w:rsid w:val="00C501D8"/>
    <w:rsid w:val="00C514EA"/>
    <w:rsid w:val="00C642D1"/>
    <w:rsid w:val="00C653A8"/>
    <w:rsid w:val="00C71392"/>
    <w:rsid w:val="00C73A84"/>
    <w:rsid w:val="00C76E38"/>
    <w:rsid w:val="00C8131C"/>
    <w:rsid w:val="00C82B43"/>
    <w:rsid w:val="00C830BF"/>
    <w:rsid w:val="00C86C1C"/>
    <w:rsid w:val="00C87F66"/>
    <w:rsid w:val="00CA00D2"/>
    <w:rsid w:val="00CA2C9B"/>
    <w:rsid w:val="00CB7F52"/>
    <w:rsid w:val="00CC2FB2"/>
    <w:rsid w:val="00CD2697"/>
    <w:rsid w:val="00CD2CD3"/>
    <w:rsid w:val="00CD6513"/>
    <w:rsid w:val="00CD72DD"/>
    <w:rsid w:val="00CE7D26"/>
    <w:rsid w:val="00CE7F2F"/>
    <w:rsid w:val="00CF1281"/>
    <w:rsid w:val="00D0169A"/>
    <w:rsid w:val="00D0694E"/>
    <w:rsid w:val="00D1624C"/>
    <w:rsid w:val="00D20198"/>
    <w:rsid w:val="00D253D1"/>
    <w:rsid w:val="00D31384"/>
    <w:rsid w:val="00D42AF0"/>
    <w:rsid w:val="00D50384"/>
    <w:rsid w:val="00D519E0"/>
    <w:rsid w:val="00D65306"/>
    <w:rsid w:val="00D6532D"/>
    <w:rsid w:val="00D7101B"/>
    <w:rsid w:val="00D73E89"/>
    <w:rsid w:val="00D80D99"/>
    <w:rsid w:val="00D8164C"/>
    <w:rsid w:val="00D83179"/>
    <w:rsid w:val="00D8350F"/>
    <w:rsid w:val="00D85FBA"/>
    <w:rsid w:val="00D8649F"/>
    <w:rsid w:val="00D92450"/>
    <w:rsid w:val="00DA4175"/>
    <w:rsid w:val="00DB0CB0"/>
    <w:rsid w:val="00DB1180"/>
    <w:rsid w:val="00DB5062"/>
    <w:rsid w:val="00DB6075"/>
    <w:rsid w:val="00DB7050"/>
    <w:rsid w:val="00DC04F4"/>
    <w:rsid w:val="00DD03AF"/>
    <w:rsid w:val="00DD18C8"/>
    <w:rsid w:val="00DD1A72"/>
    <w:rsid w:val="00DD2BB3"/>
    <w:rsid w:val="00DE16D1"/>
    <w:rsid w:val="00DE7A5B"/>
    <w:rsid w:val="00DF2690"/>
    <w:rsid w:val="00E0131B"/>
    <w:rsid w:val="00E078F4"/>
    <w:rsid w:val="00E10794"/>
    <w:rsid w:val="00E120A1"/>
    <w:rsid w:val="00E1374A"/>
    <w:rsid w:val="00E14146"/>
    <w:rsid w:val="00E158D2"/>
    <w:rsid w:val="00E24A43"/>
    <w:rsid w:val="00E2537B"/>
    <w:rsid w:val="00E26D77"/>
    <w:rsid w:val="00E60C77"/>
    <w:rsid w:val="00E64D95"/>
    <w:rsid w:val="00E711C3"/>
    <w:rsid w:val="00E77C00"/>
    <w:rsid w:val="00E8140C"/>
    <w:rsid w:val="00E821A1"/>
    <w:rsid w:val="00E824D5"/>
    <w:rsid w:val="00E8663B"/>
    <w:rsid w:val="00E906AD"/>
    <w:rsid w:val="00E934D7"/>
    <w:rsid w:val="00E947E9"/>
    <w:rsid w:val="00E97507"/>
    <w:rsid w:val="00EA081E"/>
    <w:rsid w:val="00EA0883"/>
    <w:rsid w:val="00EA1F0E"/>
    <w:rsid w:val="00EB00B9"/>
    <w:rsid w:val="00EB63FB"/>
    <w:rsid w:val="00EC09CC"/>
    <w:rsid w:val="00EC2ECC"/>
    <w:rsid w:val="00EC5426"/>
    <w:rsid w:val="00ED4CD9"/>
    <w:rsid w:val="00ED59CD"/>
    <w:rsid w:val="00EF0164"/>
    <w:rsid w:val="00EF55E1"/>
    <w:rsid w:val="00EF5E03"/>
    <w:rsid w:val="00EF6A8A"/>
    <w:rsid w:val="00F05C65"/>
    <w:rsid w:val="00F14514"/>
    <w:rsid w:val="00F1621A"/>
    <w:rsid w:val="00F2672D"/>
    <w:rsid w:val="00F26D47"/>
    <w:rsid w:val="00F339DB"/>
    <w:rsid w:val="00F33C10"/>
    <w:rsid w:val="00F34572"/>
    <w:rsid w:val="00F3509E"/>
    <w:rsid w:val="00F36299"/>
    <w:rsid w:val="00F460F7"/>
    <w:rsid w:val="00F52352"/>
    <w:rsid w:val="00F53CF9"/>
    <w:rsid w:val="00F617D3"/>
    <w:rsid w:val="00F6209B"/>
    <w:rsid w:val="00F6694E"/>
    <w:rsid w:val="00F73347"/>
    <w:rsid w:val="00F7525E"/>
    <w:rsid w:val="00F7579A"/>
    <w:rsid w:val="00F81A41"/>
    <w:rsid w:val="00F81CB4"/>
    <w:rsid w:val="00F83329"/>
    <w:rsid w:val="00F87C71"/>
    <w:rsid w:val="00F9339F"/>
    <w:rsid w:val="00F95D09"/>
    <w:rsid w:val="00FA582F"/>
    <w:rsid w:val="00FB40F0"/>
    <w:rsid w:val="00FB5B43"/>
    <w:rsid w:val="00FC1A16"/>
    <w:rsid w:val="00FD30EA"/>
    <w:rsid w:val="00FD619E"/>
    <w:rsid w:val="00FD799B"/>
    <w:rsid w:val="00FE2F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F34B"/>
  <w15:chartTrackingRefBased/>
  <w15:docId w15:val="{F71B3C80-C961-40AB-8E76-D22BAE7A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C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CA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5206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40A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A35"/>
    <w:rPr>
      <w:rFonts w:ascii="Segoe UI" w:hAnsi="Segoe UI" w:cs="Segoe UI"/>
      <w:sz w:val="18"/>
      <w:szCs w:val="18"/>
    </w:rPr>
  </w:style>
  <w:style w:type="character" w:customStyle="1" w:styleId="action">
    <w:name w:val="action"/>
    <w:basedOn w:val="DefaultParagraphFont"/>
    <w:rsid w:val="00EF0164"/>
  </w:style>
  <w:style w:type="character" w:styleId="Hyperlink">
    <w:name w:val="Hyperlink"/>
    <w:basedOn w:val="DefaultParagraphFont"/>
    <w:uiPriority w:val="99"/>
    <w:unhideWhenUsed/>
    <w:rsid w:val="00E64D95"/>
    <w:rPr>
      <w:color w:val="0563C1" w:themeColor="hyperlink"/>
      <w:u w:val="single"/>
    </w:rPr>
  </w:style>
  <w:style w:type="character" w:styleId="UnresolvedMention">
    <w:name w:val="Unresolved Mention"/>
    <w:basedOn w:val="DefaultParagraphFont"/>
    <w:uiPriority w:val="99"/>
    <w:semiHidden/>
    <w:unhideWhenUsed/>
    <w:rsid w:val="00E64D95"/>
    <w:rPr>
      <w:color w:val="605E5C"/>
      <w:shd w:val="clear" w:color="auto" w:fill="E1DFDD"/>
    </w:rPr>
  </w:style>
  <w:style w:type="character" w:customStyle="1" w:styleId="ui">
    <w:name w:val="ui"/>
    <w:basedOn w:val="DefaultParagraphFont"/>
    <w:rsid w:val="00C07848"/>
  </w:style>
  <w:style w:type="table" w:styleId="TableGrid">
    <w:name w:val="Table Grid"/>
    <w:basedOn w:val="TableNormal"/>
    <w:uiPriority w:val="39"/>
    <w:rsid w:val="009E4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353632">
      <w:bodyDiv w:val="1"/>
      <w:marLeft w:val="0"/>
      <w:marRight w:val="0"/>
      <w:marTop w:val="0"/>
      <w:marBottom w:val="0"/>
      <w:divBdr>
        <w:top w:val="none" w:sz="0" w:space="0" w:color="auto"/>
        <w:left w:val="none" w:sz="0" w:space="0" w:color="auto"/>
        <w:bottom w:val="none" w:sz="0" w:space="0" w:color="auto"/>
        <w:right w:val="none" w:sz="0" w:space="0" w:color="auto"/>
      </w:divBdr>
    </w:div>
    <w:div w:id="584076855">
      <w:bodyDiv w:val="1"/>
      <w:marLeft w:val="0"/>
      <w:marRight w:val="0"/>
      <w:marTop w:val="0"/>
      <w:marBottom w:val="0"/>
      <w:divBdr>
        <w:top w:val="none" w:sz="0" w:space="0" w:color="auto"/>
        <w:left w:val="none" w:sz="0" w:space="0" w:color="auto"/>
        <w:bottom w:val="none" w:sz="0" w:space="0" w:color="auto"/>
        <w:right w:val="none" w:sz="0" w:space="0" w:color="auto"/>
      </w:divBdr>
    </w:div>
    <w:div w:id="668368457">
      <w:bodyDiv w:val="1"/>
      <w:marLeft w:val="0"/>
      <w:marRight w:val="0"/>
      <w:marTop w:val="0"/>
      <w:marBottom w:val="0"/>
      <w:divBdr>
        <w:top w:val="none" w:sz="0" w:space="0" w:color="auto"/>
        <w:left w:val="none" w:sz="0" w:space="0" w:color="auto"/>
        <w:bottom w:val="none" w:sz="0" w:space="0" w:color="auto"/>
        <w:right w:val="none" w:sz="0" w:space="0" w:color="auto"/>
      </w:divBdr>
    </w:div>
    <w:div w:id="680856667">
      <w:bodyDiv w:val="1"/>
      <w:marLeft w:val="0"/>
      <w:marRight w:val="0"/>
      <w:marTop w:val="0"/>
      <w:marBottom w:val="0"/>
      <w:divBdr>
        <w:top w:val="none" w:sz="0" w:space="0" w:color="auto"/>
        <w:left w:val="none" w:sz="0" w:space="0" w:color="auto"/>
        <w:bottom w:val="none" w:sz="0" w:space="0" w:color="auto"/>
        <w:right w:val="none" w:sz="0" w:space="0" w:color="auto"/>
      </w:divBdr>
    </w:div>
    <w:div w:id="1330327506">
      <w:bodyDiv w:val="1"/>
      <w:marLeft w:val="0"/>
      <w:marRight w:val="0"/>
      <w:marTop w:val="0"/>
      <w:marBottom w:val="0"/>
      <w:divBdr>
        <w:top w:val="none" w:sz="0" w:space="0" w:color="auto"/>
        <w:left w:val="none" w:sz="0" w:space="0" w:color="auto"/>
        <w:bottom w:val="none" w:sz="0" w:space="0" w:color="auto"/>
        <w:right w:val="none" w:sz="0" w:space="0" w:color="auto"/>
      </w:divBdr>
    </w:div>
    <w:div w:id="1364864200">
      <w:bodyDiv w:val="1"/>
      <w:marLeft w:val="0"/>
      <w:marRight w:val="0"/>
      <w:marTop w:val="0"/>
      <w:marBottom w:val="0"/>
      <w:divBdr>
        <w:top w:val="none" w:sz="0" w:space="0" w:color="auto"/>
        <w:left w:val="none" w:sz="0" w:space="0" w:color="auto"/>
        <w:bottom w:val="none" w:sz="0" w:space="0" w:color="auto"/>
        <w:right w:val="none" w:sz="0" w:space="0" w:color="auto"/>
      </w:divBdr>
    </w:div>
    <w:div w:id="1528444679">
      <w:bodyDiv w:val="1"/>
      <w:marLeft w:val="0"/>
      <w:marRight w:val="0"/>
      <w:marTop w:val="0"/>
      <w:marBottom w:val="0"/>
      <w:divBdr>
        <w:top w:val="none" w:sz="0" w:space="0" w:color="auto"/>
        <w:left w:val="none" w:sz="0" w:space="0" w:color="auto"/>
        <w:bottom w:val="none" w:sz="0" w:space="0" w:color="auto"/>
        <w:right w:val="none" w:sz="0" w:space="0" w:color="auto"/>
      </w:divBdr>
    </w:div>
    <w:div w:id="174765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2604</TotalTime>
  <Pages>2</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Harrison</dc:creator>
  <cp:keywords/>
  <dc:description/>
  <cp:lastModifiedBy>Simon Harrison</cp:lastModifiedBy>
  <cp:revision>173</cp:revision>
  <dcterms:created xsi:type="dcterms:W3CDTF">2020-01-10T11:05:00Z</dcterms:created>
  <dcterms:modified xsi:type="dcterms:W3CDTF">2024-12-02T11:59:00Z</dcterms:modified>
</cp:coreProperties>
</file>