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Times New Roman" w:hAnsi="Times New Roman"/>
          <w:b/>
          <w:sz w:val="26"/>
        </w:rPr>
        <w:t>HW5: Create and Use Your Own DAO – Verxl DAO</w:t>
        <w:br/>
      </w:r>
      <w:r>
        <w:rPr>
          <w:rFonts w:ascii="Times New Roman" w:hAnsi="Times New Roman"/>
          <w:i/>
          <w:sz w:val="22"/>
        </w:rPr>
        <w:t>Team Members: Šimon Havlík, Daniel Kolárovský, Miroslava Valová</w:t>
        <w:br/>
        <w:t>Date: October 27, 2026</w:t>
      </w:r>
    </w:p>
    <w:p>
      <w:pPr>
        <w:spacing w:before="160" w:after="80" w:line="276" w:lineRule="auto"/>
        <w:jc w:val="left"/>
      </w:pPr>
      <w:r>
        <w:rPr>
          <w:rFonts w:ascii="Times New Roman" w:hAnsi="Times New Roman"/>
          <w:b/>
          <w:i w:val="0"/>
          <w:color w:val="000000"/>
          <w:sz w:val="22"/>
        </w:rPr>
        <w:t>1. DAO Overview, Purpose and Links</w:t>
      </w:r>
    </w:p>
    <w:p>
      <w:pPr>
        <w:spacing w:before="0" w:after="120" w:line="276" w:lineRule="auto"/>
      </w:pPr>
      <w:r>
        <w:t xml:space="preserve">For this assignment, our team established the Verxl DAO on the Ethereum Sepolia testnet using the Aragon OSx platform. The organization is created to serve as the decentralized governance and non-custodial treasury management body for our startup project, the Verxl Protocol. Verxl Protocol is an open compute routing protocol that routes tokenized artificial intelligence inference requests across independent GPU clusters with automated, non-custodial clearing. Our live platform is located at </w:t>
      </w:r>
      <w:hyperlink r:id="rId9">
        <w:r>
          <w:rPr>
            <w:rStyle w:val="Hyperlink"/>
            <w:rFonts w:ascii="Times New Roman" w:hAnsi="Times New Roman"/>
            <w:sz w:val="22"/>
            <w:color w:val="0000FF"/>
            <w:u w:val="single"/>
          </w:rPr>
          <w:t xml:space="preserve">https://verxl.com</w:t>
        </w:r>
      </w:hyperlink>
      <w:r>
        <w:t xml:space="preserve">, and our comprehensive technical specifications and economic design are detailed in our whitepaper at </w:t>
      </w:r>
      <w:hyperlink r:id="rId10">
        <w:r>
          <w:rPr>
            <w:rStyle w:val="Hyperlink"/>
            <w:rFonts w:ascii="Times New Roman" w:hAnsi="Times New Roman"/>
            <w:sz w:val="22"/>
            <w:color w:val="0000FF"/>
            <w:u w:val="single"/>
          </w:rPr>
          <w:t xml:space="preserve">https://verxl.com/whitepaper</w:t>
        </w:r>
      </w:hyperlink>
      <w:r>
        <w:t xml:space="preserve">. Furthermore, we integrated a dedicated governance interface directly into our production website at </w:t>
      </w:r>
      <w:hyperlink r:id="rId11">
        <w:r>
          <w:rPr>
            <w:rStyle w:val="Hyperlink"/>
            <w:rFonts w:ascii="Times New Roman" w:hAnsi="Times New Roman"/>
            <w:sz w:val="22"/>
            <w:color w:val="0000FF"/>
            <w:u w:val="single"/>
          </w:rPr>
          <w:t xml:space="preserve">https://verxl.com/governance</w:t>
        </w:r>
      </w:hyperlink>
      <w:r>
        <w:t>, providing real-time streaming of on-chain DAO telemetry, active proposal statuses, and live contract events synchronized from Ethereum Sepolia. Links to our live platform, whitepaper, and governance dashboard were embedded directly into the organization metadata during the creation process on Aragon.</w:t>
      </w:r>
    </w:p>
    <w:p>
      <w:pPr>
        <w:spacing w:before="160" w:after="80" w:line="276" w:lineRule="auto"/>
        <w:jc w:val="left"/>
      </w:pPr>
      <w:r>
        <w:rPr>
          <w:rFonts w:ascii="Times New Roman" w:hAnsi="Times New Roman"/>
          <w:b/>
          <w:i w:val="0"/>
          <w:color w:val="000000"/>
          <w:sz w:val="22"/>
        </w:rPr>
        <w:t>2. Core DAO Properties, Contract Registry and Sepolia Etherscan Verification</w:t>
      </w:r>
    </w:p>
    <w:p>
      <w:pPr>
        <w:spacing w:before="0" w:after="120" w:line="276" w:lineRule="auto"/>
        <w:jc w:val="left"/>
      </w:pPr>
      <w:r>
        <w:rPr>
          <w:rFonts w:ascii="Times New Roman" w:hAnsi="Times New Roman"/>
          <w:b w:val="0"/>
          <w:i w:val="0"/>
          <w:color w:val="000000"/>
          <w:sz w:val="22"/>
        </w:rPr>
        <w:t>The DAO was deployed and configured collaboratively on Ethereum Sepolia. Below are the verified parameters, contract registry, and direct Sepolia Etherscan links:</w:t>
      </w:r>
    </w:p>
    <w:p>
      <w:pPr>
        <w:spacing w:before="0" w:after="60" w:line="276" w:lineRule="auto"/>
        <w:jc w:val="left"/>
      </w:pPr>
      <w:r>
        <w:rPr>
          <w:rFonts w:ascii="Times New Roman" w:hAnsi="Times New Roman"/>
          <w:b w:val="0"/>
          <w:i w:val="0"/>
          <w:color w:val="000000"/>
          <w:sz w:val="22"/>
        </w:rPr>
        <w:t>• Organization Name: Verxl DAO (ENS Subdomain: verxl-dao.dao.eth)</w:t>
      </w:r>
    </w:p>
    <w:p>
      <w:pPr>
        <w:spacing w:before="0" w:after="60" w:line="276" w:lineRule="auto"/>
      </w:pPr>
      <w:r>
        <w:t xml:space="preserve">• Aragon App Organization URL: </w:t>
      </w:r>
      <w:hyperlink r:id="rId12">
        <w:r>
          <w:rPr>
            <w:rStyle w:val="Hyperlink"/>
            <w:rFonts w:ascii="Times New Roman" w:hAnsi="Times New Roman"/>
            <w:sz w:val="22"/>
            <w:color w:val="0000FF"/>
            <w:u w:val="single"/>
          </w:rPr>
          <w:t xml:space="preserve">https://app.aragon.org/dao/ethereum-sepolia/0xf0e51fB0FFBD8ef36281b6f643E0f7953BD5111a/</w:t>
        </w:r>
      </w:hyperlink>
    </w:p>
    <w:p>
      <w:pPr>
        <w:spacing w:before="0" w:after="60" w:line="276" w:lineRule="auto"/>
      </w:pPr>
      <w:r>
        <w:t xml:space="preserve">• DAO Contract &amp; Vault Address: </w:t>
      </w:r>
      <w:hyperlink r:id="rId13">
        <w:r>
          <w:rPr>
            <w:rStyle w:val="Hyperlink"/>
            <w:rFonts w:ascii="Times New Roman" w:hAnsi="Times New Roman"/>
            <w:sz w:val="22"/>
            <w:color w:val="0000FF"/>
            <w:u w:val="single"/>
          </w:rPr>
          <w:t xml:space="preserve">0xf0e51fB0FFBD8ef36281b6f643E0f7953BD5111a</w:t>
        </w:r>
      </w:hyperlink>
      <w:r>
        <w:t xml:space="preserve"> (</w:t>
      </w:r>
      <w:hyperlink r:id="rId13">
        <w:r>
          <w:rPr>
            <w:rStyle w:val="Hyperlink"/>
            <w:rFonts w:ascii="Times New Roman" w:hAnsi="Times New Roman"/>
            <w:sz w:val="22"/>
            <w:color w:val="0000FF"/>
            <w:u w:val="single"/>
          </w:rPr>
          <w:t xml:space="preserve">View on Sepolia Etherscan</w:t>
        </w:r>
      </w:hyperlink>
      <w:r>
        <w:t>)</w:t>
      </w:r>
    </w:p>
    <w:p>
      <w:pPr>
        <w:spacing w:before="0" w:after="60" w:line="276" w:lineRule="auto"/>
      </w:pPr>
      <w:r>
        <w:t xml:space="preserve">  Contract Creation Transaction: </w:t>
      </w:r>
      <w:hyperlink r:id="rId14">
        <w:r>
          <w:rPr>
            <w:rStyle w:val="Hyperlink"/>
            <w:rFonts w:ascii="Times New Roman" w:hAnsi="Times New Roman"/>
            <w:sz w:val="22"/>
            <w:color w:val="0000FF"/>
            <w:u w:val="single"/>
          </w:rPr>
          <w:t xml:space="preserve">0x031bd2c85b97fa4229f98017f7968dd6f5444d75a182c5bdfcc1859a7963a7ef</w:t>
        </w:r>
      </w:hyperlink>
      <w:r>
        <w:t xml:space="preserve"> (Confirmed at Block 12000801 by Creator </w:t>
      </w:r>
      <w:hyperlink r:id="rId15">
        <w:r>
          <w:rPr>
            <w:rStyle w:val="Hyperlink"/>
            <w:rFonts w:ascii="Times New Roman" w:hAnsi="Times New Roman"/>
            <w:sz w:val="22"/>
            <w:color w:val="0000FF"/>
            <w:u w:val="single"/>
          </w:rPr>
          <w:t xml:space="preserve">0x14f10A865e277C0B1949e18Dd9856602DB11742b</w:t>
        </w:r>
      </w:hyperlink>
      <w:r>
        <w:t>)</w:t>
      </w:r>
    </w:p>
    <w:p>
      <w:pPr>
        <w:spacing w:before="0" w:after="60" w:line="276" w:lineRule="auto"/>
      </w:pPr>
      <w:r>
        <w:t xml:space="preserve">• Dedicated Web Governance Dashboard: </w:t>
      </w:r>
      <w:hyperlink r:id="rId11">
        <w:r>
          <w:rPr>
            <w:rStyle w:val="Hyperlink"/>
            <w:rFonts w:ascii="Times New Roman" w:hAnsi="Times New Roman"/>
            <w:sz w:val="22"/>
            <w:color w:val="0000FF"/>
            <w:u w:val="single"/>
          </w:rPr>
          <w:t xml:space="preserve">https://verxl.com/governance</w:t>
        </w:r>
      </w:hyperlink>
      <w:r>
        <w:t xml:space="preserve"> (live synchronized on-chain telemetry, active votes, and event feed)</w:t>
      </w:r>
    </w:p>
    <w:p>
      <w:pPr>
        <w:spacing w:before="0" w:after="60" w:line="276" w:lineRule="auto"/>
      </w:pPr>
      <w:r>
        <w:t xml:space="preserve">• Founding Wallet (Creator &amp; Submitter): </w:t>
      </w:r>
      <w:hyperlink r:id="rId15">
        <w:r>
          <w:rPr>
            <w:rStyle w:val="Hyperlink"/>
            <w:rFonts w:ascii="Times New Roman" w:hAnsi="Times New Roman"/>
            <w:sz w:val="22"/>
            <w:color w:val="0000FF"/>
            <w:u w:val="single"/>
          </w:rPr>
          <w:t xml:space="preserve">0x14f10A865e277C0B1949e18Dd9856602DB11742b</w:t>
        </w:r>
      </w:hyperlink>
      <w:r>
        <w:t xml:space="preserve"> (Šimon Havlík – 33.34% genesis voting quota · </w:t>
      </w:r>
      <w:hyperlink r:id="rId15">
        <w:r>
          <w:rPr>
            <w:rStyle w:val="Hyperlink"/>
            <w:rFonts w:ascii="Times New Roman" w:hAnsi="Times New Roman"/>
            <w:sz w:val="22"/>
            <w:color w:val="0000FF"/>
            <w:u w:val="single"/>
          </w:rPr>
          <w:t xml:space="preserve">Etherscan Wallet Link</w:t>
        </w:r>
      </w:hyperlink>
      <w:r>
        <w:t>)</w:t>
      </w:r>
    </w:p>
    <w:p>
      <w:pPr>
        <w:spacing w:before="0" w:after="60" w:line="276" w:lineRule="auto"/>
      </w:pPr>
      <w:r>
        <w:t xml:space="preserve">• Founding Wallet (Voting Member): </w:t>
      </w:r>
      <w:hyperlink r:id="rId16">
        <w:r>
          <w:rPr>
            <w:rStyle w:val="Hyperlink"/>
            <w:rFonts w:ascii="Times New Roman" w:hAnsi="Times New Roman"/>
            <w:sz w:val="22"/>
            <w:color w:val="0000FF"/>
            <w:u w:val="single"/>
          </w:rPr>
          <w:t xml:space="preserve">0x4E5e69DcFE7DF0D3E5bA074C7a66CE0597cF05Ab</w:t>
        </w:r>
      </w:hyperlink>
      <w:r>
        <w:t xml:space="preserve"> (Daniel Kolárovský – 33.33% genesis voting quota · </w:t>
      </w:r>
      <w:hyperlink r:id="rId16">
        <w:r>
          <w:rPr>
            <w:rStyle w:val="Hyperlink"/>
            <w:rFonts w:ascii="Times New Roman" w:hAnsi="Times New Roman"/>
            <w:sz w:val="22"/>
            <w:color w:val="0000FF"/>
            <w:u w:val="single"/>
          </w:rPr>
          <w:t xml:space="preserve">Etherscan Wallet Link</w:t>
        </w:r>
      </w:hyperlink>
      <w:r>
        <w:t>)</w:t>
      </w:r>
    </w:p>
    <w:p>
      <w:pPr>
        <w:spacing w:before="0" w:after="60" w:line="276" w:lineRule="auto"/>
      </w:pPr>
      <w:r>
        <w:t xml:space="preserve">• Founding Wallet (Co-Administrator): </w:t>
      </w:r>
      <w:hyperlink r:id="rId17">
        <w:r>
          <w:rPr>
            <w:rStyle w:val="Hyperlink"/>
            <w:rFonts w:ascii="Times New Roman" w:hAnsi="Times New Roman"/>
            <w:sz w:val="22"/>
            <w:color w:val="0000FF"/>
            <w:u w:val="single"/>
          </w:rPr>
          <w:t xml:space="preserve">0xE4a112C573a750b2d3Cc418CFF45FFEf9Fd1272F</w:t>
        </w:r>
      </w:hyperlink>
      <w:r>
        <w:t xml:space="preserve"> (Miroslava Valová – 33.33% genesis voting quota · </w:t>
      </w:r>
      <w:hyperlink r:id="rId17">
        <w:r>
          <w:rPr>
            <w:rStyle w:val="Hyperlink"/>
            <w:rFonts w:ascii="Times New Roman" w:hAnsi="Times New Roman"/>
            <w:sz w:val="22"/>
            <w:color w:val="0000FF"/>
            <w:u w:val="single"/>
          </w:rPr>
          <w:t xml:space="preserve">Etherscan Wallet Link</w:t>
        </w:r>
      </w:hyperlink>
      <w:r>
        <w:t>)</w:t>
      </w:r>
    </w:p>
    <w:p>
      <w:pPr>
        <w:spacing w:before="0" w:after="60" w:line="276" w:lineRule="auto"/>
        <w:jc w:val="left"/>
      </w:pPr>
      <w:r>
        <w:rPr>
          <w:rFonts w:ascii="Times New Roman" w:hAnsi="Times New Roman"/>
          <w:b w:val="0"/>
          <w:i w:val="0"/>
          <w:color w:val="000000"/>
          <w:sz w:val="22"/>
        </w:rPr>
        <w:t>• Governance Design on Sepolia: Aragon OSx Multi-Member Consensus Plugin with 3 equal founder member wallets, requiring a 2-of-3 threshold (&gt;50% simple majority) to approve proposals, coupled with automated early execution upon mathematical majority.</w:t>
      </w:r>
    </w:p>
    <w:p>
      <w:pPr>
        <w:spacing w:before="0" w:after="60" w:line="276" w:lineRule="auto"/>
        <w:jc w:val="left"/>
      </w:pPr>
      <w:r>
        <w:rPr>
          <w:rFonts w:ascii="Times New Roman" w:hAnsi="Times New Roman"/>
          <w:b w:val="0"/>
          <w:i w:val="0"/>
          <w:color w:val="000000"/>
          <w:sz w:val="22"/>
        </w:rPr>
        <w:t>• Protocol Governance Allocation: Denominated in native $VRXL tokens with a 1,000,000 VRXL genesis allocation specified in the protocol whitepaper, distributed equally across the three founders.</w:t>
      </w:r>
    </w:p>
    <w:p>
      <w:pPr>
        <w:spacing w:before="0" w:after="120" w:line="276" w:lineRule="auto"/>
      </w:pPr>
      <w:r>
        <w:t xml:space="preserve">• Project Website &amp; Whitepaper: </w:t>
      </w:r>
      <w:hyperlink r:id="rId9">
        <w:r>
          <w:rPr>
            <w:rStyle w:val="Hyperlink"/>
            <w:rFonts w:ascii="Times New Roman" w:hAnsi="Times New Roman"/>
            <w:sz w:val="22"/>
            <w:color w:val="0000FF"/>
            <w:u w:val="single"/>
          </w:rPr>
          <w:t xml:space="preserve">https://verxl.com</w:t>
        </w:r>
      </w:hyperlink>
      <w:r>
        <w:t xml:space="preserve"> and </w:t>
      </w:r>
      <w:hyperlink r:id="rId10">
        <w:r>
          <w:rPr>
            <w:rStyle w:val="Hyperlink"/>
            <w:rFonts w:ascii="Times New Roman" w:hAnsi="Times New Roman"/>
            <w:sz w:val="22"/>
            <w:color w:val="0000FF"/>
            <w:u w:val="single"/>
          </w:rPr>
          <w:t xml:space="preserve">https://verxl.com/whitepaper</w:t>
        </w:r>
      </w:hyperlink>
    </w:p>
    <w:p>
      <w:pPr>
        <w:spacing w:before="160" w:after="80" w:line="276" w:lineRule="auto"/>
        <w:jc w:val="left"/>
      </w:pPr>
      <w:r>
        <w:rPr>
          <w:rFonts w:ascii="Times New Roman" w:hAnsi="Times New Roman"/>
          <w:b/>
          <w:i w:val="0"/>
          <w:color w:val="000000"/>
          <w:sz w:val="22"/>
        </w:rPr>
        <w:t>3. Verified On-Chain Activities: Treasury Capitalization and Governance Voting</w:t>
      </w:r>
    </w:p>
    <w:p>
      <w:pPr>
        <w:spacing w:before="0" w:after="120" w:line="276" w:lineRule="auto"/>
        <w:jc w:val="left"/>
      </w:pPr>
      <w:r>
        <w:rPr>
          <w:rFonts w:ascii="Times New Roman" w:hAnsi="Times New Roman"/>
          <w:b w:val="0"/>
          <w:i w:val="0"/>
          <w:color w:val="000000"/>
          <w:sz w:val="22"/>
        </w:rPr>
        <w:t>To fulfill the practical operations required by the assignment, our team executed two on-chain activities on the Sepolia network:</w:t>
      </w:r>
    </w:p>
    <w:p>
      <w:pPr>
        <w:spacing w:before="0" w:after="60" w:line="276" w:lineRule="auto"/>
      </w:pPr>
      <w:r>
        <w:t>First, we executed an on-chain transaction with the DAO Vault (</w:t>
      </w:r>
      <w:hyperlink r:id="rId13">
        <w:r>
          <w:rPr>
            <w:rStyle w:val="Hyperlink"/>
            <w:rFonts w:ascii="Times New Roman" w:hAnsi="Times New Roman"/>
            <w:sz w:val="22"/>
            <w:color w:val="0000FF"/>
            <w:u w:val="single"/>
          </w:rPr>
          <w:t xml:space="preserve">0xf0e51fB0FFBD8ef36281b6f643E0f7953BD5111a</w:t>
        </w:r>
      </w:hyperlink>
      <w:r>
        <w:t>) to verify treasury execution. The transaction was initiated from the founding creator wallet (</w:t>
      </w:r>
      <w:hyperlink r:id="rId15">
        <w:r>
          <w:rPr>
            <w:rStyle w:val="Hyperlink"/>
            <w:rFonts w:ascii="Times New Roman" w:hAnsi="Times New Roman"/>
            <w:sz w:val="22"/>
            <w:color w:val="0000FF"/>
            <w:u w:val="single"/>
          </w:rPr>
          <w:t xml:space="preserve">0x14f10A865e277C0B1949e18Dd9856602DB11742b</w:t>
        </w:r>
      </w:hyperlink>
      <w:r>
        <w:t xml:space="preserve">) and confirmed on Ethereum Sepolia under transaction hash: </w:t>
      </w:r>
      <w:hyperlink r:id="rId18">
        <w:r>
          <w:rPr>
            <w:rStyle w:val="Hyperlink"/>
            <w:rFonts w:ascii="Times New Roman" w:hAnsi="Times New Roman"/>
            <w:sz w:val="22"/>
            <w:color w:val="0000FF"/>
            <w:u w:val="single"/>
          </w:rPr>
          <w:t xml:space="preserve">0x247d5d5b5fca30b1cfadc102322a22001e6c828e41705aafe1bb54e23921b6b6</w:t>
        </w:r>
      </w:hyperlink>
      <w:r>
        <w:t xml:space="preserve"> (</w:t>
      </w:r>
      <w:hyperlink r:id="rId18">
        <w:r>
          <w:rPr>
            <w:rStyle w:val="Hyperlink"/>
            <w:rFonts w:ascii="Times New Roman" w:hAnsi="Times New Roman"/>
            <w:sz w:val="22"/>
            <w:color w:val="0000FF"/>
            <w:u w:val="single"/>
          </w:rPr>
          <w:t xml:space="preserve">View on Sepolia Etherscan</w:t>
        </w:r>
      </w:hyperlink>
      <w:r>
        <w:t>).</w:t>
      </w:r>
    </w:p>
    <w:p>
      <w:pPr>
        <w:spacing w:before="0" w:after="120" w:line="276" w:lineRule="auto"/>
      </w:pPr>
      <w:r>
        <w:t>Second, we initiated and ratified an on-chain governance vote for proposal VIP-1, titled "Authorize Verxl Gateway V1 Routing Invariants, Seed Liquidity, and Collateral Slashing Registry". Founding partner Daniel Kolárovský (</w:t>
      </w:r>
      <w:hyperlink r:id="rId16">
        <w:r>
          <w:rPr>
            <w:rStyle w:val="Hyperlink"/>
            <w:rFonts w:ascii="Times New Roman" w:hAnsi="Times New Roman"/>
            <w:sz w:val="22"/>
            <w:color w:val="0000FF"/>
            <w:u w:val="single"/>
          </w:rPr>
          <w:t xml:space="preserve">0x4E5e69DcFE7DF0D3E5bA074C7a66CE0597cF05Ab</w:t>
        </w:r>
      </w:hyperlink>
      <w:r>
        <w:t xml:space="preserve">) cast the affirmative vote from his registered wallet, completing the required 2-of-3 quorum threshold and securing unanimous approval. Because the majority was mathematically secured, the proposal triggered early automated execution on-chain. Both the proposal execution and real-time voting history can be audited directly on the Aragon portal at </w:t>
      </w:r>
      <w:hyperlink r:id="rId19">
        <w:r>
          <w:rPr>
            <w:rStyle w:val="Hyperlink"/>
            <w:rFonts w:ascii="Times New Roman" w:hAnsi="Times New Roman"/>
            <w:sz w:val="22"/>
            <w:color w:val="0000FF"/>
            <w:u w:val="single"/>
          </w:rPr>
          <w:t xml:space="preserve">Aragon Proposal VIP-1</w:t>
        </w:r>
      </w:hyperlink>
      <w:r>
        <w:t xml:space="preserve"> as well as on our live platform governance dashboard at </w:t>
      </w:r>
      <w:hyperlink r:id="rId11">
        <w:r>
          <w:rPr>
            <w:rStyle w:val="Hyperlink"/>
            <w:rFonts w:ascii="Times New Roman" w:hAnsi="Times New Roman"/>
            <w:sz w:val="22"/>
            <w:color w:val="0000FF"/>
            <w:u w:val="single"/>
          </w:rPr>
          <w:t xml:space="preserve">https://verxl.com/governance</w:t>
        </w:r>
      </w:hyperlink>
      <w:r>
        <w:t>.</w:t>
      </w:r>
    </w:p>
    <w:p>
      <w:pPr>
        <w:spacing w:before="160" w:after="80" w:line="276" w:lineRule="auto"/>
        <w:jc w:val="left"/>
      </w:pPr>
      <w:r>
        <w:rPr>
          <w:rFonts w:ascii="Times New Roman" w:hAnsi="Times New Roman"/>
          <w:b/>
          <w:i w:val="0"/>
          <w:color w:val="000000"/>
          <w:sz w:val="22"/>
        </w:rPr>
        <w:t>4. Extra Work Extension A: Written DAO Agreement (Memorandum of Association)</w:t>
      </w:r>
    </w:p>
    <w:p>
      <w:pPr>
        <w:spacing w:before="0" w:after="120" w:line="276" w:lineRule="auto"/>
      </w:pPr>
      <w:r>
        <w:t xml:space="preserve">To expand on the DAO purpose and claim extra credit, our team drafted this written DAO Agreement (Memorandum of Association) setting forth the rules, shares, goals, and vision of the organization, however we primarily focused on our project's whitepaper </w:t>
      </w:r>
      <w:hyperlink r:id="rId10">
        <w:r>
          <w:rPr>
            <w:rStyle w:val="Hyperlink"/>
            <w:rFonts w:ascii="Times New Roman" w:hAnsi="Times New Roman"/>
            <w:sz w:val="22"/>
            <w:color w:val="0000FF"/>
            <w:u w:val="single"/>
          </w:rPr>
          <w:t xml:space="preserve">https://verxl.com/whitepaper</w:t>
        </w:r>
      </w:hyperlink>
      <w:r>
        <w:t>:</w:t>
      </w:r>
    </w:p>
    <w:p>
      <w:pPr>
        <w:spacing w:before="80" w:after="200" w:line="276" w:lineRule="auto"/>
        <w:ind w:left="288" w:right="288"/>
      </w:pPr>
      <w:r>
        <w:rPr>
          <w:rFonts w:ascii="Times New Roman" w:hAnsi="Times New Roman"/>
          <w:sz w:val="19"/>
        </w:rPr>
        <w:t>DAO FOUNDERS AGREEMENT &amp; MEMORANDUM OF ASSOCIATION</w:t>
        <w:br/>
        <w:t>Entered into on October 27, 2026, by and between Šimon Havlík, Daniel Kolárovský, and Miroslava Valová.</w:t>
        <w:br/>
        <w:br/>
        <w:t>Article I (Name, Purpose and Vision): Verxl DAO is established as a decentralized autonomous organization on Ethereum Sepolia using Aragon OSx. The DAO governs the Verxl Protocol (</w:t>
      </w:r>
      <w:hyperlink r:id="rId9">
        <w:r>
          <w:rPr>
            <w:rStyle w:val="Hyperlink"/>
            <w:rFonts w:ascii="Times New Roman" w:hAnsi="Times New Roman"/>
            <w:sz w:val="19"/>
            <w:color w:val="0000FF"/>
            <w:u w:val="single"/>
          </w:rPr>
          <w:t xml:space="preserve">https://verxl.com</w:t>
        </w:r>
      </w:hyperlink>
      <w:r>
        <w:rPr>
          <w:rFonts w:ascii="Times New Roman" w:hAnsi="Times New Roman"/>
          <w:sz w:val="19"/>
        </w:rPr>
        <w:t xml:space="preserve">), an open compute clearing network designed to route tokenized artificial intelligence inference requests to independent GPU data centers. The complete architectural blueprint and economic model are set forth in the protocol whitepaper at </w:t>
      </w:r>
      <w:hyperlink r:id="rId10">
        <w:r>
          <w:rPr>
            <w:rStyle w:val="Hyperlink"/>
            <w:rFonts w:ascii="Times New Roman" w:hAnsi="Times New Roman"/>
            <w:sz w:val="19"/>
            <w:color w:val="0000FF"/>
            <w:u w:val="single"/>
          </w:rPr>
          <w:t xml:space="preserve">https://verxl.com/whitepaper</w:t>
        </w:r>
      </w:hyperlink>
      <w:r>
        <w:rPr>
          <w:rFonts w:ascii="Times New Roman" w:hAnsi="Times New Roman"/>
          <w:sz w:val="19"/>
        </w:rPr>
        <w:t xml:space="preserve">, and real-time DAO telemetry is mirrored at </w:t>
      </w:r>
      <w:hyperlink r:id="rId11">
        <w:r>
          <w:rPr>
            <w:rStyle w:val="Hyperlink"/>
            <w:rFonts w:ascii="Times New Roman" w:hAnsi="Times New Roman"/>
            <w:sz w:val="19"/>
            <w:color w:val="0000FF"/>
            <w:u w:val="single"/>
          </w:rPr>
          <w:t xml:space="preserve">https://verxl.com/governance</w:t>
        </w:r>
      </w:hyperlink>
      <w:r>
        <w:rPr>
          <w:rFonts w:ascii="Times New Roman" w:hAnsi="Times New Roman"/>
          <w:sz w:val="19"/>
        </w:rPr>
        <w:t>. The DAO holds no client principal balances and operates as a non-custodial clearing registry.</w:t>
        <w:br/>
        <w:br/>
        <w:t>Article II (Founder Shares and Voting Rights): Governance rights are shared equally among founding members: Šimon Havlík holds 33.34%, Daniel Kolárovský holds 33.33%, and Miroslava Valová holds 33.33%. No single founder possesses administrative backdoor keys or unilateral authority over the DAO Vault.</w:t>
        <w:br/>
        <w:br/>
        <w:t>Article III (Quorum, Voting and Ratification): Any formal modification to protocol routing rates, smart contracts, or treasury disbursements requires an on-chain Verxl Improvement Proposal (VIP). Proposals require a simple majority (&gt;50% support) and a minimum participation quorum of 20% of outstanding supply over a 24-hour voting window, with early execution authorized upon mathematical finality.</w:t>
        <w:br/>
        <w:br/>
        <w:t>Article IV (Treasury Inflows and Slashing Invariants): The DAO Vault receives a 50 basis point protocol clearing fee from settled inference requests. Compute clusters register staking collateral in VerxlStakingRegistry.sol. If a compute cluster fails deterministic seed=42 canary verification probes, the smart contract executes an automated 10% collateral slash to compensate affected clients.</w:t>
        <w:br/>
        <w:br/>
        <w:t>Article V (Dissolution and Liquidation): Formal dissolution of the DAO requires an affirmative supermajority of 75% of issued voting tokens. Upon formal dissolution, remaining treasury assets shall be disbursed pro-rata to token holders.</w:t>
        <w:br/>
        <w:br/>
        <w:t>Article VI (On-Chain Cryptographic Ratification &amp; Etherscan Verification):</w:t>
        <w:br/>
        <w:t>This Memorandum of Association is executed and cryptographically ratified on the Ethereum Sepolia network by the three founding partner wallets:</w:t>
        <w:br/>
        <w:t>1. Šimon Havlík (Founding Creator &amp; Submitter): 0x14f10A865e277C0B1949e18Dd9856602DB11742b</w:t>
        <w:br/>
        <w:t xml:space="preserve">   Etherscan: </w:t>
      </w:r>
      <w:hyperlink r:id="rId15">
        <w:r>
          <w:rPr>
            <w:rStyle w:val="Hyperlink"/>
            <w:rFonts w:ascii="Times New Roman" w:hAnsi="Times New Roman"/>
            <w:sz w:val="19"/>
            <w:color w:val="0000FF"/>
            <w:u w:val="single"/>
          </w:rPr>
          <w:t xml:space="preserve">https://sepolia.etherscan.io/address/0x14f10A865e277C0B1949e18Dd9856602DB11742b</w:t>
        </w:r>
      </w:hyperlink>
      <w:r>
        <w:rPr>
          <w:rFonts w:ascii="Times New Roman" w:hAnsi="Times New Roman"/>
          <w:sz w:val="19"/>
        </w:rPr>
        <w:br/>
        <w:t>2. Daniel Kolárovský (Founding Voting Partner): 0x4E5e69DcFE7DF0D3E5bA074C7a66CE0597cF05Ab</w:t>
        <w:br/>
        <w:t xml:space="preserve">   Etherscan: </w:t>
      </w:r>
      <w:hyperlink r:id="rId16">
        <w:r>
          <w:rPr>
            <w:rStyle w:val="Hyperlink"/>
            <w:rFonts w:ascii="Times New Roman" w:hAnsi="Times New Roman"/>
            <w:sz w:val="19"/>
            <w:color w:val="0000FF"/>
            <w:u w:val="single"/>
          </w:rPr>
          <w:t xml:space="preserve">https://sepolia.etherscan.io/address/0x4E5e69DcFE7DF0D3E5bA074C7a66CE0597cF05Ab</w:t>
        </w:r>
      </w:hyperlink>
      <w:r>
        <w:rPr>
          <w:rFonts w:ascii="Times New Roman" w:hAnsi="Times New Roman"/>
          <w:sz w:val="19"/>
        </w:rPr>
        <w:br/>
        <w:t>3. Miroslava Valová (Founding Co-Administrator): 0xE4a112C573a750b2d3Cc418CFF45FFEf9Fd1272F</w:t>
        <w:br/>
        <w:t xml:space="preserve">   Etherscan: </w:t>
      </w:r>
      <w:hyperlink r:id="rId17">
        <w:r>
          <w:rPr>
            <w:rStyle w:val="Hyperlink"/>
            <w:rFonts w:ascii="Times New Roman" w:hAnsi="Times New Roman"/>
            <w:sz w:val="19"/>
            <w:color w:val="0000FF"/>
            <w:u w:val="single"/>
          </w:rPr>
          <w:t xml:space="preserve">https://sepolia.etherscan.io/address/0xE4a112C573a750b2d3Cc418CFF45FFEf9Fd1272F</w:t>
        </w:r>
      </w:hyperlink>
      <w:r>
        <w:rPr>
          <w:rFonts w:ascii="Times New Roman" w:hAnsi="Times New Roman"/>
          <w:sz w:val="19"/>
        </w:rPr>
        <w:br/>
        <w:t>All covenants, equity tranches, and governance parameters herein are immutably bound on-chain to the Aragon OSx contract 0xf0e51fB0FFBD8ef36281b6f643E0f7953BD5111a (</w:t>
      </w:r>
      <w:hyperlink r:id="rId13">
        <w:r>
          <w:rPr>
            <w:rStyle w:val="Hyperlink"/>
            <w:rFonts w:ascii="Times New Roman" w:hAnsi="Times New Roman"/>
            <w:sz w:val="19"/>
            <w:color w:val="0000FF"/>
            <w:u w:val="single"/>
          </w:rPr>
          <w:t xml:space="preserve">View Contract on Sepolia Etherscan</w:t>
        </w:r>
      </w:hyperlink>
      <w:r>
        <w:rPr>
          <w:rFonts w:ascii="Times New Roman" w:hAnsi="Times New Roman"/>
          <w:sz w:val="19"/>
        </w:rPr>
        <w:t>) and formally confirmed via executed governance proposal VIP-1.</w:t>
      </w:r>
    </w:p>
    <w:p>
      <w:pPr>
        <w:spacing w:before="160" w:after="80" w:line="276" w:lineRule="auto"/>
        <w:jc w:val="left"/>
      </w:pPr>
      <w:r>
        <w:rPr>
          <w:rFonts w:ascii="Times New Roman" w:hAnsi="Times New Roman"/>
          <w:b/>
          <w:i w:val="0"/>
          <w:color w:val="000000"/>
          <w:sz w:val="22"/>
        </w:rPr>
        <w:t>5. Extra Work Extension B: Programmatic DAO Deployment on Ethereum Sepolia</w:t>
      </w:r>
    </w:p>
    <w:p>
      <w:pPr>
        <w:spacing w:before="0" w:after="120" w:line="276" w:lineRule="auto"/>
        <w:jc w:val="left"/>
      </w:pPr>
      <w:r>
        <w:rPr>
          <w:rFonts w:ascii="Times New Roman" w:hAnsi="Times New Roman"/>
          <w:b w:val="0"/>
          <w:i w:val="0"/>
          <w:color w:val="000000"/>
          <w:sz w:val="22"/>
        </w:rPr>
        <w:t>While our primary organization was established via the Aragon UI workflow, to definitively demonstrate that our organization can be instantiated and configured purely through code, we executed a second, programmatic deployment directly on the Ethereum Sepolia testnet calling the official Aragon OSx DAO Factory contract (0xb815791c233807d39b7430127975244b36c19c8e). This deployment is fully confirmed on-chain and verifiable via Sepolia Etherscan:</w:t>
      </w:r>
    </w:p>
    <w:p>
      <w:pPr>
        <w:spacing w:before="0" w:after="60" w:line="276" w:lineRule="auto"/>
      </w:pPr>
      <w:r>
        <w:t xml:space="preserve">• Programmatic Deployment Transaction Hash: </w:t>
      </w:r>
      <w:hyperlink r:id="rId20">
        <w:r>
          <w:rPr>
            <w:rStyle w:val="Hyperlink"/>
            <w:rFonts w:ascii="Times New Roman" w:hAnsi="Times New Roman"/>
            <w:sz w:val="22"/>
            <w:color w:val="0000FF"/>
            <w:u w:val="single"/>
          </w:rPr>
          <w:t xml:space="preserve">0x06c875aa4c46e395b815d44de462d5034f1bd13315311c910bc18734826bba92</w:t>
        </w:r>
      </w:hyperlink>
      <w:r>
        <w:t xml:space="preserve"> (Confirmed in Block 12007627 · </w:t>
      </w:r>
      <w:hyperlink r:id="rId20">
        <w:r>
          <w:rPr>
            <w:rStyle w:val="Hyperlink"/>
            <w:rFonts w:ascii="Times New Roman" w:hAnsi="Times New Roman"/>
            <w:sz w:val="22"/>
            <w:color w:val="0000FF"/>
            <w:u w:val="single"/>
          </w:rPr>
          <w:t xml:space="preserve">View on Sepolia Etherscan</w:t>
        </w:r>
      </w:hyperlink>
      <w:r>
        <w:t>)</w:t>
      </w:r>
    </w:p>
    <w:p>
      <w:pPr>
        <w:spacing w:before="0" w:after="60" w:line="276" w:lineRule="auto"/>
      </w:pPr>
      <w:r>
        <w:t xml:space="preserve">• Deployed Programmatic DAO Contract: </w:t>
      </w:r>
      <w:hyperlink r:id="rId21">
        <w:r>
          <w:rPr>
            <w:rStyle w:val="Hyperlink"/>
            <w:rFonts w:ascii="Times New Roman" w:hAnsi="Times New Roman"/>
            <w:sz w:val="22"/>
            <w:color w:val="0000FF"/>
            <w:u w:val="single"/>
          </w:rPr>
          <w:t xml:space="preserve">0x68c9C9aE60afC6D548740006B87F716709A17221</w:t>
        </w:r>
      </w:hyperlink>
      <w:r>
        <w:t xml:space="preserve"> (</w:t>
      </w:r>
      <w:hyperlink r:id="rId21">
        <w:r>
          <w:rPr>
            <w:rStyle w:val="Hyperlink"/>
            <w:rFonts w:ascii="Times New Roman" w:hAnsi="Times New Roman"/>
            <w:sz w:val="22"/>
            <w:color w:val="0000FF"/>
            <w:u w:val="single"/>
          </w:rPr>
          <w:t xml:space="preserve">Etherscan Contract Link</w:t>
        </w:r>
      </w:hyperlink>
      <w:r>
        <w:t xml:space="preserve"> · </w:t>
      </w:r>
      <w:hyperlink r:id="rId22">
        <w:r>
          <w:rPr>
            <w:rStyle w:val="Hyperlink"/>
            <w:rFonts w:ascii="Times New Roman" w:hAnsi="Times New Roman"/>
            <w:sz w:val="22"/>
            <w:color w:val="0000FF"/>
            <w:u w:val="single"/>
          </w:rPr>
          <w:t xml:space="preserve">Aragon App Portal</w:t>
        </w:r>
      </w:hyperlink>
      <w:r>
        <w:t>)</w:t>
      </w:r>
    </w:p>
    <w:p>
      <w:pPr>
        <w:spacing w:before="0" w:after="120" w:line="276" w:lineRule="auto"/>
        <w:jc w:val="left"/>
      </w:pPr>
      <w:r>
        <w:rPr>
          <w:rFonts w:ascii="Times New Roman" w:hAnsi="Times New Roman"/>
          <w:b w:val="0"/>
          <w:i w:val="0"/>
          <w:color w:val="000000"/>
          <w:sz w:val="22"/>
        </w:rPr>
        <w:t>The deployment was initiated by the founding creator wallet (0x14f10A865e277C0B1949e18Dd9856602DB11742b) using the following production Node.js deployment runner script leveraging ethers.js and the Aragon OSx Factory interface:</w:t>
      </w:r>
    </w:p>
    <w:tbl>
      <w:tblPr>
        <w:tblW w:type="auto" w:w="0"/>
        <w:jc w:val="center"/>
        <w:tblLayout w:type="fixed"/>
        <w:tblLook w:firstColumn="1" w:firstRow="1" w:lastColumn="0" w:lastRow="0" w:noHBand="0" w:noVBand="1" w:val="04A0"/>
      </w:tblPr>
      <w:tblGrid>
        <w:gridCol w:w="9360"/>
      </w:tblGrid>
      <w:tr>
        <w:tc>
          <w:tcPr>
            <w:tcW w:type="dxa" w:w="9360"/>
            <w:shd w:fill="F6F8FA"/>
            <w:tcBorders>
              <w:top w:val="single" w:sz="4" w:space="0" w:color="D0D7DE"/>
              <w:left w:val="single" w:sz="4" w:space="0" w:color="D0D7DE"/>
              <w:bottom w:val="single" w:sz="4" w:space="0" w:color="D0D7DE"/>
              <w:right w:val="single" w:sz="4" w:space="0" w:color="D0D7DE"/>
            </w:tcBorders>
            <w:tcMar>
              <w:top w:w="120" w:type="dxa"/>
              <w:bottom w:w="120" w:type="dxa"/>
              <w:left w:w="160" w:type="dxa"/>
              <w:right w:w="160" w:type="dxa"/>
            </w:tcMar>
          </w:tcPr>
          <w:p>
            <w:pPr>
              <w:spacing w:before="0" w:after="0" w:line="240" w:lineRule="auto"/>
            </w:pPr>
            <w:r>
              <w:rPr>
                <w:rFonts w:ascii="Consolas" w:hAnsi="Consolas"/>
                <w:color w:val="1F2328"/>
                <w:sz w:val="17"/>
              </w:rPr>
              <w:t>import { ethers } from "ethers";</w:t>
              <w:br/>
              <w:br/>
              <w:t>// Production programmatic deployment script for Aragon OSx Factory</w:t>
              <w:br/>
              <w:t>async function deployDaoProgrammatic() {</w:t>
              <w:br/>
              <w:t xml:space="preserve">  const provider = new ethers.JsonRpcProvider(process.env.SEPOLIA_RPC_URL || "https://rpc.sepolia.org");</w:t>
              <w:br/>
              <w:t xml:space="preserve">  const signer = new ethers.Wallet(process.env.DEPLOYER_PRIVATE_KEY, provider);</w:t>
              <w:br/>
              <w:br/>
              <w:t xml:space="preserve">  const factoryAddress = "0xb815791c233807d39b7430127975244b36c19c8e";</w:t>
              <w:br/>
              <w:t xml:space="preserve">  const pluginRepo = "0x152c9e28995e418870b85cbbc0aee4e53020edb2";</w:t>
              <w:br/>
              <w:br/>
              <w:t xml:space="preserve">  const factoryAbi = [</w:t>
              <w:br/>
              <w:t xml:space="preserve">    "function createDao(" +</w:t>
              <w:br/>
              <w:t xml:space="preserve">      "(address trustedForwarder, string daoURI, string subdomain, bytes metadata) _daoSettings, " +</w:t>
              <w:br/>
              <w:t xml:space="preserve">      "(((uint8 release, uint16 build) versionTag, address pluginSetupRepo) pluginSetupRef, bytes data)[] _pluginSettings" +</w:t>
              <w:br/>
              <w:t xml:space="preserve">    ") external returns (address createdDao, tuple(address plugin, tuple(address[] helpers, tuple(uint8 operation, address where, address who, address condition, bytes32 permissionId)[] permissions) preparedSetupData)[] installedPlugins)"</w:t>
              <w:br/>
              <w:t xml:space="preserve">  ];</w:t>
              <w:br/>
              <w:br/>
              <w:t xml:space="preserve">  const factory = new ethers.Contract(factoryAddress, factoryAbi, signer);</w:t>
              <w:br/>
              <w:br/>
              <w:t xml:space="preserve">  const daoSettings = {</w:t>
              <w:br/>
              <w:t xml:space="preserve">    trustedForwarder: ethers.ZeroAddress,</w:t>
              <w:br/>
              <w:t xml:space="preserve">    daoURI: "",</w:t>
              <w:br/>
              <w:t xml:space="preserve">    subdomain: "",</w:t>
              <w:br/>
              <w:t xml:space="preserve">    metadata: ethers.toUtf8Bytes("ipfs://QmZFohATQntZHXPGKbJNxncDcMmoaKrBzdenvtFbu7BXmH")</w:t>
              <w:br/>
              <w:t xml:space="preserve">  };</w:t>
              <w:br/>
              <w:br/>
              <w:t xml:space="preserve">  const pluginSettings = [</w:t>
              <w:br/>
              <w:t xml:space="preserve">    {</w:t>
              <w:br/>
              <w:t xml:space="preserve">      pluginSetupRef: {</w:t>
              <w:br/>
              <w:t xml:space="preserve">        versionTag: { release: 1, build: 2 },</w:t>
              <w:br/>
              <w:t xml:space="preserve">        pluginSetupRepo: pluginRepo</w:t>
              <w:br/>
              <w:t xml:space="preserve">      },</w:t>
              <w:br/>
              <w:t xml:space="preserve">      data: ethers.AbiCoder.defaultAbiCoder().encode(["address", "uint256", "uint256"], [signer.address, 0n, 0n])</w:t>
              <w:br/>
              <w:t xml:space="preserve">    }</w:t>
              <w:br/>
              <w:t xml:space="preserve">  ];</w:t>
              <w:br/>
              <w:br/>
              <w:t xml:space="preserve">  console.log("Broadcasting createDao transaction to Aragon OSx Factory...");</w:t>
              <w:br/>
              <w:t xml:space="preserve">  const tx = await factory.createDao(daoSettings, pluginSettings, { gasLimit: 3200000n });</w:t>
              <w:br/>
              <w:t xml:space="preserve">  console.log("Transaction Hash:", tx.hash);</w:t>
              <w:br/>
              <w:t xml:space="preserve">  const receipt = await tx.wait();</w:t>
              <w:br/>
              <w:t xml:space="preserve">  console.log("Mined in Block:", receipt.blockNumber);</w:t>
              <w:br/>
              <w:t>}</w:t>
              <w:br/>
              <w:br/>
              <w:t>deployDaoProgrammatic();</w:t>
            </w:r>
          </w:p>
        </w:tc>
      </w:tr>
    </w:tbl>
    <w:p>
      <w:pPr>
        <w:spacing w:before="0"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Pr>
      <w:color w:val="0000FF"/>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verxl.com" TargetMode="External"/><Relationship Id="rId10" Type="http://schemas.openxmlformats.org/officeDocument/2006/relationships/hyperlink" Target="https://verxl.com/whitepaper" TargetMode="External"/><Relationship Id="rId11" Type="http://schemas.openxmlformats.org/officeDocument/2006/relationships/hyperlink" Target="https://verxl.com/governance" TargetMode="External"/><Relationship Id="rId12" Type="http://schemas.openxmlformats.org/officeDocument/2006/relationships/hyperlink" Target="https://app.aragon.org/dao/ethereum-sepolia/0xf0e51fB0FFBD8ef36281b6f643E0f7953BD5111a/" TargetMode="External"/><Relationship Id="rId13" Type="http://schemas.openxmlformats.org/officeDocument/2006/relationships/hyperlink" Target="https://sepolia.etherscan.io/address/0xf0e51fB0FFBD8ef36281b6f643E0f7953BD5111a" TargetMode="External"/><Relationship Id="rId14" Type="http://schemas.openxmlformats.org/officeDocument/2006/relationships/hyperlink" Target="https://sepolia.etherscan.io/tx/0x031bd2c85b97fa4229f98017f7968dd6f5444d75a182c5bdfcc1859a7963a7ef" TargetMode="External"/><Relationship Id="rId15" Type="http://schemas.openxmlformats.org/officeDocument/2006/relationships/hyperlink" Target="https://sepolia.etherscan.io/address/0x14f10A865e277C0B1949e18Dd9856602DB11742b" TargetMode="External"/><Relationship Id="rId16" Type="http://schemas.openxmlformats.org/officeDocument/2006/relationships/hyperlink" Target="https://sepolia.etherscan.io/address/0x4E5e69DcFE7DF0D3E5bA074C7a66CE0597cF05Ab" TargetMode="External"/><Relationship Id="rId17" Type="http://schemas.openxmlformats.org/officeDocument/2006/relationships/hyperlink" Target="https://sepolia.etherscan.io/address/0xE4a112C573a750b2d3Cc418CFF45FFEf9Fd1272F" TargetMode="External"/><Relationship Id="rId18" Type="http://schemas.openxmlformats.org/officeDocument/2006/relationships/hyperlink" Target="https://sepolia.etherscan.io/tx/0x247d5d5b5fca30b1cfadc102322a22001e6c828e41705aafe1bb54e23921b6b6" TargetMode="External"/><Relationship Id="rId19" Type="http://schemas.openxmlformats.org/officeDocument/2006/relationships/hyperlink" Target="https://app.aragon.org/dao/ethereum-sepolia/0xf0e51fB0FFBD8ef36281b6f643E0f7953BD5111a/proposals/VIP-1" TargetMode="External"/><Relationship Id="rId20" Type="http://schemas.openxmlformats.org/officeDocument/2006/relationships/hyperlink" Target="https://sepolia.etherscan.io/tx/0x06c875aa4c46e395b815d44de462d5034f1bd13315311c910bc18734826bba92" TargetMode="External"/><Relationship Id="rId21" Type="http://schemas.openxmlformats.org/officeDocument/2006/relationships/hyperlink" Target="https://sepolia.etherscan.io/address/0x68c9C9aE60afC6D548740006B87F716709A17221" TargetMode="External"/><Relationship Id="rId22" Type="http://schemas.openxmlformats.org/officeDocument/2006/relationships/hyperlink" Target="https://app.aragon.org/dao/ethereum-sepolia/0x68c9C9aE60afC6D548740006B87F716709A172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