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</w:pPr>
      <w:r>
        <w:rPr>
          <w:rFonts w:ascii="Arial" w:cs="Arial" w:eastAsia="Arial" w:hAnsi="Arial"/>
          <w:b/>
          <w:bCs/>
          <w:caps/>
          <w:color w:val="FF5429"/>
          <w:sz w:val="22"/>
          <w:szCs w:val="22"/>
        </w:rPr>
        <w:t xml:space="preserve">BUYER JOURNEY AUDIT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1F33"/>
          <w:sz w:val="52"/>
          <w:szCs w:val="52"/>
        </w:rPr>
        <w:t xml:space="preserve">Maintenance Engineers</w:t>
      </w:r>
    </w:p>
    <w:p>
      <w:pPr>
        <w:spacing w:after="400"/>
      </w:pPr>
      <w:r>
        <w:rPr>
          <w:rFonts w:ascii="Arial" w:cs="Arial" w:eastAsia="Arial" w:hAnsi="Arial"/>
          <w:color w:val="5A6A80"/>
          <w:sz w:val="36"/>
          <w:szCs w:val="36"/>
        </w:rPr>
        <w:t xml:space="preserve">Oil &amp; Gas / Energy Production</w:t>
      </w:r>
    </w:p>
    <w:p>
      <w:pPr>
        <w:pBdr>
          <w:top w:val="single" w:color="FF5429" w:sz="6" w:space="1"/>
        </w:pBdr>
        <w:spacing w:after="120" w:before="200"/>
      </w:pPr>
    </w:p>
    <w:p>
      <w:pPr>
        <w:spacing w:after="120"/>
      </w:pPr>
      <w:r>
        <w:rPr>
          <w:rFonts w:ascii="Arial" w:cs="Arial" w:eastAsia="Arial" w:hAnsi="Arial"/>
          <w:color w:val="5A6A80"/>
          <w:sz w:val="22"/>
          <w:szCs w:val="22"/>
        </w:rPr>
        <w:t xml:space="preserve">samoticstestpage.com</w:t>
      </w:r>
    </w:p>
    <w:p>
      <w:pPr>
        <w:spacing w:after="120"/>
      </w:pPr>
      <w:r>
        <w:rPr>
          <w:rFonts w:ascii="Arial" w:cs="Arial" w:eastAsia="Arial" w:hAnsi="Arial"/>
          <w:color w:val="5A6A80"/>
          <w:sz w:val="22"/>
          <w:szCs w:val="22"/>
        </w:rPr>
        <w:t xml:space="preserve">March 2026</w:t>
      </w:r>
    </w:p>
    <w:p>
      <w:r>
        <w:rPr>
          <w:rFonts w:ascii="Arial" w:cs="Arial" w:eastAsia="Arial" w:hAnsi="Arial"/>
          <w:i/>
          <w:iCs/>
          <w:color w:val="5A6A80"/>
          <w:sz w:val="22"/>
          <w:szCs w:val="22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audit traces the buyer journey a maintenance engineer from oil &amp; gas would take through samoticstestpage.com. It maps eight pages from entry to conversion, scores each for industry fit and friction, and identifies the gaps that would cause a technical buyer to drop off.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journey is structurally sound. Pages flow logically from awareness to evaluation to conversion. But the site undersells its O&amp;G capability. Only two pages speak directly to energy production challenges. The rest use generic industrial language that forces the buyer to translate.</w:t>
      </w:r>
    </w:p>
    <w:p>
      <w:pPr>
        <w:pBdr>
          <w:left w:val="single" w:color="FF5429" w:sz="12" w:space="8"/>
        </w:pBdr>
        <w:spacing w:after="200" w:before="200"/>
        <w:ind w:left="200"/>
      </w:pPr>
      <w:r>
        <w:rPr>
          <w:rFonts w:ascii="Arial" w:cs="Arial" w:eastAsia="Arial" w:hAnsi="Arial"/>
          <w:b/>
          <w:bCs/>
          <w:color w:val="1F1F33"/>
          <w:sz w:val="22"/>
          <w:szCs w:val="22"/>
        </w:rPr>
        <w:t xml:space="preserve">Core finding: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Energy Production industry page is strong. But it sits inside a generic shell. A maintenance engineer who enters via the homepage, problem page, or technology page will see nothing that says </w:t>
      </w:r>
      <w:r>
        <w:rPr>
          <w:rFonts w:ascii="Arial" w:cs="Arial" w:eastAsia="Arial" w:hAnsi="Arial"/>
          <w:i/>
          <w:iCs/>
          <w:color w:val="FF5429"/>
          <w:sz w:val="22"/>
          <w:szCs w:val="22"/>
        </w:rPr>
        <w:t xml:space="preserve">“this is built for oil &amp; gas.”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The Buyer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Maintenance / Reliability Engineer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Industry: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Oil &amp; Gas (upstream, midstream, or downstream)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Assets: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ESPs, compressors, transfer pumps, injection pumps, seawater lift pumps, fans, blowers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Environment: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Offshore platforms, ATEX zones, confined spaces, remote sites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Pain: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Can’t instrument critical assets. Vibration sensors won’t survive. Failures are high-consequence (containment loss, production shutdown, HSE incident).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Buying trigger: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Recent unplanned failure, insurance audit, new asset integrity programme, or pressure from corporate reliability KPIs.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Decision criteria: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Proven detection on their asset types, offshore deployment logistics, 24/7 SLA, SCADA integration, named references from O&amp;G peers.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Journey Map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assumed path follows the site’s information architecture. A maintenance engineer enters via search or a direct link, then navigates deeper based on relevance signals.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600"/>
        <w:gridCol w:w="1200"/>
        <w:gridCol w:w="1200"/>
        <w:gridCol w:w="3360"/>
      </w:tblGrid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O&amp;G Fit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 (short)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Entry / Awareness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WEAK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80"/>
                <w:sz w:val="20"/>
                <w:szCs w:val="20"/>
              </w:rPr>
              <w:t xml:space="preserve">An O&amp;G engineer sees nothing that says ‘this is for me’ before scrolling past...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Problem</w:t>
            </w:r>
          </w:p>
        </w:tc>
        <w:tc>
          <w:tcPr>
            <w:tcW w:type="dxa" w:w="1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Problem Awareness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80"/>
                <w:sz w:val="20"/>
                <w:szCs w:val="20"/>
              </w:rPr>
              <w:t xml:space="preserve">Maintenance engineer recognises the problem but doesn’t see their specific wo...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Energy Production</w:t>
            </w:r>
          </w:p>
        </w:tc>
        <w:tc>
          <w:tcPr>
            <w:tcW w:type="dxa" w:w="1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Industry Relevance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MODERATE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80"/>
                <w:sz w:val="20"/>
                <w:szCs w:val="20"/>
              </w:rPr>
              <w:t xml:space="preserve">Strong page. But broken links and thin case study portfolio undermine credibi...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ESA Technology</w:t>
            </w:r>
          </w:p>
        </w:tc>
        <w:tc>
          <w:tcPr>
            <w:tcW w:type="dxa" w:w="1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Technical Evaluation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WEAK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80"/>
                <w:sz w:val="20"/>
                <w:szCs w:val="20"/>
              </w:rPr>
              <w:t xml:space="preserve">A technical buyer will appreciate the honesty but leave with unanswered quest...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SAM4 Platform</w:t>
            </w:r>
          </w:p>
        </w:tc>
        <w:tc>
          <w:tcPr>
            <w:tcW w:type="dxa" w:w="1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Evaluation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WEAK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80"/>
                <w:sz w:val="20"/>
                <w:szCs w:val="20"/>
              </w:rPr>
              <w:t xml:space="preserve">O&amp;G operations teams won’t commit without 24/7 assurance and integration into...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We Monitor</w:t>
            </w:r>
          </w:p>
        </w:tc>
        <w:tc>
          <w:tcPr>
            <w:tcW w:type="dxa" w:w="1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Capability Check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MODERATE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80"/>
                <w:sz w:val="20"/>
                <w:szCs w:val="20"/>
              </w:rPr>
              <w:t xml:space="preserve">Reassuring breadth. But depth is missing for the specific assets O&amp;G engineer...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1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Validation / Social Proof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80"/>
                <w:sz w:val="20"/>
                <w:szCs w:val="20"/>
              </w:rPr>
              <w:t xml:space="preserve">An O&amp;G buyer expects to see their peers. Two anonymous cases won’t build conf...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Contact</w:t>
            </w:r>
          </w:p>
        </w:tc>
        <w:tc>
          <w:tcPr>
            <w:tcW w:type="dxa" w:w="1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Conversion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WEAK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80"/>
                <w:sz w:val="20"/>
                <w:szCs w:val="20"/>
              </w:rPr>
              <w:t xml:space="preserve">The buyer arrived. But the form doesn’t ask the right questions and doesn’t s...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Page-by-Page Analysis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O&amp;G Fit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</w:t>
            </w:r>
          </w:p>
        </w:tc>
      </w:tr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Entry / Awareness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WEAK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Generic industrial messaging. Energy Production appears as one of 5+ industry tiles. No O&amp;G-specific language, no ATEX/offshore/ESP keywords. Case study callouts are water and metals focused.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O&amp;G cost data or ROI anchor on the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mention of ATEX, offshore, ESPs, or compressors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Customer logos don’t signal O&amp;G presence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Sample report link doesn’t specify if it’s energy-focused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CTAs on page: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See How It Works, Talk to an engineer, Calculate Your ROI, Start your asset audit</w:t>
      </w:r>
    </w:p>
    <w:p>
      <w:pPr>
        <w:pBdr>
          <w:left w:val="single" w:color="0098AC" w:sz="8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color w:val="1F1F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An O&amp;G engineer sees nothing that says ‘this is for me’ before scrolling past the fold.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O&amp;G Fit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</w:t>
            </w:r>
          </w:p>
        </w:tc>
      </w:tr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/problem/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Problem Awareness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Good framing around access barriers and regulatory fines. But cost examples are generic. Doesn’t name ATEX zones, offshore platforms, or ESP challenges. Safety exposure section resonates but lacks specificity.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quantified O&amp;G failure costs (e.g., ESP workover = $X)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Barriers section doesn’t explain WHY vibration fails in ATEX zones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comparison to existing O&amp;G monitoring (SCADA, manual rounds)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Regulatory fines section vague — no environmental penalty specifics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CTAs on page: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Start Your Asset Audit, Talk to an engineer</w:t>
      </w:r>
    </w:p>
    <w:p>
      <w:pPr>
        <w:pBdr>
          <w:left w:val="single" w:color="0098AC" w:sz="8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color w:val="1F1F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Maintenance engineer recognises the problem but doesn’t see their specific world reflected.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Energy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O&amp;G Fit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</w:t>
            </w:r>
          </w:p>
        </w:tc>
      </w:tr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/industries/oil-gas/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Industry Relevance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Best page in the journey. Names offshore, ATEX, ESPs, seawater lift pumps. Links SPE papers. Lists 7 specific asset types. Shows 2 O&amp;G case studies with KPIs. Co-development slots for wind and thermal.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 paper links may be broken (/resources/spe-paper-esp/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Only 2 O&amp;G case studies — water and mining have 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95% detection rate lacks context — measured on which O&amp;G asset types?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‘20 min install’ claim needs offshore/hazardous zone caveat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SCADA/DCS integration mentioned for O&amp;G operations teams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CTAs on page: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See How It Works, Talk to an engineer, Book an Asset Audit</w:t>
      </w:r>
    </w:p>
    <w:p>
      <w:pPr>
        <w:pBdr>
          <w:left w:val="single" w:color="0098AC" w:sz="8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color w:val="1F1F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Strong page. But broken links and thin case study portfolio undermine credibility at the critical moment.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ESA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O&amp;G Fit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</w:t>
            </w:r>
          </w:p>
        </w:tc>
      </w:tr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/technology/esa/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Technical Evaluation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WEAK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Heavy on physics theory. Honest boundary conditions section (5% miss rate, load-dependent, new asset learning time). But no O&amp;G application context. Doesn’t explain VFD-driven compressor handling or subsea cable effects.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O&amp;G application examples alongside the theory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Boundary conditions may discourage risk-averse O&amp;G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VFD-driven equipment handling not explained (critical for compressors)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Subsea/cable-driven ESP signature behaviour undocumented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Alert latency and response time not stated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CTAs on page: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Talk to an engineer, See Customer Results</w:t>
      </w:r>
    </w:p>
    <w:p>
      <w:pPr>
        <w:pBdr>
          <w:left w:val="single" w:color="0098AC" w:sz="8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color w:val="1F1F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 technical buyer will appreciate the honesty but leave with unanswered questions about their specific equipment.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SAM4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O&amp;G Fit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</w:t>
            </w:r>
          </w:p>
        </w:tc>
      </w:tr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/platform/sam4/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Evaluation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WEAK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Generic managed service description. No 24/7 SLA, no SCADA integration, no offshore/remote access capability. ‘Expert engineers’ undefined. Quarterly business reviews suggest low-criticality use — O&amp;G needs weekly or continuous.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24/7 monitoring SLA with escalation for critical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SCADA/DCS integration (PI, AVEVA, Aspen) mentioned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CMMS integration detail (SAP, Maximo)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offline capability for offshore/remote 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data compliance or audit trail (ISO 27001, SOC 2 on this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mobile app for remote/offshore access mentioned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CTAs on page: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Talk to an engineer, Talk to Us (executive)</w:t>
      </w:r>
    </w:p>
    <w:p>
      <w:pPr>
        <w:pBdr>
          <w:left w:val="single" w:color="0098AC" w:sz="8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color w:val="1F1F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O&amp;G operations teams won’t commit without 24/7 assurance and integration into existing control systems.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What We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O&amp;G Fit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</w:t>
            </w:r>
          </w:p>
        </w:tc>
      </w:tr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/platform/what-we-monitor/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Capability Check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Strong asset coverage. Dedicated ESP card with offshore context. Compressor and pump faults well-articulated. Fault detection matrix across 12+ asset types. Energy optimisation feature relevant.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‘If it runs on an AC motor’ excludes some O&amp;G edge cases (DC, VFD)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per-asset-type detection KPIs (e.g., bearing wear rate for pumps)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Cable-driven ESP behaviour not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High-speed compressor (&gt;10k RPM) performance not addressed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CTAs on page: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Talk to an engineer, Start Your Asset Audit</w:t>
      </w:r>
    </w:p>
    <w:p>
      <w:pPr>
        <w:pBdr>
          <w:left w:val="single" w:color="0098AC" w:sz="8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color w:val="1F1F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Reassuring breadth. But depth is missing for the specific assets O&amp;G engineers lose sleep over.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Case Studies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O&amp;G Fit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</w:t>
            </w:r>
          </w:p>
        </w:tc>
      </w:tr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/proof/case-studies/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Validation / Social Proof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Only 2 O&amp;G case studies visible. No major operator names. $2M impact figure on one card is vague. Water dominates the first page. Filter chips exist but may not function.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Only 2 O&amp;G cases vs. 4+ water cases on page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company names or anonymisation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$2M impact unclear — prevented what exactly?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implementation timeline or ongoing ROI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Filter chips may be non-functional (static site)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CTAs on page: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Request Demo (banner only)</w:t>
      </w:r>
    </w:p>
    <w:p>
      <w:pPr>
        <w:pBdr>
          <w:left w:val="single" w:color="0098AC" w:sz="8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color w:val="1F1F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An O&amp;G buyer expects to see their peers. Two anonymous cases won’t build confidence for a six-figure commitment.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O&amp;G Fit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</w:t>
            </w:r>
          </w:p>
        </w:tc>
      </w:tr>
      <w:tr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/contact/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Conversion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WEAK</w:t>
            </w:r>
          </w:p>
        </w:tc>
        <w:tc>
          <w:tcPr>
            <w:tcW w:type="dxa" w:w="234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Five intent paths (Demo, Audit, Executive, Security, Partnership). Forms are generic — no O&amp;G-specific fields. No response time stated. No scheduling integration. Demo vs. Audit distinction unclear.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O&amp;G-tailored form questions (ATEX, offshore, asset types)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expected response time or next steps stated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Demo vs. Audit distinction unclear — needs guidance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option to upload asset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direct calendar scheduling (Calendly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‘Talk to an engineer’ promise — but form may route to sales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CTAs on page: </w:t>
      </w:r>
      <w:r>
        <w:rPr>
          <w:rFonts w:ascii="Arial" w:cs="Arial" w:eastAsia="Arial" w:hAnsi="Arial"/>
          <w:color w:val="5A6A80"/>
          <w:sz w:val="22"/>
          <w:szCs w:val="22"/>
        </w:rPr>
        <w:t xml:space="preserve">Request Demo, Start Asset Audit, Talk to Us, Discuss Security, Discuss Partnership</w:t>
      </w:r>
    </w:p>
    <w:p>
      <w:pPr>
        <w:pBdr>
          <w:left w:val="single" w:color="0098AC" w:sz="8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color w:val="1F1F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buyer arrived. But the form doesn’t ask the right questions and doesn’t set expectations for what happens next.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Structural Issues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Broken or Missing Links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Energy Production page links to resources that may not resolve: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/resources/spe-paper-esp/ — SPE paper on ESPs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/resources/spe-paper-seawater-lift-pumps/ — SPE paper on seawater lift pumps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/resources/co-development/ — Co-development programme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/resources/cmp-technical-note/ — CMP technical note (linked from StoryBrand campaign)</w:t>
      </w:r>
    </w:p>
    <w:p>
      <w:pPr>
        <w:spacing w:after="120" w:before="80"/>
      </w:pPr>
      <w:r>
        <w:rPr>
          <w:rFonts w:ascii="Arial" w:cs="Arial" w:eastAsia="Arial" w:hAnsi="Arial"/>
          <w:color w:val="C4314B"/>
          <w:sz w:val="22"/>
          <w:szCs w:val="22"/>
        </w:rPr>
        <w:t xml:space="preserve">These broken links sit on the strongest O&amp;G page. They directly undermine credibility at the moment the buyer is most engaged.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Case Study Gap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Only 2 O&amp;G case studies exist. Water has 4+ visible on page 1. For a maintenance engineer evaluating a six-figure monitoring commitment, two anonymous cases won’t build confidence. The $2M impact claim on the offshore pump card is vague — it doesn’t specify what was prevented or over what period.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Form Design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contact forms don’t branch based on industry selection. An O&amp;G engineer filling out a demo request sees the same fields as a water utility. No questions about ATEX classification, offshore vs. onshore, asset types, or current monitoring stack. The form doesn’t state expected response time or route to technical staff.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Recommendations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Ordered by impact and feasibility. Items 1–4 are achievable within the current site structure. Items 5–10 require new content or integrations.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1500"/>
        <w:gridCol w:w="1500"/>
        <w:gridCol w:w="1100"/>
      </w:tblGrid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1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1F1F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Fix or remove broken SPE paper and co-dev links on Energy Production page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O&amp;G language to homepage hero or industry tile (ATEX, offshore, ESP)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Expand case study cards with quantified impact and anonymised operator names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24/7 SLA and escalation policy to Platform page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O&amp;G context to ESA Technology page (VFD handling, subsea, ATEX)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3–4 more O&amp;G case studies (upstream, downstream, offshore)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O&amp;G-specific contact form branch with ATEX, asset type, offshore flags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SCADA integration roadmap to Platform page (PI, AVEVA, Aspen, Maximo)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‘Offshore Deployment Guide’ resource (ATEX, HSE, logistics, timeline)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A6A8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interactive ROI calculator with O&amp;G presets (ESP workover, compressor MTTR)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F5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314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A6A80"/>
                <w:sz w:val="20"/>
                <w:szCs w:val="20"/>
              </w:rPr>
              <w:t xml:space="preserve">P3</w:t>
            </w:r>
          </w:p>
        </w:tc>
      </w:tr>
    </w:tbl>
    <w:p>
      <w:pPr>
        <w:spacing w:before="400"/>
      </w:pPr>
    </w:p>
    <w:p>
      <w:pPr>
        <w:pBdr>
          <w:top w:val="single" w:color="FF5429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site has the right structure. The Energy Production page proves the team understands O&amp;G challenges. The gap is consistency — that expertise needs to surface on every page in the journey, not just one. Fix the broken links, expand the proof portfolio, and add O&amp;G signals to the generic pages. The conversion path will follow.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80"/>
        <w:sz w:val="18"/>
        <w:szCs w:val="18"/>
      </w:rPr>
      <w:t xml:space="preserve">Page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A6A80"/>
        <w:sz w:val="18"/>
        <w:szCs w:val="18"/>
      </w:rPr>
      <w:t xml:space="preserve">Buyer Journey Audit: O&amp;G Maintenance Engineers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1F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1F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1F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2026-03-03T12:19:53.111Z</dcterms:created>
  <dcterms:modified xsi:type="dcterms:W3CDTF">2026-03-03T12:19:53.111Z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