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</w:pPr>
      <w:r>
        <w:rPr>
          <w:rFonts w:ascii="Arial" w:cs="Arial" w:eastAsia="Arial" w:hAnsi="Arial"/>
          <w:b/>
          <w:bCs/>
          <w:color w:val="1B1B3A"/>
          <w:sz w:val="48"/>
          <w:szCs w:val="48"/>
        </w:rPr>
        <w:t xml:space="preserve">Migration Execution Plan</w:t>
      </w:r>
    </w:p>
    <w:p>
      <w:pPr>
        <w:spacing w:after="120"/>
      </w:pPr>
      <w:r>
        <w:rPr>
          <w:rFonts w:ascii="Arial" w:cs="Arial" w:eastAsia="Arial" w:hAnsi="Arial"/>
          <w:color w:val="6B6B7F"/>
          <w:sz w:val="28"/>
          <w:szCs w:val="28"/>
        </w:rPr>
        <w:t xml:space="preserve">WordPress → Bricks: Step-by-Step Process</w:t>
      </w:r>
    </w:p>
    <w:p>
      <w:pPr>
        <w:pBdr>
          <w:bottom w:val="single" w:color="FF5429" w:sz="6" w:space="1"/>
        </w:pBdr>
        <w:spacing w:after="600"/>
      </w:pPr>
      <w:r>
        <w:rPr>
          <w:rFonts w:ascii="Arial" w:cs="Arial" w:eastAsia="Arial" w:hAnsi="Arial"/>
          <w:color w:val="6B6B7F"/>
          <w:sz w:val="22"/>
          <w:szCs w:val="22"/>
        </w:rPr>
        <w:t xml:space="preserve">Samotics  |  February 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scope: </w:t>
      </w:r>
      <w:r>
        <w:rPr>
          <w:rFonts w:ascii="Arial" w:cs="Arial" w:eastAsia="Arial" w:hAnsi="Arial"/>
          <w:sz w:val="20"/>
          <w:szCs w:val="20"/>
        </w:rPr>
        <w:t xml:space="preserve">~65 items to actively migrate or build. ~80 items to redirect. The rest are already covered or can be dropped.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timeline: </w:t>
      </w:r>
      <w:r>
        <w:rPr>
          <w:rFonts w:ascii="Arial" w:cs="Arial" w:eastAsia="Arial" w:hAnsi="Arial"/>
          <w:sz w:val="20"/>
          <w:szCs w:val="20"/>
        </w:rPr>
        <w:t xml:space="preserve">6–8 weeks across 5 phases, assuming one person executing with AI assistance.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Dependency: </w:t>
      </w:r>
      <w:r>
        <w:rPr>
          <w:rFonts w:ascii="Arial" w:cs="Arial" w:eastAsia="Arial" w:hAnsi="Arial"/>
          <w:sz w:val="20"/>
          <w:szCs w:val="20"/>
        </w:rPr>
        <w:t xml:space="preserve">Each phase builds on the previous. Blog infrastructure (Phase 3) requires Phase 2 templates. Industry pages (Phase 2) reference case studies from Phase 1.</w:t>
      </w:r>
    </w:p>
    <w:p>
      <w:r>
        <w:br w:type="page"/>
      </w:r>
    </w:p>
    <w:p>
      <w:pPr>
        <w:pStyle w:val="Heading1"/>
      </w:pPr>
      <w:r>
        <w:t xml:space="preserve">Execution Overview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Five phases, ordered by business impact and dependency. Each phase has concrete steps, owners, and deliverables.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9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B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B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B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1B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5429"/>
                <w:sz w:val="18"/>
                <w:szCs w:val="18"/>
              </w:rPr>
              <w:t xml:space="preserve">Phase 0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Pre-Migration Setup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days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Redirects, analytics baseline, blog infrastructure decisions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5429"/>
                <w:sz w:val="18"/>
                <w:szCs w:val="18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Flagship Case Studies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week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6 customer stories rewritten into new template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5429"/>
                <w:sz w:val="18"/>
                <w:szCs w:val="18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Industry Pages + Remaining Case Studies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weeks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Wastewater, cement, airports pages. 7 more case studies.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5429"/>
                <w:sz w:val="18"/>
                <w:szCs w:val="18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 &amp; Knowledge Base Migration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 SEO blog posts migrated with updated links and templates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5429"/>
                <w:sz w:val="18"/>
                <w:szCs w:val="18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News, Legal, FAQs, Cleanup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week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Partnership news, legal pages, FAQ consolidation, final redirects</w:t>
            </w:r>
          </w:p>
        </w:tc>
      </w:tr>
    </w:tbl>
    <w:p>
      <w:r>
        <w:br w:type="page"/>
      </w:r>
    </w:p>
    <w:p>
      <w:pPr>
        <w:pBdr>
          <w:bottom w:val="single" w:color="FF5429" w:sz="6" w:space="4"/>
        </w:pBdr>
        <w:spacing w:before="360" w:after="60"/>
      </w:pPr>
      <w:r>
        <w:rPr>
          <w:rFonts w:ascii="Arial" w:cs="Arial" w:eastAsia="Arial" w:hAnsi="Arial"/>
          <w:b/>
          <w:bCs/>
          <w:color w:val="FF5429"/>
          <w:sz w:val="20"/>
          <w:szCs w:val="20"/>
        </w:rPr>
        <w:t xml:space="preserve">Phase 0   </w:t>
      </w:r>
      <w:r>
        <w:rPr>
          <w:rFonts w:ascii="Arial" w:cs="Arial" w:eastAsia="Arial" w:hAnsi="Arial"/>
          <w:b/>
          <w:bCs/>
          <w:color w:val="1B1B3A"/>
          <w:sz w:val="28"/>
          <w:szCs w:val="28"/>
        </w:rPr>
        <w:t xml:space="preserve">Pre-Migration Setup</w:t>
      </w:r>
    </w:p>
    <w:p>
      <w:pPr>
        <w:spacing w:after="160"/>
      </w:pPr>
      <w:r>
        <w:rPr>
          <w:rFonts w:ascii="Arial" w:cs="Arial" w:eastAsia="Arial" w:hAnsi="Arial"/>
          <w:color w:val="6B6B7F"/>
          <w:sz w:val="20"/>
          <w:szCs w:val="20"/>
        </w:rPr>
        <w:t xml:space="preserve">Duration: 2–3 days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Get the foundations right before moving any content. This phase prevents broken links, lost SEO equity, and analytics blind spots.</w:t>
      </w:r>
    </w:p>
    <w:p>
      <w:pPr>
        <w:spacing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0.1: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Export current analytics baseline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Pull Google Analytics data for the old site: top 50 pages by organic traffic, top 20 by conversions.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 Search Console data: top queries, click-through rates, indexed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Flag any old URLs with significant backlink profiles (use Ahrefs, Semrush, or similar).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Document the top 10 referral sources driving traffic to old content.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Analytics baseline spreadsheet · Backlink report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0.2: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Set up redirect map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a CSV mapping every old URL to its new-site equivalent or a sensible fallback.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Categories: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COVERED pages → map to exact new page (e.g. /products/sam4 → /sam4)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ARCHIVE pages → redirect to closest relevant new page (e.g. /lp/condition-monitoring-solution → /)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DROP pages → redirect to homepage or relevant parent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MERGE pages → redirect to the new page they merged into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 as WordPress redirects (Redirection plugin or server-level 301s) so they work the moment the old site is replaced.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every redirect before go-live. Broken redirects are the single biggest migration risk.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Redirect CSV (old URL → new URL) · Redirect plugin configured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0.3: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Decide blog infrastructure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Marketing +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new site needs a blog. Decide: Bricks template with WordPress native posts, or a separate blog subdomain?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Recommendation: Use WordPress native posts with a Bricks archive template. Keeps everything in one CMS.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the blog archive template in Bricks (list view, category filters, pagination).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the blog single-post template in Bricks (consistent header/footer, CTA blocks, related posts).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up categories: Blog, Case Studies, News, Knowledge Base, Webinars, Events.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Blog archive template · Blog single-post template · Category structure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0.4: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Build case study template in Bricks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detection-story template already exists. Build a longer-form case study template for flagship stories.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Template structure: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Hero: customer logo + headline result + industry tag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Context: 1–2 paragraphs on customer and their challenge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Solution: what SAM4 deployment looked like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Results: 3–4 metric cards (cost saved, downtime prevented, ROI, detection count)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Quote: customer stakeholder quote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Related: link to other detection stories from same customer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CTA: demo request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Case study page template (HTML + CSS)</w:t>
      </w:r>
    </w:p>
    <w:p>
      <w:r>
        <w:br w:type="page"/>
      </w:r>
    </w:p>
    <w:p>
      <w:pPr>
        <w:pBdr>
          <w:bottom w:val="single" w:color="FF5429" w:sz="6" w:space="4"/>
        </w:pBdr>
        <w:spacing w:before="360" w:after="60"/>
      </w:pPr>
      <w:r>
        <w:rPr>
          <w:rFonts w:ascii="Arial" w:cs="Arial" w:eastAsia="Arial" w:hAnsi="Arial"/>
          <w:b/>
          <w:bCs/>
          <w:color w:val="FF5429"/>
          <w:sz w:val="20"/>
          <w:szCs w:val="20"/>
        </w:rPr>
        <w:t xml:space="preserve">Phase 1   </w:t>
      </w:r>
      <w:r>
        <w:rPr>
          <w:rFonts w:ascii="Arial" w:cs="Arial" w:eastAsia="Arial" w:hAnsi="Arial"/>
          <w:b/>
          <w:bCs/>
          <w:color w:val="1B1B3A"/>
          <w:sz w:val="28"/>
          <w:szCs w:val="28"/>
        </w:rPr>
        <w:t xml:space="preserve">Flagship Case Studies</w:t>
      </w:r>
    </w:p>
    <w:p>
      <w:pPr>
        <w:spacing w:after="160"/>
      </w:pPr>
      <w:r>
        <w:rPr>
          <w:rFonts w:ascii="Arial" w:cs="Arial" w:eastAsia="Arial" w:hAnsi="Arial"/>
          <w:color w:val="6B6B7F"/>
          <w:sz w:val="20"/>
          <w:szCs w:val="20"/>
        </w:rPr>
        <w:t xml:space="preserve">Duration: 1 week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Rewrite the six highest-value customer stories. These are the proof points that sales teams link to, prospects search for, and industry pages reference. Get these right first — everything else builds on them.</w:t>
      </w:r>
    </w:p>
    <w:p>
      <w:pPr>
        <w:spacing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1.1: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Yorkshire Water: £390K saved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 + Technical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Source: old site /case-studies/yorkshire-water-saved-390k (14K chars)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Rewrite into new case study template. Lead with £390K saving and pollution prevention.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Key content to extract: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600+ pump stations monitored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Specific fault types detected (bearing degradation, blockages, belt failures)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£390K in avoided costs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Pollution events prevented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Digital Transformation Award win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Cross-link to existing Yorkshire Water detection stories on new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sign-off from customer success team on any quoted figures.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Published case study page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1.2: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ArcelorMittal: 31 hours of downtime prevented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Source: old site /case-studies/arcelormittal-prevented-downtime (4.1K chars)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Lead with 27 faults detected ahead of time, 31 hours saved.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Steel vertical — link from metals-mining industry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Keep it tight. The original is already concise.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Published case study page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1.3: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Vitens: 7% operational efficiency increase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Source: old site /case-studies/vitens-increased-efficiency (12K chars)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is the strongest energy efficiency case study. Lead with 7% 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Bridges health and energy monitoring — cross-link from water page and energy-efficiency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Extract specific pump curve insights and efficiency metrics.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Published case study page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1.4: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Schiphol Airport: improved baggage handling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Source: old site /case-studies/schiphol-baggage-handling (3K chars)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Airport vertical proof point. Reference alongside Stansted.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Short source material — may need to supplement with internal data.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Published case study page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1.5: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Nyrstar: 800% ROI in 11 months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Source: old site /case-studies/nyrstar-800-roi (2.3K chars)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strongest financial proof point. 800% ROI headline carries weight.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Metals/mining vertical — link from metals-mining industry page.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Published case study page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1.6: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Southern Water: 3 failures caught, £748K saved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Source: old site /case-studies/southern-water-success (2.5K chars)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UK water vertical. Pairs with Yorkshire Water for UK water dominance 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if Southern Water approves updated version.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Published case study page</w:t>
      </w:r>
    </w:p>
    <w:p>
      <w:r>
        <w:br w:type="page"/>
      </w:r>
    </w:p>
    <w:p>
      <w:pPr>
        <w:pBdr>
          <w:bottom w:val="single" w:color="FF5429" w:sz="6" w:space="4"/>
        </w:pBdr>
        <w:spacing w:before="360" w:after="60"/>
      </w:pPr>
      <w:r>
        <w:rPr>
          <w:rFonts w:ascii="Arial" w:cs="Arial" w:eastAsia="Arial" w:hAnsi="Arial"/>
          <w:b/>
          <w:bCs/>
          <w:color w:val="FF5429"/>
          <w:sz w:val="20"/>
          <w:szCs w:val="20"/>
        </w:rPr>
        <w:t xml:space="preserve">Phase 2   </w:t>
      </w:r>
      <w:r>
        <w:rPr>
          <w:rFonts w:ascii="Arial" w:cs="Arial" w:eastAsia="Arial" w:hAnsi="Arial"/>
          <w:b/>
          <w:bCs/>
          <w:color w:val="1B1B3A"/>
          <w:sz w:val="28"/>
          <w:szCs w:val="28"/>
        </w:rPr>
        <w:t xml:space="preserve">Missing Industry Pages + Remaining Case Studies</w:t>
      </w:r>
    </w:p>
    <w:p>
      <w:pPr>
        <w:spacing w:after="160"/>
      </w:pPr>
      <w:r>
        <w:rPr>
          <w:rFonts w:ascii="Arial" w:cs="Arial" w:eastAsia="Arial" w:hAnsi="Arial"/>
          <w:color w:val="6B6B7F"/>
          <w:sz w:val="20"/>
          <w:szCs w:val="20"/>
        </w:rPr>
        <w:t xml:space="preserve">Duration: 1–2 weeks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Fill the gaps in industry coverage and migrate the second tier of case studies. After this phase, every active Samotics vertical has a dedicated page with supporting proof points.</w:t>
      </w:r>
    </w:p>
    <w:p>
      <w:pPr>
        <w:spacing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2.1: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Build wastewater industry page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 +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is Samotics' strongest vertical. It deserves a dedicated page separate from the clean water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Source: old site /industries/wastewater (129K chars — extract, don't copy)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Page structure (follow water.html pattern):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Hero: wastewater-specific value proposition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Challenges: aging infrastructure, CSO compliance, energy costs, AMP8 context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SAM4 helps: blockage detection, bearing failure, energy optimisation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 logos: Yorkshire Water, Southern Water, Anglian Water, Thames Water, United Utilities, NI Water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Featured case study: Yorkshire Water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Detection stories carousel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Extract specific asset types: sewage pumps, inlet screws, RAS pumps, aeration blowers.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wastewater.html + wastewater.css published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2.2: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Build cement industry page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 +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Source: old site /industries/cement (14K chars)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Decide: standalone cement page, or merge into metals-mining as a sub-section?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standalone: follow the chemicals.html pattern. If merged: add cement section to metals-mining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Key assets in cement: kiln drive motors, raw mill drives, clinker cooler fans, conveyor drives.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Cement page published (or merged section)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Build airports industry page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 +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Source: old site /industries/airports (12K chars)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Two customer proof points: Schiphol and London Stansted.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Key assets: baggage handling conveyor motors, HVAC systems, escalator drives.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Niche but growing vertical. Build as a lightweight page.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airports.html + airports.css published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2.4: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Decide on wind energy page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old site has a small wind energy page (4.4K chars).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Decision required: is wind energy still an active vertical for Samotics?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yes: build a lightweight page. If no: redirect to homepage and remove from navigation.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Decision documented. Page built or redirect configured.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2.5: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Migrate remaining case studies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7 case studies to rewrite into new template: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Stansted: improved baggage handling (2.8K chars) — airports vertical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Sabesp: submersible pump efficiency (2.9K chars) — international water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Belt-driven equipment prevention (7.1K chars) — cross-industry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Borehole pump prevention (7K chars) — water vertical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Inlet screw failure prevention (5.3K chars) — wastewater vertical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9x faults in steel manufacturing (10.5K chars) — compilation, may work better as a blog post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Broken sine wave filter in ESPs (3.5K chars) — oil &amp; gas vertical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 the case study template from Phase 0. Keep each rewrite under 1,000 words.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Link each case study from its relevant industry page.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7 case study pages published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2.6: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Merge use-case pages into existing pages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old site has 3 standalone use-case pages (stop downtime, reduce energy, prevent pollution).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These shouldn't exist as standalone pages on the new site. The narrative is covered by the problem page and industry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Action: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Stop downtime (91K) → content already covered by problem.html. Set up 301 redirect.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Reduce energy (111K) → content covered by energy-efficiency.html. Extract any missing stats. Redirect.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Prevent pollution (73K) → pollution prevention is water-specific. Extract into water.html and new wastewater page. Redirect.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3 redirects configured. Any extracted content added to target pages.</w:t>
      </w:r>
    </w:p>
    <w:p>
      <w:r>
        <w:br w:type="page"/>
      </w:r>
    </w:p>
    <w:p>
      <w:pPr>
        <w:pBdr>
          <w:bottom w:val="single" w:color="FF5429" w:sz="6" w:space="4"/>
        </w:pBdr>
        <w:spacing w:before="360" w:after="60"/>
      </w:pPr>
      <w:r>
        <w:rPr>
          <w:rFonts w:ascii="Arial" w:cs="Arial" w:eastAsia="Arial" w:hAnsi="Arial"/>
          <w:b/>
          <w:bCs/>
          <w:color w:val="FF5429"/>
          <w:sz w:val="20"/>
          <w:szCs w:val="20"/>
        </w:rPr>
        <w:t xml:space="preserve">Phase 3   </w:t>
      </w:r>
      <w:r>
        <w:rPr>
          <w:rFonts w:ascii="Arial" w:cs="Arial" w:eastAsia="Arial" w:hAnsi="Arial"/>
          <w:b/>
          <w:bCs/>
          <w:color w:val="1B1B3A"/>
          <w:sz w:val="28"/>
          <w:szCs w:val="28"/>
        </w:rPr>
        <w:t xml:space="preserve">Blog &amp; Knowledge Base Migration</w:t>
      </w:r>
    </w:p>
    <w:p>
      <w:pPr>
        <w:spacing w:after="160"/>
      </w:pPr>
      <w:r>
        <w:rPr>
          <w:rFonts w:ascii="Arial" w:cs="Arial" w:eastAsia="Arial" w:hAnsi="Arial"/>
          <w:color w:val="6B6B7F"/>
          <w:sz w:val="20"/>
          <w:szCs w:val="20"/>
        </w:rPr>
        <w:t xml:space="preserve">Duration: 2 weeks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Move the SEO-valuable blog content. These posts drive organic traffic and educate prospects. Don't rewrite them from scratch — update links, strip Elementor, and fit them into the new blog template.</w:t>
      </w:r>
    </w:p>
    <w:p>
      <w:pPr>
        <w:spacing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3.1: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Migrate Tier 1 blog posts (highest traffic)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5 posts with the highest likely organic traffic: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is condition monitoring? (2025 guide) — 18.6K chars. Top-of-funnel keyword.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Guide to 5 major CM technologies — 20.6K chars. Comprehensive comparison.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Pump failure: causes, modes, prevention — 18.4K chars. Core SEO topic.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ESA explained (the right way) — 25.9K chars. Overlaps with ESA page; keep as blog, cross-link.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MCSA: what and how — 8.7K chars. Cross-link with ESA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 each: strip Elementor markup, preserve the core text, update all internal links to new site URLs.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CTA blocks (demo request) at natural break points. Add 'Related reading' section at bottom.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Preserve original publish dates for SEO. Update meta descriptions.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URL slugs match old site for SEO continuity. Set up 301 redirects where slugs differ.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5 blog posts published in WordPress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3.2: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Migrate Tier 2 blog posts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~15 posts covering maintenance strategy, pump monitoring, and water industry: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CBM: 5-step guide (7.5K)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CBM: pilot to scaling — 4-part series (27K total)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 proven maintenance strategies (13.7K)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Quick-start guide to PdM 4.0 (15K)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Remote CM for submersible pumps (16K)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 ways to cut pump energy costs (11.7K)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Storm overflow series — 3 parts (31K total)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Smarter sewers — 2 parts (19.4K total)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Path to Net Zero in water industry (19K)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Airlock in water pumps (8.1K)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Sewage pump overflow causes (7.5K)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Expert interview: DJW on CBM in water (11.2K)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 tips for electric motor reliability (6.4K)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Business case for PdM in manufacturing (6.9K)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Same process as Tier 1: strip markup, update links, add CTAs.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These can be migrated faster — they need less editorial review.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~15 blog posts published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Merge knowledge base articles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Several KB articles overlap with new-site pages. Handle overlaps: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Merge decisions: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SAM4 detects pump faults (19K) → overlaps with how-it-works. Keep as blog, cross-link.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SAM4 pump blockage detection explained (7.5K) → merge key content into what-we-monitor.html. Redirect.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SAM4 real-time pump curve (11.4K) → merge into SAM4 platform page. Redirect.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SAM4 belt conveyor failures (4.9K) → merge into what-we-monitor.html. Redirect.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CM: 5 technologies to prevent failures (11.8K) → merge with the 5-technologies guide blog post.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Archive: SAM4 PdM features, ERGO projects, Achieving resilience — these are dated product marketing.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Merged content updated on target pages. Redirects configured.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3.4: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Archive thin/dated blog content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These posts are too thin or dated to migrate. Set up redirects only: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Vibration analysis for CM (2.5K) → redirect to ESA vs Vibration page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Oil analysis for CM (3K) → redirect to 5-technologies guide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Thermal analysis in CM (2.7K) → redirect to 5-technologies guide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Acoustic emission analysis (3.5K) → redirect to 5-technologies guide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CM in wind turbines (4.5K) → redirect to homepage or archive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Humans and machines: better together (3K) → redirect to about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Don't delete the old posts until redirects are verified working.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Redirects configured for ~6 archived posts</w:t>
      </w:r>
    </w:p>
    <w:p>
      <w:r>
        <w:br w:type="page"/>
      </w:r>
    </w:p>
    <w:p>
      <w:pPr>
        <w:pBdr>
          <w:bottom w:val="single" w:color="FF5429" w:sz="6" w:space="4"/>
        </w:pBdr>
        <w:spacing w:before="360" w:after="60"/>
      </w:pPr>
      <w:r>
        <w:rPr>
          <w:rFonts w:ascii="Arial" w:cs="Arial" w:eastAsia="Arial" w:hAnsi="Arial"/>
          <w:b/>
          <w:bCs/>
          <w:color w:val="FF5429"/>
          <w:sz w:val="20"/>
          <w:szCs w:val="20"/>
        </w:rPr>
        <w:t xml:space="preserve">Phase 4   </w:t>
      </w:r>
      <w:r>
        <w:rPr>
          <w:rFonts w:ascii="Arial" w:cs="Arial" w:eastAsia="Arial" w:hAnsi="Arial"/>
          <w:b/>
          <w:bCs/>
          <w:color w:val="1B1B3A"/>
          <w:sz w:val="28"/>
          <w:szCs w:val="28"/>
        </w:rPr>
        <w:t xml:space="preserve">News, Legal, FAQs, Cleanup</w:t>
      </w:r>
    </w:p>
    <w:p>
      <w:pPr>
        <w:spacing w:after="160"/>
      </w:pPr>
      <w:r>
        <w:rPr>
          <w:rFonts w:ascii="Arial" w:cs="Arial" w:eastAsia="Arial" w:hAnsi="Arial"/>
          <w:color w:val="6B6B7F"/>
          <w:sz w:val="20"/>
          <w:szCs w:val="20"/>
        </w:rPr>
        <w:t xml:space="preserve">Duration: 1 week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Final sweep: migrate partnership announcements that carry backlink value, move legal pages verbatim, consolidate FAQs, and handle remaining items.</w:t>
      </w:r>
    </w:p>
    <w:p>
      <w:pPr>
        <w:spacing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4.1: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Migrate high-value news/PR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~15 news posts worth migrating (partnership and deal announcements):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Yorkshire Water £10M contract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ABB launches drives with ESA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Siemens enhances NXpower with Samotics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Southern Water £7M deal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Thames Water selects Samotics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Anglian Water 5-year deal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South East Water selects Samotics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United Utilities trials Samotics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Northern Ireland Water expands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thyssenkrupp selects Samotics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EIB €20M financing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Yorkshire Water + Samotics win award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Schneider Electric partnership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Eviden joint APM solution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London Stansted selects Samotics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Light-touch migration: strip Elementor, fit into blog template, categorise as 'News'.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These carry backlink equity. Preserve URLs where possible.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~15 news posts published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4.2: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Archive remaining news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~15 news posts are dated (product launches superseded, old funding rounds, rebrands).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Don't migrate these. Set up 301 redirects to the news archive page or homepage.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Preserve in WordPress as drafts for historical reference.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Redirects configured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Migrate legal pages verbatim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Legal +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Privacy and cookie policy → copy text verbatim. Do not edit. Apply new site styling.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Terms of usage → copy text verbatim. Do not edit. Apply new site styling.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Verify: company name, registered address, chamber of commerce number, VAT number all current.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Ensure cookie consent mechanism works with new site banner.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both pages to footer navigation.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privacy-policy.html and terms.html published · Footer updated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4.4: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Consolidate FAQs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old site has 54 individual FAQ entries. Most overlap with content already on new-site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Action: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 all 54 FAQs against content on SAM4, how-it-works, how-it-installs, ESA, and security pages.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Any FAQ already answered on a page → no migration needed.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Remaining FAQs → group into sections: Technology, Installation, Dashboard, Security, Commercial.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a /faq page on the new site with collapsible sections.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Alternatively, embed FAQ sections at the bottom of relevant pages (better for SEO).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FAQ audit spreadsheet · FAQ page or embedded sections published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4.5: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Handle events and webinars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5 upcoming 2026 events: Global Water Summit, Maintec, SPE Europe, Utility Week Live, World Water-Tech.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Migrate these to the blog or a dedicated /events section if events are a regular content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6 webinar pages: archive unless recordings are still generating leads. Redirect to blog.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Event pages published or redirected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4.6: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Pricing page decision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Marketing + Sales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old site has a pricing page (5.5K chars). Needs a decision: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Option A: Rebuild with current pricing model. Make it a conversion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Option B: Remove public pricing and redirect to contact/demo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is a business decision, not a content decision. Involve sales.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Pricing page published or redirect configured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4.7: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Merge feature pages and product items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 +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Old site has several feature-level pages and product items that need folding into the new site: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Sewage pump blockage detection (140K) → extract key content into water/wastewater pages + what-we-monitor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Electric submersible pumps (8.4K) → fold into oil-gas page + what-we-monitor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AMP8 (10K) → fold into water page if AMP8 still relevant to 2025–2030 cycle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 product entries (pump blockage, predictive alerts, asset reliability, asset map, Archimedes, reactor coolant) → ensure all covered by SAM4 page and what-we-monitor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up redirects from old URLs to the pages that absorbed the content.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Content merged. Redirects configured.</w:t>
      </w:r>
    </w:p>
    <w:p>
      <w:r>
        <w:br w:type="page"/>
      </w:r>
    </w:p>
    <w:p>
      <w:pPr>
        <w:pBdr>
          <w:bottom w:val="single" w:color="FF5429" w:sz="6" w:space="4"/>
        </w:pBdr>
        <w:spacing w:before="360" w:after="60"/>
      </w:pPr>
      <w:r>
        <w:rPr>
          <w:rFonts w:ascii="Arial" w:cs="Arial" w:eastAsia="Arial" w:hAnsi="Arial"/>
          <w:b/>
          <w:bCs/>
          <w:color w:val="FF5429"/>
          <w:sz w:val="20"/>
          <w:szCs w:val="20"/>
        </w:rPr>
        <w:t xml:space="preserve">Phase 5   </w:t>
      </w:r>
      <w:r>
        <w:rPr>
          <w:rFonts w:ascii="Arial" w:cs="Arial" w:eastAsia="Arial" w:hAnsi="Arial"/>
          <w:b/>
          <w:bCs/>
          <w:color w:val="1B1B3A"/>
          <w:sz w:val="28"/>
          <w:szCs w:val="28"/>
        </w:rPr>
        <w:t xml:space="preserve">Post-Migration Verification</w:t>
      </w:r>
    </w:p>
    <w:p>
      <w:pPr>
        <w:spacing w:after="160"/>
      </w:pPr>
      <w:r>
        <w:rPr>
          <w:rFonts w:ascii="Arial" w:cs="Arial" w:eastAsia="Arial" w:hAnsi="Arial"/>
          <w:color w:val="6B6B7F"/>
          <w:sz w:val="20"/>
          <w:szCs w:val="20"/>
        </w:rPr>
        <w:t xml:space="preserve">Duration: 3–5 days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Don't skip this. Migration failures are invisible until a prospect hits a 404 or Google drops a page from the index.</w:t>
      </w:r>
    </w:p>
    <w:p>
      <w:pPr>
        <w:spacing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5.1: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 all redirects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Crawl the full redirect map. Verify every old URL returns a 301 to the correct new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for redirect chains (old URL → intermediate URL → final URL). Eliminate chains.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for redirect loops. These will crash the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 Screaming Frog or a similar crawler to automate this.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Redirect audit report — 0 broken, 0 chains, 0 loops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5.2: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Submit updated sitemap to Google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Generate a new XML sitemap from the new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Submit to Google Search Console. Request re-indexing of key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Monitor 'Coverage' report in Search Console for the next 2 weeks. Watch for 'Excluded' URLs.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Sitemap submitted. Monitoring configured.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5.3: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Compare traffic after 2 weeks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Compare organic traffic against the analytics baseline from Phase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Check: are the top 50 organic pages still receiving traffic?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Check: have any high-traffic old URLs dropped out of the index?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traffic drops on specific pages, investigate: redirect issue, content issue, or index issue?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2-week traffic comparison report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5.4: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Fix 'no downtime' claims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Flagged in prior sessions: incorrect 'no downtime' claims exist on several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Pages to fix: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how-it-works.html — review and correct any absolute claims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how-it-installs.html — hero + installation item claim no downtime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header.html — navigation dropdown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case-study.html template — check template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Replace with accurate language: 'installs without process interruption' or similar.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All 'no downtime' claims corrected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5.5: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Update internal links across all new pages</w:t>
      </w:r>
      <w:r>
        <w:rPr>
          <w:rFonts w:ascii="Arial" w:cs="Arial" w:eastAsia="Arial" w:hAnsi="Arial"/>
          <w:color w:val="6B6B7F"/>
          <w:sz w:val="20"/>
          <w:szCs w:val="20"/>
        </w:rPr>
        <w:t xml:space="preserve">  →  Owner: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With all content now migrated, do a final sweep of internal links across every new-site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Check: do industry pages link to their case studies? Do case studies link back to industry pages?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Check: do blog posts link to new-site pages (not old URLs)?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Check: does the footer include legal pages, FAQ, blog?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Check: does the header navigation reflect the full site structure?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Deliverables: </w:t>
      </w:r>
      <w:r>
        <w:rPr>
          <w:rFonts w:ascii="Arial" w:cs="Arial" w:eastAsia="Arial" w:hAnsi="Arial"/>
          <w:sz w:val="20"/>
          <w:szCs w:val="20"/>
        </w:rPr>
        <w:t xml:space="preserve">Internal link audit — all links verified</w:t>
      </w:r>
    </w:p>
    <w:p>
      <w:r>
        <w:br w:type="page"/>
      </w:r>
    </w:p>
    <w:p>
      <w:pPr>
        <w:pStyle w:val="Heading1"/>
      </w:pPr>
      <w:r>
        <w:t xml:space="preserve">Appendix: What Not to Migrate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clarity, here is everything from the old site that should not be migrated as a page. These items get a redirect or nothing.</w:t>
      </w:r>
    </w:p>
    <w:p>
      <w:pPr>
        <w:spacing w:after="8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Internal assets</w:t>
      </w:r>
    </w:p>
    <w:p>
      <w:pPr>
        <w:spacing w:after="120"/>
      </w:pPr>
      <w:r>
        <w:rPr>
          <w:rFonts w:ascii="Arial" w:cs="Arial" w:eastAsia="Arial" w:hAnsi="Arial"/>
          <w:color w:val="6B6B7F"/>
          <w:sz w:val="20"/>
          <w:szCs w:val="20"/>
        </w:rPr>
        <w:t xml:space="preserve">Messaging house canvas, benefits canvas, SAM4 feature levels canvas, messaging foundation — internal marketing documents, not public pages.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Staging/test pages</w:t>
      </w:r>
    </w:p>
    <w:p>
      <w:pPr>
        <w:spacing w:after="120"/>
      </w:pPr>
      <w:r>
        <w:rPr>
          <w:rFonts w:ascii="Arial" w:cs="Arial" w:eastAsia="Arial" w:hAnsi="Arial"/>
          <w:color w:val="6B6B7F"/>
          <w:sz w:val="20"/>
          <w:szCs w:val="20"/>
        </w:rPr>
        <w:t xml:space="preserve">New use case page 2025, ABB X Demo, Accenture X Demo — draft or empty pages.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Superseded product news</w:t>
      </w:r>
    </w:p>
    <w:p>
      <w:pPr>
        <w:spacing w:after="120"/>
      </w:pPr>
      <w:r>
        <w:rPr>
          <w:rFonts w:ascii="Arial" w:cs="Arial" w:eastAsia="Arial" w:hAnsi="Arial"/>
          <w:color w:val="6B6B7F"/>
          <w:sz w:val="20"/>
          <w:szCs w:val="20"/>
        </w:rPr>
        <w:t xml:space="preserve">SAM4 2.0 launch, energy analytics launch, MV support, edge analytics, pump curve feature, Archimedes screw, asset map, new incident page — all product updates that are now baseline features. No ongoing value.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Dated corporate news</w:t>
      </w:r>
    </w:p>
    <w:p>
      <w:pPr>
        <w:spacing w:after="120"/>
      </w:pPr>
      <w:r>
        <w:rPr>
          <w:rFonts w:ascii="Arial" w:cs="Arial" w:eastAsia="Arial" w:hAnsi="Arial"/>
          <w:color w:val="6B6B7F"/>
          <w:sz w:val="20"/>
          <w:szCs w:val="20"/>
        </w:rPr>
        <w:t xml:space="preserve">Series A announcement, rebrand, CEO message, Jeroen van der Veer advisory appointment — historical items with no current conversion value.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Thin technology posts</w:t>
      </w:r>
    </w:p>
    <w:p>
      <w:pPr>
        <w:spacing w:after="120"/>
      </w:pPr>
      <w:r>
        <w:rPr>
          <w:rFonts w:ascii="Arial" w:cs="Arial" w:eastAsia="Arial" w:hAnsi="Arial"/>
          <w:color w:val="6B6B7F"/>
          <w:sz w:val="20"/>
          <w:szCs w:val="20"/>
        </w:rPr>
        <w:t xml:space="preserve">Vibration analysis (2.5K), oil analysis (3K), thermal analysis (2.7K), acoustic emission (3.5K) — too thin to stand alone. Content covered by ESA vs Vibration page and the 5-technologies guide.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Campaign landing pages</w:t>
      </w:r>
    </w:p>
    <w:p>
      <w:pPr>
        <w:spacing w:after="120"/>
      </w:pPr>
      <w:r>
        <w:rPr>
          <w:rFonts w:ascii="Arial" w:cs="Arial" w:eastAsia="Arial" w:hAnsi="Arial"/>
          <w:color w:val="6B6B7F"/>
          <w:sz w:val="20"/>
          <w:szCs w:val="20"/>
        </w:rPr>
        <w:t xml:space="preserve">5 landing pages built for paid campaigns. Archive unless campaigns are still running.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Non-English webinars</w:t>
      </w:r>
    </w:p>
    <w:p>
      <w:pPr>
        <w:spacing w:after="120"/>
      </w:pPr>
      <w:r>
        <w:rPr>
          <w:rFonts w:ascii="Arial" w:cs="Arial" w:eastAsia="Arial" w:hAnsi="Arial"/>
          <w:color w:val="6B6B7F"/>
          <w:sz w:val="20"/>
          <w:szCs w:val="20"/>
        </w:rPr>
        <w:t xml:space="preserve">Italian, Portuguese, Spanish variants of the same webinar. Archive unless there's a regional marketing plan.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Tour pages</w:t>
      </w:r>
    </w:p>
    <w:p>
      <w:pPr>
        <w:spacing w:after="120"/>
      </w:pPr>
      <w:r>
        <w:rPr>
          <w:rFonts w:ascii="Arial" w:cs="Arial" w:eastAsia="Arial" w:hAnsi="Arial"/>
          <w:color w:val="6B6B7F"/>
          <w:sz w:val="20"/>
          <w:szCs w:val="20"/>
        </w:rPr>
        <w:t xml:space="preserve">Interactive product tour pages — likely use an external tool. Redirect to demo/contact.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Empty post-type entries</w:t>
      </w:r>
    </w:p>
    <w:p>
      <w:pPr>
        <w:spacing w:after="120"/>
      </w:pPr>
      <w:r>
        <w:rPr>
          <w:rFonts w:ascii="Arial" w:cs="Arial" w:eastAsia="Arial" w:hAnsi="Arial"/>
          <w:color w:val="6B6B7F"/>
          <w:sz w:val="20"/>
          <w:szCs w:val="20"/>
        </w:rPr>
        <w:t xml:space="preserve">4 use-case entries and 6 product entries with 0 chars of content. These are taxonomy items, not pages.</w:t>
      </w:r>
    </w:p>
    <w:sectPr>
      <w:headerReference w:type="default" r:id="rId6"/>
      <w:footerReference w:type="default" r:id="rId7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7F"/>
        <w:sz w:val="16"/>
        <w:szCs w:val="16"/>
      </w:rPr>
      <w:t xml:space="preserve">Page </w:t>
    </w:r>
    <w:r>
      <w:rPr>
        <w:rFonts w:ascii="Arial" w:cs="Arial" w:eastAsia="Arial" w:hAnsi="Arial"/>
        <w:color w:val="6B6B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B6B7F"/>
        <w:sz w:val="16"/>
        <w:szCs w:val="16"/>
      </w:rPr>
      <w:t xml:space="preserve">Samotics Migration Execution Plan</w:t>
    </w:r>
    <w:r>
      <w:rPr>
        <w:rFonts w:ascii="Arial" w:cs="Arial" w:eastAsia="Arial" w:hAnsi="Arial"/>
        <w:color w:val="6B6B7F"/>
        <w:sz w:val="16"/>
        <w:szCs w:val="16"/>
      </w:rPr>
      <w:t xml:space="preserve">	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1B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1B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2026-02-24T18:31:11.804Z</dcterms:created>
  <dcterms:modified xsi:type="dcterms:W3CDTF">2026-02-24T18:31:11.804Z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