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color w:val="6B7280"/>
          <w:sz w:val="18"/>
          <w:szCs w:val="18"/>
        </w:rPr>
        <w:t xml:space="preserve">PAGE BRIEF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alibri" w:cs="Calibri" w:eastAsia="Calibri" w:hAnsi="Calibri"/>
                <w:b/>
                <w:bCs/>
                <w:color w:val="1F1F33"/>
                <w:sz w:val="20"/>
                <w:szCs w:val="20"/>
              </w:rPr>
              <w:t xml:space="preserve">URL</w:t>
            </w:r>
          </w:p>
        </w:tc>
        <w:tc>
          <w:tcPr>
            <w:tcW w:type="dxa" w:w="6526"/>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alibri" w:cs="Calibri" w:eastAsia="Calibri" w:hAnsi="Calibri"/>
                <w:color w:val="2D2D3D"/>
                <w:sz w:val="20"/>
                <w:szCs w:val="20"/>
              </w:rPr>
              <w:t xml:space="preserve">https://samotics.com/industries/water/</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alibri" w:cs="Calibri" w:eastAsia="Calibri" w:hAnsi="Calibri"/>
                <w:b/>
                <w:bCs/>
                <w:color w:val="1F1F33"/>
                <w:sz w:val="20"/>
                <w:szCs w:val="20"/>
              </w:rPr>
              <w:t xml:space="preserve">Title tag</w:t>
            </w:r>
          </w:p>
        </w:tc>
        <w:tc>
          <w:tcPr>
            <w:tcW w:type="dxa" w:w="6526"/>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alibri" w:cs="Calibri" w:eastAsia="Calibri" w:hAnsi="Calibri"/>
                <w:color w:val="2D2D3D"/>
                <w:sz w:val="20"/>
                <w:szCs w:val="20"/>
              </w:rPr>
              <w:t xml:space="preserve">Water &amp; Wastewater Monitoring | Submersible Pump Health Without Site Visits | Samotics</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alibri" w:cs="Calibri" w:eastAsia="Calibri" w:hAnsi="Calibri"/>
                <w:b/>
                <w:bCs/>
                <w:color w:val="1F1F33"/>
                <w:sz w:val="20"/>
                <w:szCs w:val="20"/>
              </w:rPr>
              <w:t xml:space="preserve">Meta description</w:t>
            </w:r>
          </w:p>
        </w:tc>
        <w:tc>
          <w:tcPr>
            <w:tcW w:type="dxa" w:w="6526"/>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alibri" w:cs="Calibri" w:eastAsia="Calibri" w:hAnsi="Calibri"/>
                <w:color w:val="2D2D3D"/>
                <w:sz w:val="20"/>
                <w:szCs w:val="20"/>
              </w:rPr>
              <w:t xml:space="preserve">SAM4 monitors submersible pumps, booster pumps, and blowers from the motor control cabinet. No confined-space entry. No sensors in the wet well. Proven across 2,300+ findings in water.</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alibri" w:cs="Calibri" w:eastAsia="Calibri" w:hAnsi="Calibri"/>
                <w:b/>
                <w:bCs/>
                <w:color w:val="1F1F33"/>
                <w:sz w:val="20"/>
                <w:szCs w:val="20"/>
              </w:rPr>
              <w:t xml:space="preserve">Status</w:t>
            </w:r>
          </w:p>
        </w:tc>
        <w:tc>
          <w:tcPr>
            <w:tcW w:type="dxa" w:w="6526"/>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alibri" w:cs="Calibri" w:eastAsia="Calibri" w:hAnsi="Calibri"/>
                <w:color w:val="2D2D3D"/>
                <w:sz w:val="20"/>
                <w:szCs w:val="20"/>
              </w:rPr>
              <w:t xml:space="preserve">DRAFT — For review</w:t>
            </w:r>
          </w:p>
        </w:tc>
      </w:tr>
    </w:tbl>
    <w:p>
      <w:pPr>
        <w:pBdr>
          <w:bottom w:val="single" w:color="E5E7EB" w:sz="4" w:space="8"/>
        </w:pBdr>
        <w:spacing w:after="200" w:before="200"/>
      </w:pPr>
    </w:p>
    <w:p>
      <w:pPr>
        <w:pStyle w:val="Heading1"/>
        <w:spacing w:after="200" w:before="0"/>
      </w:pPr>
      <w:r>
        <w:rPr>
          <w:rFonts w:ascii="Calibri" w:cs="Calibri" w:eastAsia="Calibri" w:hAnsi="Calibri"/>
          <w:b/>
          <w:bCs/>
          <w:color w:val="1F1F33"/>
          <w:sz w:val="52"/>
          <w:szCs w:val="52"/>
        </w:rPr>
        <w:t xml:space="preserve">Your most critical pumps are the ones you can’t see</w:t>
      </w:r>
    </w:p>
    <w:p>
      <w:pPr>
        <w:spacing w:after="200"/>
      </w:pPr>
      <w:r>
        <w:rPr>
          <w:rFonts w:ascii="Calibri" w:cs="Calibri" w:eastAsia="Calibri" w:hAnsi="Calibri"/>
          <w:b w:val="false"/>
          <w:bCs w:val="false"/>
          <w:i w:val="false"/>
          <w:iCs w:val="false"/>
          <w:color w:val="2D2D3D"/>
          <w:sz w:val="22"/>
          <w:szCs w:val="22"/>
        </w:rPr>
        <w:t xml:space="preserve">Submersible pumps, borehole pumps, sewage pumps — your highest-risk assets sit where sensors can’t go. When they fail, you find out through a pollution event, a regulatory fine, or a flooded site.</w:t>
      </w:r>
    </w:p>
    <w:p>
      <w:pPr>
        <w:spacing w:after="200"/>
      </w:pPr>
      <w:r>
        <w:rPr>
          <w:rFonts w:ascii="Calibri" w:cs="Calibri" w:eastAsia="Calibri" w:hAnsi="Calibri"/>
          <w:b w:val="false"/>
          <w:bCs w:val="false"/>
          <w:i w:val="false"/>
          <w:iCs w:val="false"/>
          <w:color w:val="2D2D3D"/>
          <w:sz w:val="22"/>
          <w:szCs w:val="22"/>
        </w:rPr>
        <w:t xml:space="preserve">SAM4 monitors pump health from the motor control cabinet using Electrical Signature Analysis. No sensors in the wet well. No confined-space entry. Install in 20 minutes per asset.</w:t>
      </w:r>
    </w:p>
    <w:p>
      <w:pPr>
        <w:spacing w:after="300"/>
      </w:pPr>
      <w:r>
        <w:rPr>
          <w:rFonts w:ascii="Calibri" w:cs="Calibri" w:eastAsia="Calibri" w:hAnsi="Calibri"/>
          <w:color w:val="6B7280"/>
          <w:sz w:val="20"/>
          <w:szCs w:val="20"/>
        </w:rPr>
        <w:t xml:space="preserve">£20M+ documented benefits  •  5,000+ pumps monitored  •  Water &amp; wastewater</w:t>
      </w:r>
    </w:p>
    <w:p>
      <w:pPr>
        <w:spacing w:after="120"/>
      </w:pPr>
      <w:r>
        <w:rPr>
          <w:rFonts w:ascii="Calibri" w:cs="Calibri" w:eastAsia="Calibri" w:hAnsi="Calibri"/>
          <w:b/>
          <w:bCs/>
          <w:color w:val="FF5429"/>
          <w:sz w:val="22"/>
          <w:szCs w:val="22"/>
        </w:rPr>
        <w:t xml:space="preserve">[CTA] Request a Demo → /contact?intent=demo</w:t>
      </w:r>
    </w:p>
    <w:p>
      <w:pPr>
        <w:pBdr>
          <w:bottom w:val="single" w:color="E5E7EB" w:sz="4" w:space="8"/>
        </w:pBdr>
        <w:spacing w:after="200" w:before="200"/>
      </w:pPr>
    </w:p>
    <w:p>
      <w:pPr>
        <w:pStyle w:val="Heading2"/>
        <w:spacing w:after="200" w:before="360"/>
      </w:pPr>
      <w:r>
        <w:rPr>
          <w:rFonts w:ascii="Calibri" w:cs="Calibri" w:eastAsia="Calibri" w:hAnsi="Calibri"/>
          <w:b/>
          <w:bCs/>
          <w:color w:val="1F1F33"/>
          <w:sz w:val="36"/>
          <w:szCs w:val="36"/>
        </w:rPr>
        <w:t xml:space="preserve">Water assets fail silently — and expensively</w:t>
      </w:r>
    </w:p>
    <w:p>
      <w:pPr>
        <w:spacing w:after="200"/>
      </w:pPr>
      <w:r>
        <w:rPr>
          <w:rFonts w:ascii="Calibri" w:cs="Calibri" w:eastAsia="Calibri" w:hAnsi="Calibri"/>
          <w:b w:val="false"/>
          <w:bCs w:val="false"/>
          <w:i w:val="false"/>
          <w:iCs w:val="false"/>
          <w:color w:val="2D2D3D"/>
          <w:sz w:val="22"/>
          <w:szCs w:val="22"/>
        </w:rPr>
        <w:t xml:space="preserve">Water and wastewater utilities operate thousands of pump sets across distributed networks. Most run unmonitored between scheduled maintenance rounds. The consequences of an undetected fault range from service interruption to environmental prosecution.</w:t>
      </w:r>
    </w:p>
    <w:p>
      <w:pPr>
        <w:spacing w:after="200"/>
      </w:pPr>
      <w:r>
        <w:rPr>
          <w:rFonts w:ascii="Calibri" w:cs="Calibri" w:eastAsia="Calibri" w:hAnsi="Calibri"/>
          <w:b/>
          <w:bCs/>
          <w:color w:val="2D2D3D"/>
          <w:sz w:val="22"/>
          <w:szCs w:val="22"/>
        </w:rPr>
        <w:t xml:space="preserve">Sewage pump blockages</w:t>
      </w:r>
      <w:r>
        <w:rPr>
          <w:rFonts w:ascii="Calibri" w:cs="Calibri" w:eastAsia="Calibri" w:hAnsi="Calibri"/>
          <w:color w:val="2D2D3D"/>
          <w:sz w:val="22"/>
          <w:szCs w:val="22"/>
        </w:rPr>
        <w:t xml:space="preserve"> cause overflows and pollution incidents. By the time operators respond, the spill has already happened. SAM4 detects blockage presence, location, and severity in real time — before the overflow.</w:t>
      </w:r>
    </w:p>
    <w:p>
      <w:pPr>
        <w:spacing w:after="200"/>
      </w:pPr>
      <w:r>
        <w:rPr>
          <w:rFonts w:ascii="Calibri" w:cs="Calibri" w:eastAsia="Calibri" w:hAnsi="Calibri"/>
          <w:b/>
          <w:bCs/>
          <w:color w:val="2D2D3D"/>
          <w:sz w:val="22"/>
          <w:szCs w:val="22"/>
        </w:rPr>
        <w:t xml:space="preserve">Submerged asset access</w:t>
      </w:r>
      <w:r>
        <w:rPr>
          <w:rFonts w:ascii="Calibri" w:cs="Calibri" w:eastAsia="Calibri" w:hAnsi="Calibri"/>
          <w:color w:val="2D2D3D"/>
          <w:sz w:val="22"/>
          <w:szCs w:val="22"/>
        </w:rPr>
        <w:t xml:space="preserve"> makes routine inspection impractical. Pulling a borehole pump for inspection costs thousands and takes the asset offline for days. SAM4 reads the electrical signature from the MCC — no crane, no diver, no downtime.</w:t>
      </w:r>
    </w:p>
    <w:p>
      <w:pPr>
        <w:spacing w:after="200"/>
      </w:pPr>
      <w:r>
        <w:rPr>
          <w:rFonts w:ascii="Calibri" w:cs="Calibri" w:eastAsia="Calibri" w:hAnsi="Calibri"/>
          <w:b/>
          <w:bCs/>
          <w:color w:val="2D2D3D"/>
          <w:sz w:val="22"/>
          <w:szCs w:val="22"/>
        </w:rPr>
        <w:t xml:space="preserve">Ageing infrastructure</w:t>
      </w:r>
      <w:r>
        <w:rPr>
          <w:rFonts w:ascii="Calibri" w:cs="Calibri" w:eastAsia="Calibri" w:hAnsi="Calibri"/>
          <w:color w:val="2D2D3D"/>
          <w:sz w:val="22"/>
          <w:szCs w:val="22"/>
        </w:rPr>
        <w:t xml:space="preserve"> across treatment works and pumping stations means degrading rotors, worn seals, and failing bearings go unnoticed until they trigger environmental incidents and six-figure fines.</w:t>
      </w:r>
    </w:p>
    <w:p>
      <w:pPr>
        <w:spacing w:after="200"/>
      </w:pPr>
      <w:r>
        <w:rPr>
          <w:rFonts w:ascii="Calibri" w:cs="Calibri" w:eastAsia="Calibri" w:hAnsi="Calibri"/>
          <w:b/>
          <w:bCs/>
          <w:color w:val="2D2D3D"/>
          <w:sz w:val="22"/>
          <w:szCs w:val="22"/>
        </w:rPr>
        <w:t xml:space="preserve">Regulatory pressure</w:t>
      </w:r>
      <w:r>
        <w:rPr>
          <w:rFonts w:ascii="Calibri" w:cs="Calibri" w:eastAsia="Calibri" w:hAnsi="Calibri"/>
          <w:color w:val="2D2D3D"/>
          <w:sz w:val="22"/>
          <w:szCs w:val="22"/>
        </w:rPr>
        <w:t xml:space="preserve"> from bodies like Ofwat ties performance commitments to pollution prevention and operational efficiency. Unplanned failures create compliance exposure that reactive maintenance cannot manage.</w:t>
      </w:r>
    </w:p>
    <w:p>
      <w:pPr>
        <w:pBdr>
          <w:bottom w:val="single" w:color="E5E7EB" w:sz="4" w:space="8"/>
        </w:pBdr>
        <w:spacing w:after="200" w:before="200"/>
      </w:pPr>
    </w:p>
    <w:p>
      <w:pPr>
        <w:pStyle w:val="Heading2"/>
        <w:spacing w:after="200" w:before="360"/>
      </w:pPr>
      <w:r>
        <w:rPr>
          <w:rFonts w:ascii="Calibri" w:cs="Calibri" w:eastAsia="Calibri" w:hAnsi="Calibri"/>
          <w:b/>
          <w:bCs/>
          <w:color w:val="1F1F33"/>
          <w:sz w:val="36"/>
          <w:szCs w:val="36"/>
        </w:rPr>
        <w:t xml:space="preserve">What we monitor in water and wastewater</w:t>
      </w:r>
    </w:p>
    <w:p>
      <w:pPr>
        <w:spacing w:after="200"/>
      </w:pPr>
      <w:r>
        <w:rPr>
          <w:rFonts w:ascii="Calibri" w:cs="Calibri" w:eastAsia="Calibri" w:hAnsi="Calibri"/>
          <w:b w:val="false"/>
          <w:bCs w:val="false"/>
          <w:i w:val="false"/>
          <w:iCs w:val="false"/>
          <w:color w:val="2D2D3D"/>
          <w:sz w:val="22"/>
          <w:szCs w:val="22"/>
        </w:rPr>
        <w:t xml:space="preserve">SAM4 monitors any AC motor-driven rotating equipment from the motor control cabinet. In water and wastewater, the most common assets include:</w:t>
      </w:r>
    </w:p>
    <w:p>
      <w:pPr>
        <w:spacing w:after="200"/>
      </w:pPr>
      <w:r>
        <w:rPr>
          <w:rFonts w:ascii="Calibri" w:cs="Calibri" w:eastAsia="Calibri" w:hAnsi="Calibri"/>
          <w:b/>
          <w:bCs/>
          <w:color w:val="2D2D3D"/>
          <w:sz w:val="22"/>
          <w:szCs w:val="22"/>
        </w:rPr>
        <w:t xml:space="preserve">Pumps —</w:t>
      </w:r>
      <w:r>
        <w:rPr>
          <w:rFonts w:ascii="Calibri" w:cs="Calibri" w:eastAsia="Calibri" w:hAnsi="Calibri"/>
          <w:color w:val="2D2D3D"/>
          <w:sz w:val="22"/>
          <w:szCs w:val="22"/>
        </w:rPr>
        <w:t xml:space="preserve"> Submersible pumps, borehole pumps, booster pumps, sewage pumps, and process pumps. SAM4 detects blockages, cavitation, bearing degradation, seal wear, and efficiency loss.</w:t>
      </w:r>
    </w:p>
    <w:p>
      <w:pPr>
        <w:spacing w:after="240"/>
      </w:pPr>
      <w:r>
        <w:rPr>
          <w:rFonts w:ascii="Calibri" w:cs="Calibri" w:eastAsia="Calibri" w:hAnsi="Calibri"/>
          <w:color w:val="FF5429"/>
          <w:sz w:val="20"/>
          <w:szCs w:val="20"/>
        </w:rPr>
        <w:t xml:space="preserve">→ /platform/what-we-monitor/pumps</w:t>
      </w:r>
    </w:p>
    <w:p>
      <w:pPr>
        <w:spacing w:after="200"/>
      </w:pPr>
      <w:r>
        <w:rPr>
          <w:rFonts w:ascii="Calibri" w:cs="Calibri" w:eastAsia="Calibri" w:hAnsi="Calibri"/>
          <w:b/>
          <w:bCs/>
          <w:color w:val="2D2D3D"/>
          <w:sz w:val="22"/>
          <w:szCs w:val="22"/>
        </w:rPr>
        <w:t xml:space="preserve">Blowers and fans —</w:t>
      </w:r>
      <w:r>
        <w:rPr>
          <w:rFonts w:ascii="Calibri" w:cs="Calibri" w:eastAsia="Calibri" w:hAnsi="Calibri"/>
          <w:color w:val="2D2D3D"/>
          <w:sz w:val="22"/>
          <w:szCs w:val="22"/>
        </w:rPr>
        <w:t xml:space="preserve"> Aeration blowers and ventilation fans in treatment works. SAM4 tracks bearing condition, energy performance, and mechanical degradation.</w:t>
      </w:r>
    </w:p>
    <w:p>
      <w:pPr>
        <w:spacing w:after="240"/>
      </w:pPr>
      <w:r>
        <w:rPr>
          <w:rFonts w:ascii="Calibri" w:cs="Calibri" w:eastAsia="Calibri" w:hAnsi="Calibri"/>
          <w:color w:val="FF5429"/>
          <w:sz w:val="20"/>
          <w:szCs w:val="20"/>
        </w:rPr>
        <w:t xml:space="preserve">→ /platform/what-we-monitor/fans-blowers</w:t>
      </w:r>
    </w:p>
    <w:p>
      <w:pPr>
        <w:spacing w:after="200"/>
      </w:pPr>
      <w:r>
        <w:rPr>
          <w:rFonts w:ascii="Calibri" w:cs="Calibri" w:eastAsia="Calibri" w:hAnsi="Calibri"/>
          <w:b/>
          <w:bCs/>
          <w:color w:val="2D2D3D"/>
          <w:sz w:val="22"/>
          <w:szCs w:val="22"/>
        </w:rPr>
        <w:t xml:space="preserve">Agitators and mixers —</w:t>
      </w:r>
      <w:r>
        <w:rPr>
          <w:rFonts w:ascii="Calibri" w:cs="Calibri" w:eastAsia="Calibri" w:hAnsi="Calibri"/>
          <w:color w:val="2D2D3D"/>
          <w:sz w:val="22"/>
          <w:szCs w:val="22"/>
        </w:rPr>
        <w:t xml:space="preserve"> Oxidation ditch rotors, mixers, and scrapers. SAM4 provides early warning of mechanical faults that visual inspection cannot catch.</w:t>
      </w:r>
    </w:p>
    <w:p>
      <w:pPr>
        <w:spacing w:after="240"/>
      </w:pPr>
      <w:r>
        <w:rPr>
          <w:rFonts w:ascii="Calibri" w:cs="Calibri" w:eastAsia="Calibri" w:hAnsi="Calibri"/>
          <w:color w:val="FF5429"/>
          <w:sz w:val="20"/>
          <w:szCs w:val="20"/>
        </w:rPr>
        <w:t xml:space="preserve">→ /platform/what-we-monitor/agitators-mixers</w:t>
      </w:r>
    </w:p>
    <w:p>
      <w:r>
        <w:br w:type="page"/>
      </w:r>
    </w:p>
    <w:p>
      <w:pPr>
        <w:pStyle w:val="Heading2"/>
        <w:spacing w:after="200" w:before="360"/>
      </w:pPr>
      <w:r>
        <w:rPr>
          <w:rFonts w:ascii="Calibri" w:cs="Calibri" w:eastAsia="Calibri" w:hAnsi="Calibri"/>
          <w:b/>
          <w:bCs/>
          <w:color w:val="1F1F33"/>
          <w:sz w:val="36"/>
          <w:szCs w:val="36"/>
        </w:rPr>
        <w:t xml:space="preserve">Proof: named results from water utilities</w:t>
      </w:r>
    </w:p>
    <w:p>
      <w:pPr>
        <w:spacing w:after="120" w:before="300"/>
      </w:pPr>
      <w:r>
        <w:rPr>
          <w:rFonts w:ascii="Calibri" w:cs="Calibri" w:eastAsia="Calibri" w:hAnsi="Calibri"/>
          <w:b/>
          <w:bCs/>
          <w:color w:val="1F1F33"/>
          <w:sz w:val="26"/>
          <w:szCs w:val="26"/>
        </w:rPr>
        <w:t xml:space="preserve">Southern Water: £748k in losses prevented</w:t>
      </w:r>
    </w:p>
    <w:p>
      <w:pPr>
        <w:spacing w:after="200"/>
      </w:pPr>
      <w:r>
        <w:rPr>
          <w:rFonts w:ascii="Calibri" w:cs="Calibri" w:eastAsia="Calibri" w:hAnsi="Calibri"/>
          <w:b w:val="false"/>
          <w:bCs w:val="false"/>
          <w:i w:val="false"/>
          <w:iCs w:val="false"/>
          <w:color w:val="2D2D3D"/>
          <w:sz w:val="22"/>
          <w:szCs w:val="22"/>
        </w:rPr>
        <w:t xml:space="preserve">SAM4 detected three developing faults across the wastewater network — bearing degradation on a return activated sludge pump, a seal failure on a storm pump, and a coupling issue on an inlet works pump. All three were caught weeks before they would have caused unplanned shutdowns. Combined cost avoidance: £748,000 in emergency repair, overtime labour, and potential pollution penalties.</w:t>
      </w:r>
    </w:p>
    <w:p>
      <w:pPr>
        <w:spacing w:after="200"/>
      </w:pPr>
      <w:r>
        <w:rPr>
          <w:rFonts w:ascii="Calibri" w:cs="Calibri" w:eastAsia="Calibri" w:hAnsi="Calibri"/>
          <w:b/>
          <w:bCs/>
          <w:color w:val="059669"/>
          <w:sz w:val="20"/>
          <w:szCs w:val="20"/>
        </w:rPr>
        <w:t xml:space="preserve">£748,000 in losses prevented across three faults</w:t>
      </w:r>
    </w:p>
    <w:p>
      <w:pPr>
        <w:spacing w:after="120" w:before="300"/>
      </w:pPr>
      <w:r>
        <w:rPr>
          <w:rFonts w:ascii="Calibri" w:cs="Calibri" w:eastAsia="Calibri" w:hAnsi="Calibri"/>
          <w:b/>
          <w:bCs/>
          <w:color w:val="1F1F33"/>
          <w:sz w:val="26"/>
          <w:szCs w:val="26"/>
        </w:rPr>
        <w:t xml:space="preserve">Yorkshire Water: £390k in potential fines avoided</w:t>
      </w:r>
    </w:p>
    <w:p>
      <w:pPr>
        <w:spacing w:after="200"/>
      </w:pPr>
      <w:r>
        <w:rPr>
          <w:rFonts w:ascii="Calibri" w:cs="Calibri" w:eastAsia="Calibri" w:hAnsi="Calibri"/>
          <w:b w:val="false"/>
          <w:bCs w:val="false"/>
          <w:i w:val="false"/>
          <w:iCs w:val="false"/>
          <w:color w:val="2D2D3D"/>
          <w:sz w:val="22"/>
          <w:szCs w:val="22"/>
        </w:rPr>
        <w:t xml:space="preserve">Early alerts on degrading assets prevented pollution events that would have triggered significant regulatory penalties. Yorkshire Water now monitors 1,000+ pumping stations with SAM4.</w:t>
      </w:r>
    </w:p>
    <w:p>
      <w:pPr>
        <w:spacing w:after="200"/>
      </w:pPr>
      <w:r>
        <w:rPr>
          <w:rFonts w:ascii="Calibri" w:cs="Calibri" w:eastAsia="Calibri" w:hAnsi="Calibri"/>
          <w:b/>
          <w:bCs/>
          <w:color w:val="059669"/>
          <w:sz w:val="20"/>
          <w:szCs w:val="20"/>
        </w:rPr>
        <w:t xml:space="preserve">£390,000 in regulatory penalties avoided. 1,000+ stations monitored.</w:t>
      </w:r>
    </w:p>
    <w:p>
      <w:pPr>
        <w:spacing w:after="120" w:before="300"/>
      </w:pPr>
      <w:r>
        <w:rPr>
          <w:rFonts w:ascii="Calibri" w:cs="Calibri" w:eastAsia="Calibri" w:hAnsi="Calibri"/>
          <w:b/>
          <w:bCs/>
          <w:color w:val="1F1F33"/>
          <w:sz w:val="26"/>
          <w:szCs w:val="26"/>
        </w:rPr>
        <w:t xml:space="preserve">Vitens: 7% operational efficiency increase</w:t>
      </w:r>
    </w:p>
    <w:p>
      <w:pPr>
        <w:spacing w:after="200"/>
      </w:pPr>
      <w:r>
        <w:rPr>
          <w:rFonts w:ascii="Calibri" w:cs="Calibri" w:eastAsia="Calibri" w:hAnsi="Calibri"/>
          <w:b w:val="false"/>
          <w:bCs w:val="false"/>
          <w:i w:val="false"/>
          <w:iCs w:val="false"/>
          <w:color w:val="2D2D3D"/>
          <w:sz w:val="22"/>
          <w:szCs w:val="22"/>
        </w:rPr>
        <w:t xml:space="preserve">Real-time pump performance data helped Vitens optimise operations and reduce energy waste across their network.</w:t>
      </w:r>
    </w:p>
    <w:p>
      <w:pPr>
        <w:spacing w:after="200"/>
      </w:pPr>
      <w:r>
        <w:rPr>
          <w:rFonts w:ascii="Calibri" w:cs="Calibri" w:eastAsia="Calibri" w:hAnsi="Calibri"/>
          <w:b/>
          <w:bCs/>
          <w:color w:val="059669"/>
          <w:sz w:val="20"/>
          <w:szCs w:val="20"/>
        </w:rPr>
        <w:t xml:space="preserve">7% efficiency improvement from real-time pump performance data</w:t>
      </w:r>
    </w:p>
    <w:p>
      <w:pPr>
        <w:pBdr>
          <w:bottom w:val="single" w:color="E5E7EB" w:sz="4" w:space="8"/>
        </w:pBdr>
        <w:spacing w:after="200" w:before="200"/>
      </w:pPr>
    </w:p>
    <w:p>
      <w:pPr>
        <w:pStyle w:val="Heading2"/>
        <w:spacing w:after="200" w:before="360"/>
      </w:pPr>
      <w:r>
        <w:rPr>
          <w:rFonts w:ascii="Calibri" w:cs="Calibri" w:eastAsia="Calibri" w:hAnsi="Calibri"/>
          <w:b/>
          <w:bCs/>
          <w:color w:val="1F1F33"/>
          <w:sz w:val="36"/>
          <w:szCs w:val="36"/>
        </w:rPr>
        <w:t xml:space="preserve">How it installs</w:t>
      </w:r>
    </w:p>
    <w:p>
      <w:pPr>
        <w:spacing w:after="200"/>
      </w:pPr>
      <w:r>
        <w:rPr>
          <w:rFonts w:ascii="Calibri" w:cs="Calibri" w:eastAsia="Calibri" w:hAnsi="Calibri"/>
          <w:b w:val="false"/>
          <w:bCs w:val="false"/>
          <w:i w:val="false"/>
          <w:iCs w:val="false"/>
          <w:color w:val="2D2D3D"/>
          <w:sz w:val="22"/>
          <w:szCs w:val="22"/>
        </w:rPr>
        <w:t xml:space="preserve">SAM4 installs inside the motor control cabinet — no sensors in the wet well, no confined-space entry, no disruption to pumping operations.</w:t>
      </w:r>
    </w:p>
    <w:p>
      <w:pPr>
        <w:spacing w:after="200"/>
      </w:pPr>
      <w:r>
        <w:rPr>
          <w:rFonts w:ascii="Calibri" w:cs="Calibri" w:eastAsia="Calibri" w:hAnsi="Calibri"/>
          <w:b/>
          <w:bCs/>
          <w:color w:val="2D2D3D"/>
          <w:sz w:val="22"/>
          <w:szCs w:val="22"/>
        </w:rPr>
        <w:t xml:space="preserve">Step 1: Install in the MCC.</w:t>
      </w:r>
      <w:r>
        <w:rPr>
          <w:rFonts w:ascii="Calibri" w:cs="Calibri" w:eastAsia="Calibri" w:hAnsi="Calibri"/>
          <w:color w:val="2D2D3D"/>
          <w:sz w:val="22"/>
          <w:szCs w:val="22"/>
        </w:rPr>
        <w:t xml:space="preserve"> Clip-on current and voltage sensors attach to existing wiring in the motor control cabinet. Takes 20 minutes per asset.</w:t>
      </w:r>
    </w:p>
    <w:p>
      <w:pPr>
        <w:spacing w:after="200"/>
      </w:pPr>
      <w:r>
        <w:rPr>
          <w:rFonts w:ascii="Calibri" w:cs="Calibri" w:eastAsia="Calibri" w:hAnsi="Calibri"/>
          <w:b/>
          <w:bCs/>
          <w:color w:val="2D2D3D"/>
          <w:sz w:val="22"/>
          <w:szCs w:val="22"/>
        </w:rPr>
        <w:t xml:space="preserve">Step 2: Connect to SAM4 cloud.</w:t>
      </w:r>
      <w:r>
        <w:rPr>
          <w:rFonts w:ascii="Calibri" w:cs="Calibri" w:eastAsia="Calibri" w:hAnsi="Calibri"/>
          <w:color w:val="2D2D3D"/>
          <w:sz w:val="22"/>
          <w:szCs w:val="22"/>
        </w:rPr>
        <w:t xml:space="preserve"> The edge device samples the electrical signal at 20 kHz and sends data securely to the SAM4 platform for AI-driven analysis.</w:t>
      </w:r>
    </w:p>
    <w:p>
      <w:pPr>
        <w:spacing w:after="200"/>
      </w:pPr>
      <w:r>
        <w:rPr>
          <w:rFonts w:ascii="Calibri" w:cs="Calibri" w:eastAsia="Calibri" w:hAnsi="Calibri"/>
          <w:b/>
          <w:bCs/>
          <w:color w:val="2D2D3D"/>
          <w:sz w:val="22"/>
          <w:szCs w:val="22"/>
        </w:rPr>
        <w:t xml:space="preserve">Step 3: Get actionable alerts.</w:t>
      </w:r>
      <w:r>
        <w:rPr>
          <w:rFonts w:ascii="Calibri" w:cs="Calibri" w:eastAsia="Calibri" w:hAnsi="Calibri"/>
          <w:color w:val="2D2D3D"/>
          <w:sz w:val="22"/>
          <w:szCs w:val="22"/>
        </w:rPr>
        <w:t xml:space="preserve"> Receive predictive alerts weeks to months before failure, with fault type, severity, and recommended action.</w:t>
      </w:r>
    </w:p>
    <w:p>
      <w:pPr>
        <w:pBdr>
          <w:bottom w:val="single" w:color="E5E7EB" w:sz="4" w:space="8"/>
        </w:pBdr>
        <w:spacing w:after="200" w:before="200"/>
      </w:pPr>
    </w:p>
    <w:p>
      <w:pPr>
        <w:pStyle w:val="Heading2"/>
        <w:spacing w:after="200" w:before="360"/>
      </w:pPr>
      <w:r>
        <w:rPr>
          <w:rFonts w:ascii="Calibri" w:cs="Calibri" w:eastAsia="Calibri" w:hAnsi="Calibri"/>
          <w:b/>
          <w:bCs/>
          <w:color w:val="1F1F33"/>
          <w:sz w:val="36"/>
          <w:szCs w:val="36"/>
        </w:rPr>
        <w:t xml:space="preserve">From your first pumping station to every site in your network</w:t>
      </w:r>
    </w:p>
    <w:p>
      <w:pPr>
        <w:spacing w:after="200"/>
      </w:pPr>
      <w:r>
        <w:rPr>
          <w:rFonts w:ascii="Calibri" w:cs="Calibri" w:eastAsia="Calibri" w:hAnsi="Calibri"/>
          <w:b w:val="false"/>
          <w:bCs w:val="false"/>
          <w:i w:val="false"/>
          <w:iCs w:val="false"/>
          <w:color w:val="2D2D3D"/>
          <w:sz w:val="22"/>
          <w:szCs w:val="22"/>
        </w:rPr>
        <w:t xml:space="preserve">ESA installs at the MCC. Once your hardest-to-reach submersible pumps are covered, scaling to booster pumps, blowers, aerators, and the rest of the fleet is a configuration change — not a new project.</w:t>
      </w:r>
    </w:p>
    <w:p>
      <w:pPr>
        <w:spacing w:after="200"/>
      </w:pPr>
      <w:r>
        <w:rPr>
          <w:rFonts w:ascii="Calibri" w:cs="Calibri" w:eastAsia="Calibri" w:hAnsi="Calibri"/>
          <w:b w:val="false"/>
          <w:bCs w:val="false"/>
          <w:i w:val="false"/>
          <w:iCs w:val="false"/>
          <w:color w:val="2D2D3D"/>
          <w:sz w:val="22"/>
          <w:szCs w:val="22"/>
        </w:rPr>
        <w:t xml:space="preserve">The dual value: SAM4 catches developing faults before they cause failures (reactive savings) and identifies efficiency losses across your fleet (proactive optimisation). The same signal. The same installation.</w:t>
      </w:r>
    </w:p>
    <w:p>
      <w:pPr>
        <w:pBdr>
          <w:bottom w:val="single" w:color="E5E7EB" w:sz="4" w:space="8"/>
        </w:pBdr>
        <w:spacing w:after="200" w:before="200"/>
      </w:pPr>
    </w:p>
    <w:p>
      <w:pPr>
        <w:pStyle w:val="Heading2"/>
        <w:spacing w:after="200" w:before="360"/>
      </w:pPr>
      <w:r>
        <w:rPr>
          <w:rFonts w:ascii="Calibri" w:cs="Calibri" w:eastAsia="Calibri" w:hAnsi="Calibri"/>
          <w:b/>
          <w:bCs/>
          <w:color w:val="1F1F33"/>
          <w:sz w:val="36"/>
          <w:szCs w:val="36"/>
        </w:rPr>
        <w:t xml:space="preserve">See what SAM4 could save across your pumping stations</w:t>
      </w:r>
    </w:p>
    <w:p>
      <w:pPr>
        <w:spacing w:after="200"/>
      </w:pPr>
      <w:r>
        <w:rPr>
          <w:rFonts w:ascii="Calibri" w:cs="Calibri" w:eastAsia="Calibri" w:hAnsi="Calibri"/>
          <w:b w:val="false"/>
          <w:bCs w:val="false"/>
          <w:i w:val="false"/>
          <w:iCs w:val="false"/>
          <w:color w:val="2D2D3D"/>
          <w:sz w:val="22"/>
          <w:szCs w:val="22"/>
        </w:rPr>
        <w:t xml:space="preserve">Each water utility runs different equipment in different conditions. We’ll map your highest-risk assets, estimate the monitoring coverage gap, and show you what SAM4 detects — with real data from utilities like yours.</w:t>
      </w:r>
    </w:p>
    <w:p>
      <w:pPr>
        <w:spacing w:after="120"/>
      </w:pPr>
      <w:r>
        <w:rPr>
          <w:rFonts w:ascii="Calibri" w:cs="Calibri" w:eastAsia="Calibri" w:hAnsi="Calibri"/>
          <w:b/>
          <w:bCs/>
          <w:color w:val="FF5429"/>
          <w:sz w:val="22"/>
          <w:szCs w:val="22"/>
        </w:rPr>
        <w:t xml:space="preserve">[CTA] Start Your Asset Audit → /contact?intent=audit</w:t>
      </w:r>
    </w:p>
    <w:p>
      <w:pPr>
        <w:pBdr>
          <w:bottom w:val="single" w:color="E5E7EB" w:sz="4" w:space="8"/>
        </w:pBdr>
        <w:spacing w:after="200" w:before="200"/>
      </w:pPr>
    </w:p>
    <w:p>
      <w:pPr>
        <w:spacing w:after="120" w:before="300"/>
      </w:pPr>
      <w:r>
        <w:rPr>
          <w:rFonts w:ascii="Calibri" w:cs="Calibri" w:eastAsia="Calibri" w:hAnsi="Calibri"/>
          <w:b/>
          <w:bCs/>
          <w:color w:val="6B7280"/>
          <w:sz w:val="18"/>
          <w:szCs w:val="18"/>
        </w:rPr>
        <w:t xml:space="preserve">CHANGE LOG</w:t>
      </w:r>
    </w:p>
    <w:p>
      <w:pPr>
        <w:spacing w:after="200"/>
      </w:pPr>
      <w:r>
        <w:rPr>
          <w:rFonts w:ascii="Calibri" w:cs="Calibri" w:eastAsia="Calibri" w:hAnsi="Calibri"/>
          <w:b w:val="false"/>
          <w:bCs w:val="false"/>
          <w:i w:val="false"/>
          <w:iCs w:val="false"/>
          <w:color w:val="6B7280"/>
          <w:sz w:val="22"/>
          <w:szCs w:val="22"/>
        </w:rPr>
        <w:t xml:space="preserve">Rewrote headline from generic “Water Industry Monitoring” to problem-led: “Your most critical pumps are the ones you can’t see.”</w:t>
      </w:r>
    </w:p>
    <w:p>
      <w:pPr>
        <w:spacing w:after="200"/>
      </w:pPr>
      <w:r>
        <w:rPr>
          <w:rFonts w:ascii="Calibri" w:cs="Calibri" w:eastAsia="Calibri" w:hAnsi="Calibri"/>
          <w:b w:val="false"/>
          <w:bCs w:val="false"/>
          <w:i w:val="false"/>
          <w:iCs w:val="false"/>
          <w:color w:val="6B7280"/>
          <w:sz w:val="22"/>
          <w:szCs w:val="22"/>
        </w:rPr>
        <w:t xml:space="preserve">Applied category narrative arc: blind spot → why existing solutions fail → ESA from MCC → named proof → transformation.</w:t>
      </w:r>
    </w:p>
    <w:p>
      <w:pPr>
        <w:spacing w:after="200"/>
      </w:pPr>
      <w:r>
        <w:rPr>
          <w:rFonts w:ascii="Calibri" w:cs="Calibri" w:eastAsia="Calibri" w:hAnsi="Calibri"/>
          <w:b w:val="false"/>
          <w:bCs w:val="false"/>
          <w:i w:val="false"/>
          <w:iCs w:val="false"/>
          <w:color w:val="6B7280"/>
          <w:sz w:val="22"/>
          <w:szCs w:val="22"/>
        </w:rPr>
        <w:t xml:space="preserve">Added Water-specific terminology: pumping station, wet well, pump set, borehole pump.</w:t>
      </w:r>
    </w:p>
    <w:p>
      <w:pPr>
        <w:spacing w:after="200"/>
      </w:pPr>
      <w:r>
        <w:rPr>
          <w:rFonts w:ascii="Calibri" w:cs="Calibri" w:eastAsia="Calibri" w:hAnsi="Calibri"/>
          <w:b w:val="false"/>
          <w:bCs w:val="false"/>
          <w:i w:val="false"/>
          <w:iCs w:val="false"/>
          <w:color w:val="6B7280"/>
          <w:sz w:val="22"/>
          <w:szCs w:val="22"/>
        </w:rPr>
        <w:t xml:space="preserve">Consolidated duplicate CTA sections into single terminal CTA. Reduced from 15+ CTAs to 6 focused actions.</w:t>
      </w:r>
    </w:p>
    <w:p>
      <w:pPr>
        <w:spacing w:after="200"/>
      </w:pPr>
      <w:r>
        <w:rPr>
          <w:rFonts w:ascii="Calibri" w:cs="Calibri" w:eastAsia="Calibri" w:hAnsi="Calibri"/>
          <w:b w:val="false"/>
          <w:bCs w:val="false"/>
          <w:i w:val="false"/>
          <w:iCs w:val="false"/>
          <w:color w:val="6B7280"/>
          <w:sz w:val="22"/>
          <w:szCs w:val="22"/>
        </w:rPr>
        <w:t xml:space="preserve">Added regulatory angle (Ofwat) and dual framing (reactive + proactive) per page brief.</w:t>
      </w:r>
    </w:p>
    <w:p>
      <w:pPr>
        <w:spacing w:after="200"/>
      </w:pPr>
      <w:r>
        <w:rPr>
          <w:rFonts w:ascii="Calibri" w:cs="Calibri" w:eastAsia="Calibri" w:hAnsi="Calibri"/>
          <w:b w:val="false"/>
          <w:bCs w:val="false"/>
          <w:i w:val="false"/>
          <w:iCs w:val="false"/>
          <w:color w:val="6B7280"/>
          <w:sz w:val="22"/>
          <w:szCs w:val="22"/>
        </w:rPr>
        <w:t xml:space="preserve">Improved SEO: title tag includes asset types and differentiator; meta description includes proof metric.</w:t>
      </w:r>
    </w:p>
    <w:p>
      <w:pPr>
        <w:spacing w:after="200"/>
      </w:pPr>
      <w:r>
        <w:rPr>
          <w:rFonts w:ascii="Calibri" w:cs="Calibri" w:eastAsia="Calibri" w:hAnsi="Calibri"/>
          <w:b w:val="false"/>
          <w:bCs w:val="false"/>
          <w:i w:val="false"/>
          <w:iCs w:val="false"/>
          <w:color w:val="6B7280"/>
          <w:sz w:val="22"/>
          <w:szCs w:val="22"/>
        </w:rPr>
        <w:t xml:space="preserve">Strengthened proof section with mechanism detail (what fault, where, how caught).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bCs/>
        <w:color w:val="6B7280"/>
        <w:sz w:val="16"/>
        <w:szCs w:val="16"/>
      </w:rPr>
      <w:t xml:space="preserve">SAMOTICS</w:t>
    </w:r>
    <w:r>
      <w:rPr>
        <w:rFonts w:ascii="Calibri" w:cs="Calibri" w:eastAsia="Calibri" w:hAnsi="Calibri"/>
        <w:color w:val="6B7280"/>
        <w:sz w:val="16"/>
        <w:szCs w:val="16"/>
      </w:rPr>
      <w:t xml:space="preserve">  |  Water &amp; Wastewater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Calibri" w:cs="Calibri" w:eastAsia="Calibri" w:hAnsi="Calibri"/>
      <w:b/>
      <w:bCs/>
      <w:color w:val="1F1F33"/>
      <w:sz w:val="52"/>
      <w:szCs w:val="52"/>
    </w:rPr>
  </w:style>
  <w:style w:type="paragraph" w:styleId="Heading2">
    <w:name w:val="Heading 2"/>
    <w:basedOn w:val="Normal"/>
    <w:next w:val="Normal"/>
    <w:qFormat/>
    <w:pPr>
      <w:spacing w:after="200" w:before="360"/>
      <w:outlineLvl w:val="1"/>
    </w:pPr>
    <w:rPr>
      <w:rFonts w:ascii="Calibri" w:cs="Calibri" w:eastAsia="Calibri" w:hAnsi="Calibri"/>
      <w:b/>
      <w:bCs/>
      <w:color w:val="1F1F33"/>
      <w:sz w:val="36"/>
      <w:szCs w:val="36"/>
    </w:rPr>
  </w:style>
  <w:style w:type="paragraph" w:styleId="Heading3">
    <w:name w:val="Heading 3"/>
    <w:basedOn w:val="Normal"/>
    <w:next w:val="Normal"/>
    <w:qFormat/>
    <w:pPr>
      <w:spacing w:after="160" w:before="240"/>
      <w:outlineLvl w:val="2"/>
    </w:pPr>
    <w:rPr>
      <w:rFonts w:ascii="Calibri" w:cs="Calibri" w:eastAsia="Calibri" w:hAnsi="Calibri"/>
      <w:b/>
      <w:bCs/>
      <w:color w:val="1F1F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2026-03-13T13:09:02.550Z</dcterms:created>
  <dcterms:modified xsi:type="dcterms:W3CDTF">2026-03-13T13:09:02.550Z</dcterms:modified>
</cp:coreProperties>
</file>

<file path=docProps/custom.xml><?xml version="1.0" encoding="utf-8"?>
<Properties xmlns="http://schemas.openxmlformats.org/officeDocument/2006/custom-properties" xmlns:vt="http://schemas.openxmlformats.org/officeDocument/2006/docPropsVTypes"/>
</file>