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4DBD3326" w:rsidR="00E36970" w:rsidRPr="00B06D9F" w:rsidRDefault="00B06D9F">
      <w:pPr>
        <w:rPr>
          <w:rFonts w:ascii="Garamond" w:hAnsi="Garamond"/>
        </w:rPr>
      </w:pPr>
      <w:r w:rsidRPr="00713B7A">
        <w:rPr>
          <w:rFonts w:ascii="Garamond" w:hAnsi="Garamond"/>
          <w:b/>
          <w:bCs/>
        </w:rPr>
        <w:t>Title:</w:t>
      </w:r>
      <w:r>
        <w:rPr>
          <w:rFonts w:ascii="Garamond" w:hAnsi="Garamond"/>
        </w:rPr>
        <w:t xml:space="preserve"> </w:t>
      </w:r>
      <w:r w:rsidRPr="00B06D9F">
        <w:rPr>
          <w:rFonts w:ascii="Garamond" w:hAnsi="Garamond"/>
        </w:rPr>
        <w:t>Resource availability and organismal traits shape communities in extreme coral reef environments</w:t>
      </w:r>
    </w:p>
    <w:p w14:paraId="4D9D5A6E" w14:textId="28A31909" w:rsidR="00B06D9F" w:rsidRDefault="00B06D9F">
      <w:pPr>
        <w:rPr>
          <w:rFonts w:ascii="Garamond" w:hAnsi="Garamond"/>
          <w:b/>
          <w:bCs/>
        </w:rPr>
      </w:pPr>
    </w:p>
    <w:p w14:paraId="14043767" w14:textId="3799EFDC" w:rsidR="00B06D9F" w:rsidRPr="00B06D9F" w:rsidRDefault="00B06D9F">
      <w:pPr>
        <w:rPr>
          <w:rFonts w:ascii="Garamond" w:hAnsi="Garamond"/>
          <w:vertAlign w:val="superscript"/>
        </w:rPr>
      </w:pPr>
      <w:r w:rsidRPr="00713B7A">
        <w:rPr>
          <w:rFonts w:ascii="Garamond" w:hAnsi="Garamond"/>
          <w:b/>
          <w:bCs/>
        </w:rPr>
        <w:t>Authors:</w:t>
      </w:r>
      <w:r>
        <w:rPr>
          <w:rFonts w:ascii="Garamond" w:hAnsi="Garamond"/>
        </w:rPr>
        <w:t xml:space="preserve"> Simon J. Brandl</w:t>
      </w:r>
      <w:r>
        <w:rPr>
          <w:rFonts w:ascii="Garamond" w:hAnsi="Garamond"/>
          <w:vertAlign w:val="superscript"/>
        </w:rPr>
        <w:t>1,2,3</w:t>
      </w:r>
      <w:r>
        <w:rPr>
          <w:rFonts w:ascii="Garamond" w:hAnsi="Garamond"/>
        </w:rPr>
        <w:t>, Jordan M. Casey</w:t>
      </w:r>
      <w:r>
        <w:rPr>
          <w:rFonts w:ascii="Garamond" w:hAnsi="Garamond"/>
          <w:vertAlign w:val="superscript"/>
        </w:rPr>
        <w:t>2,3</w:t>
      </w:r>
      <w:r>
        <w:rPr>
          <w:rFonts w:ascii="Garamond" w:hAnsi="Garamond"/>
        </w:rPr>
        <w:t>, Luke Tornabene</w:t>
      </w:r>
      <w:r>
        <w:rPr>
          <w:rFonts w:ascii="Garamond" w:hAnsi="Garamond"/>
          <w:vertAlign w:val="superscript"/>
        </w:rPr>
        <w:t>4</w:t>
      </w:r>
      <w:r>
        <w:rPr>
          <w:rFonts w:ascii="Garamond" w:hAnsi="Garamond"/>
        </w:rPr>
        <w:t>, John A. Burt</w:t>
      </w:r>
      <w:r>
        <w:rPr>
          <w:rFonts w:ascii="Garamond" w:hAnsi="Garamond"/>
          <w:vertAlign w:val="superscript"/>
        </w:rPr>
        <w:t>5</w:t>
      </w:r>
      <w:r>
        <w:rPr>
          <w:rFonts w:ascii="Garamond" w:hAnsi="Garamond"/>
        </w:rPr>
        <w:t>, Jacob L. Johansen</w:t>
      </w:r>
      <w:r>
        <w:rPr>
          <w:rFonts w:ascii="Garamond" w:hAnsi="Garamond"/>
          <w:vertAlign w:val="superscript"/>
        </w:rPr>
        <w:t>5,6</w:t>
      </w:r>
    </w:p>
    <w:p w14:paraId="17D1D6A3" w14:textId="6823F22B" w:rsidR="00B06D9F" w:rsidRDefault="00B06D9F">
      <w:pPr>
        <w:rPr>
          <w:rFonts w:ascii="Garamond" w:hAnsi="Garamond"/>
        </w:rPr>
      </w:pPr>
    </w:p>
    <w:p w14:paraId="460E5C59" w14:textId="12EA3B13" w:rsidR="00B06D9F" w:rsidRPr="00713B7A" w:rsidRDefault="00B06D9F">
      <w:pPr>
        <w:rPr>
          <w:rFonts w:ascii="Garamond" w:hAnsi="Garamond"/>
          <w:b/>
          <w:bCs/>
        </w:rPr>
      </w:pPr>
      <w:r w:rsidRPr="00713B7A">
        <w:rPr>
          <w:rFonts w:ascii="Garamond" w:hAnsi="Garamond"/>
          <w:b/>
          <w:bCs/>
        </w:rPr>
        <w:t xml:space="preserve">Affiliations: </w:t>
      </w:r>
    </w:p>
    <w:p w14:paraId="3EE9098A" w14:textId="0FC7A8BB" w:rsidR="00B06D9F" w:rsidRDefault="00B06D9F">
      <w:pPr>
        <w:rPr>
          <w:rFonts w:ascii="Garamond" w:hAnsi="Garamond"/>
        </w:rPr>
      </w:pPr>
      <w:r>
        <w:rPr>
          <w:rFonts w:ascii="Garamond" w:hAnsi="Garamond"/>
          <w:vertAlign w:val="superscript"/>
        </w:rPr>
        <w:t>1</w:t>
      </w:r>
      <w:r>
        <w:rPr>
          <w:rFonts w:ascii="Garamond" w:hAnsi="Garamond"/>
        </w:rPr>
        <w:t xml:space="preserve"> Department of Biological Sciences, Simon Fraser University, Burnaby, BC, Canada</w:t>
      </w:r>
    </w:p>
    <w:p w14:paraId="79A0C36E" w14:textId="725F1794" w:rsidR="00B06D9F" w:rsidRDefault="00B06D9F">
      <w:pPr>
        <w:rPr>
          <w:rFonts w:ascii="Garamond" w:hAnsi="Garamond"/>
        </w:rPr>
      </w:pPr>
      <w:r>
        <w:rPr>
          <w:rFonts w:ascii="Garamond" w:hAnsi="Garamond"/>
          <w:vertAlign w:val="superscript"/>
        </w:rPr>
        <w:t>2</w:t>
      </w:r>
      <w:r>
        <w:rPr>
          <w:rFonts w:ascii="Garamond" w:hAnsi="Garamond"/>
        </w:rPr>
        <w:t xml:space="preserve"> PSL </w:t>
      </w:r>
      <w:proofErr w:type="spellStart"/>
      <w:r>
        <w:rPr>
          <w:rFonts w:ascii="Garamond" w:hAnsi="Garamond"/>
        </w:rPr>
        <w:t>Université</w:t>
      </w:r>
      <w:proofErr w:type="spellEnd"/>
      <w:r>
        <w:rPr>
          <w:rFonts w:ascii="Garamond" w:hAnsi="Garamond"/>
        </w:rPr>
        <w:t xml:space="preserve"> Paris</w:t>
      </w:r>
      <w:r w:rsidR="00713B7A">
        <w:rPr>
          <w:rFonts w:ascii="Garamond" w:hAnsi="Garamond"/>
        </w:rPr>
        <w:t>:</w:t>
      </w:r>
      <w:r>
        <w:rPr>
          <w:rFonts w:ascii="Garamond" w:hAnsi="Garamond"/>
        </w:rPr>
        <w:t xml:space="preserve"> CNRS-EPHE-UPVD </w:t>
      </w:r>
      <w:r w:rsidRPr="00B06D9F">
        <w:rPr>
          <w:rFonts w:ascii="Garamond" w:hAnsi="Garamond"/>
        </w:rPr>
        <w:t>USR3278</w:t>
      </w:r>
      <w:r w:rsidR="00713B7A">
        <w:rPr>
          <w:rFonts w:ascii="Garamond" w:hAnsi="Garamond"/>
        </w:rPr>
        <w:t xml:space="preserve"> CRIOBE</w:t>
      </w:r>
      <w:r>
        <w:rPr>
          <w:rFonts w:ascii="Garamond" w:hAnsi="Garamond"/>
        </w:rPr>
        <w:t xml:space="preserve">, </w:t>
      </w:r>
      <w:proofErr w:type="spellStart"/>
      <w:r>
        <w:rPr>
          <w:rFonts w:ascii="Garamond" w:hAnsi="Garamond"/>
        </w:rPr>
        <w:t>Universit</w:t>
      </w:r>
      <w:r w:rsidR="00713B7A">
        <w:rPr>
          <w:rFonts w:ascii="Garamond" w:hAnsi="Garamond"/>
        </w:rPr>
        <w:t>é</w:t>
      </w:r>
      <w:proofErr w:type="spellEnd"/>
      <w:r w:rsidR="00713B7A">
        <w:rPr>
          <w:rFonts w:ascii="Garamond" w:hAnsi="Garamond"/>
        </w:rPr>
        <w:t xml:space="preserve"> de</w:t>
      </w:r>
      <w:r>
        <w:rPr>
          <w:rFonts w:ascii="Garamond" w:hAnsi="Garamond"/>
        </w:rPr>
        <w:t xml:space="preserve"> Perpignan, Perpignan, France</w:t>
      </w:r>
    </w:p>
    <w:p w14:paraId="0DC33FB8" w14:textId="2F049DE2" w:rsidR="00B06D9F" w:rsidRDefault="00B06D9F">
      <w:pPr>
        <w:rPr>
          <w:rFonts w:ascii="Garamond" w:hAnsi="Garamond"/>
          <w:lang w:val="fr-FR"/>
        </w:rPr>
      </w:pPr>
      <w:r>
        <w:rPr>
          <w:rFonts w:ascii="Garamond" w:hAnsi="Garamond"/>
          <w:vertAlign w:val="superscript"/>
        </w:rPr>
        <w:t>3</w:t>
      </w:r>
      <w:r>
        <w:rPr>
          <w:rFonts w:ascii="Garamond" w:hAnsi="Garamond"/>
        </w:rPr>
        <w:t xml:space="preserve"> </w:t>
      </w:r>
      <w:r w:rsidR="00713B7A" w:rsidRPr="00DC02D0">
        <w:rPr>
          <w:rFonts w:ascii="Garamond" w:hAnsi="Garamond"/>
          <w:lang w:val="fr-FR"/>
        </w:rPr>
        <w:t xml:space="preserve">Laboratoire d’Excellence “CORAIL,” Perpignan, </w:t>
      </w:r>
      <w:r w:rsidR="00713B7A">
        <w:rPr>
          <w:rFonts w:ascii="Garamond" w:hAnsi="Garamond"/>
          <w:lang w:val="fr-FR"/>
        </w:rPr>
        <w:t>France</w:t>
      </w:r>
    </w:p>
    <w:p w14:paraId="57D2D4B5" w14:textId="344E9486" w:rsidR="00713B7A" w:rsidRDefault="00713B7A">
      <w:pPr>
        <w:rPr>
          <w:rFonts w:ascii="Garamond" w:hAnsi="Garamond"/>
          <w:lang w:val="fr-FR"/>
        </w:rPr>
      </w:pPr>
      <w:r>
        <w:rPr>
          <w:rFonts w:ascii="Garamond" w:hAnsi="Garamond"/>
          <w:vertAlign w:val="superscript"/>
          <w:lang w:val="fr-FR"/>
        </w:rPr>
        <w:t>4</w:t>
      </w:r>
      <w:r>
        <w:rPr>
          <w:rFonts w:ascii="Garamond" w:hAnsi="Garamond"/>
          <w:lang w:val="fr-FR"/>
        </w:rPr>
        <w:t xml:space="preserve"> </w:t>
      </w:r>
      <w:proofErr w:type="spellStart"/>
      <w:r w:rsidRPr="00713B7A">
        <w:rPr>
          <w:rFonts w:ascii="Garamond" w:hAnsi="Garamond"/>
          <w:lang w:val="fr-FR"/>
        </w:rPr>
        <w:t>School</w:t>
      </w:r>
      <w:proofErr w:type="spellEnd"/>
      <w:r w:rsidRPr="00713B7A">
        <w:rPr>
          <w:rFonts w:ascii="Garamond" w:hAnsi="Garamond"/>
          <w:lang w:val="fr-FR"/>
        </w:rPr>
        <w:t xml:space="preserve"> of </w:t>
      </w:r>
      <w:proofErr w:type="spellStart"/>
      <w:r w:rsidRPr="00713B7A">
        <w:rPr>
          <w:rFonts w:ascii="Garamond" w:hAnsi="Garamond"/>
          <w:lang w:val="fr-FR"/>
        </w:rPr>
        <w:t>Aquatic</w:t>
      </w:r>
      <w:proofErr w:type="spellEnd"/>
      <w:r w:rsidRPr="00713B7A">
        <w:rPr>
          <w:rFonts w:ascii="Garamond" w:hAnsi="Garamond"/>
          <w:lang w:val="fr-FR"/>
        </w:rPr>
        <w:t xml:space="preserve"> and </w:t>
      </w:r>
      <w:proofErr w:type="spellStart"/>
      <w:r w:rsidRPr="00713B7A">
        <w:rPr>
          <w:rFonts w:ascii="Garamond" w:hAnsi="Garamond"/>
          <w:lang w:val="fr-FR"/>
        </w:rPr>
        <w:t>Fishery</w:t>
      </w:r>
      <w:proofErr w:type="spellEnd"/>
      <w:r w:rsidRPr="00713B7A">
        <w:rPr>
          <w:rFonts w:ascii="Garamond" w:hAnsi="Garamond"/>
          <w:lang w:val="fr-FR"/>
        </w:rPr>
        <w:t xml:space="preserve"> Sciences and the Burke Museum of Natural </w:t>
      </w:r>
      <w:proofErr w:type="spellStart"/>
      <w:r w:rsidRPr="00713B7A">
        <w:rPr>
          <w:rFonts w:ascii="Garamond" w:hAnsi="Garamond"/>
          <w:lang w:val="fr-FR"/>
        </w:rPr>
        <w:t>History</w:t>
      </w:r>
      <w:proofErr w:type="spellEnd"/>
      <w:r w:rsidRPr="00713B7A">
        <w:rPr>
          <w:rFonts w:ascii="Garamond" w:hAnsi="Garamond"/>
          <w:lang w:val="fr-FR"/>
        </w:rPr>
        <w:t xml:space="preserve"> and Culture, </w:t>
      </w:r>
      <w:proofErr w:type="spellStart"/>
      <w:r w:rsidRPr="00713B7A">
        <w:rPr>
          <w:rFonts w:ascii="Garamond" w:hAnsi="Garamond"/>
          <w:lang w:val="fr-FR"/>
        </w:rPr>
        <w:t>University</w:t>
      </w:r>
      <w:proofErr w:type="spellEnd"/>
      <w:r w:rsidRPr="00713B7A">
        <w:rPr>
          <w:rFonts w:ascii="Garamond" w:hAnsi="Garamond"/>
          <w:lang w:val="fr-FR"/>
        </w:rPr>
        <w:t xml:space="preserve"> of Washington, Seattle, WA, USA</w:t>
      </w:r>
    </w:p>
    <w:p w14:paraId="45A4A794" w14:textId="0D2F3190" w:rsidR="00713B7A" w:rsidRDefault="00713B7A">
      <w:pPr>
        <w:rPr>
          <w:rFonts w:ascii="Garamond" w:hAnsi="Garamond"/>
          <w:lang w:val="fr-FR"/>
        </w:rPr>
      </w:pPr>
      <w:r>
        <w:rPr>
          <w:rFonts w:ascii="Garamond" w:hAnsi="Garamond"/>
          <w:vertAlign w:val="superscript"/>
          <w:lang w:val="fr-FR"/>
        </w:rPr>
        <w:t>5</w:t>
      </w:r>
      <w:r>
        <w:rPr>
          <w:rFonts w:ascii="Garamond" w:hAnsi="Garamond"/>
          <w:lang w:val="fr-FR"/>
        </w:rPr>
        <w:t xml:space="preserve"> </w:t>
      </w:r>
      <w:r w:rsidRPr="00713B7A">
        <w:rPr>
          <w:rFonts w:ascii="Garamond" w:hAnsi="Garamond"/>
          <w:lang w:val="fr-FR"/>
        </w:rPr>
        <w:t xml:space="preserve">Marine </w:t>
      </w:r>
      <w:proofErr w:type="spellStart"/>
      <w:r w:rsidRPr="00713B7A">
        <w:rPr>
          <w:rFonts w:ascii="Garamond" w:hAnsi="Garamond"/>
          <w:lang w:val="fr-FR"/>
        </w:rPr>
        <w:t>Biology</w:t>
      </w:r>
      <w:proofErr w:type="spellEnd"/>
      <w:r w:rsidRPr="00713B7A">
        <w:rPr>
          <w:rFonts w:ascii="Garamond" w:hAnsi="Garamond"/>
          <w:lang w:val="fr-FR"/>
        </w:rPr>
        <w:t xml:space="preserve"> </w:t>
      </w:r>
      <w:proofErr w:type="spellStart"/>
      <w:r w:rsidRPr="00713B7A">
        <w:rPr>
          <w:rFonts w:ascii="Garamond" w:hAnsi="Garamond"/>
          <w:lang w:val="fr-FR"/>
        </w:rPr>
        <w:t>Laboratory</w:t>
      </w:r>
      <w:proofErr w:type="spellEnd"/>
      <w:r w:rsidRPr="00713B7A">
        <w:rPr>
          <w:rFonts w:ascii="Garamond" w:hAnsi="Garamond"/>
          <w:lang w:val="fr-FR"/>
        </w:rPr>
        <w:t xml:space="preserve">, Centre for </w:t>
      </w:r>
      <w:proofErr w:type="spellStart"/>
      <w:r w:rsidRPr="00713B7A">
        <w:rPr>
          <w:rFonts w:ascii="Garamond" w:hAnsi="Garamond"/>
          <w:lang w:val="fr-FR"/>
        </w:rPr>
        <w:t>Genomics</w:t>
      </w:r>
      <w:proofErr w:type="spellEnd"/>
      <w:r w:rsidRPr="00713B7A">
        <w:rPr>
          <w:rFonts w:ascii="Garamond" w:hAnsi="Garamond"/>
          <w:lang w:val="fr-FR"/>
        </w:rPr>
        <w:t xml:space="preserve"> and </w:t>
      </w:r>
      <w:proofErr w:type="spellStart"/>
      <w:r w:rsidRPr="00713B7A">
        <w:rPr>
          <w:rFonts w:ascii="Garamond" w:hAnsi="Garamond"/>
          <w:lang w:val="fr-FR"/>
        </w:rPr>
        <w:t>Systems</w:t>
      </w:r>
      <w:proofErr w:type="spellEnd"/>
      <w:r w:rsidRPr="00713B7A">
        <w:rPr>
          <w:rFonts w:ascii="Garamond" w:hAnsi="Garamond"/>
          <w:lang w:val="fr-FR"/>
        </w:rPr>
        <w:t xml:space="preserve"> </w:t>
      </w:r>
      <w:proofErr w:type="spellStart"/>
      <w:r w:rsidRPr="00713B7A">
        <w:rPr>
          <w:rFonts w:ascii="Garamond" w:hAnsi="Garamond"/>
          <w:lang w:val="fr-FR"/>
        </w:rPr>
        <w:t>Biology</w:t>
      </w:r>
      <w:proofErr w:type="spellEnd"/>
      <w:r w:rsidRPr="00713B7A">
        <w:rPr>
          <w:rFonts w:ascii="Garamond" w:hAnsi="Garamond"/>
          <w:lang w:val="fr-FR"/>
        </w:rPr>
        <w:t xml:space="preserve">, New York </w:t>
      </w:r>
      <w:proofErr w:type="spellStart"/>
      <w:r w:rsidRPr="00713B7A">
        <w:rPr>
          <w:rFonts w:ascii="Garamond" w:hAnsi="Garamond"/>
          <w:lang w:val="fr-FR"/>
        </w:rPr>
        <w:t>University</w:t>
      </w:r>
      <w:proofErr w:type="spellEnd"/>
      <w:r w:rsidRPr="00713B7A">
        <w:rPr>
          <w:rFonts w:ascii="Garamond" w:hAnsi="Garamond"/>
          <w:lang w:val="fr-FR"/>
        </w:rPr>
        <w:t xml:space="preserve"> Abu Dhabi, Abu Dhabi, United </w:t>
      </w:r>
      <w:proofErr w:type="spellStart"/>
      <w:r w:rsidRPr="00713B7A">
        <w:rPr>
          <w:rFonts w:ascii="Garamond" w:hAnsi="Garamond"/>
          <w:lang w:val="fr-FR"/>
        </w:rPr>
        <w:t>Arab</w:t>
      </w:r>
      <w:proofErr w:type="spellEnd"/>
      <w:r w:rsidRPr="00713B7A">
        <w:rPr>
          <w:rFonts w:ascii="Garamond" w:hAnsi="Garamond"/>
          <w:lang w:val="fr-FR"/>
        </w:rPr>
        <w:t xml:space="preserve"> </w:t>
      </w:r>
      <w:proofErr w:type="spellStart"/>
      <w:r w:rsidRPr="00713B7A">
        <w:rPr>
          <w:rFonts w:ascii="Garamond" w:hAnsi="Garamond"/>
          <w:lang w:val="fr-FR"/>
        </w:rPr>
        <w:t>Emirates</w:t>
      </w:r>
      <w:proofErr w:type="spellEnd"/>
    </w:p>
    <w:p w14:paraId="668D2532" w14:textId="26835116" w:rsidR="00713B7A" w:rsidRDefault="00713B7A">
      <w:pPr>
        <w:rPr>
          <w:rFonts w:ascii="Garamond" w:hAnsi="Garamond"/>
          <w:lang w:val="fr-FR"/>
        </w:rPr>
      </w:pPr>
      <w:r>
        <w:rPr>
          <w:rFonts w:ascii="Garamond" w:hAnsi="Garamond"/>
          <w:vertAlign w:val="superscript"/>
          <w:lang w:val="fr-FR"/>
        </w:rPr>
        <w:t>6</w:t>
      </w:r>
      <w:r>
        <w:rPr>
          <w:rFonts w:ascii="Garamond" w:hAnsi="Garamond"/>
          <w:lang w:val="fr-FR"/>
        </w:rPr>
        <w:t xml:space="preserve"> </w:t>
      </w:r>
      <w:proofErr w:type="spellStart"/>
      <w:r>
        <w:rPr>
          <w:rFonts w:ascii="Garamond" w:hAnsi="Garamond"/>
          <w:lang w:val="fr-FR"/>
        </w:rPr>
        <w:t>Hawai’i</w:t>
      </w:r>
      <w:proofErr w:type="spellEnd"/>
      <w:r>
        <w:rPr>
          <w:rFonts w:ascii="Garamond" w:hAnsi="Garamond"/>
          <w:lang w:val="fr-FR"/>
        </w:rPr>
        <w:t xml:space="preserve"> Institute of Marine </w:t>
      </w:r>
      <w:proofErr w:type="spellStart"/>
      <w:r>
        <w:rPr>
          <w:rFonts w:ascii="Garamond" w:hAnsi="Garamond"/>
          <w:lang w:val="fr-FR"/>
        </w:rPr>
        <w:t>Biology</w:t>
      </w:r>
      <w:proofErr w:type="spellEnd"/>
      <w:r>
        <w:rPr>
          <w:rFonts w:ascii="Garamond" w:hAnsi="Garamond"/>
          <w:lang w:val="fr-FR"/>
        </w:rPr>
        <w:t xml:space="preserve">, </w:t>
      </w:r>
      <w:proofErr w:type="spellStart"/>
      <w:r>
        <w:rPr>
          <w:rFonts w:ascii="Garamond" w:hAnsi="Garamond"/>
          <w:lang w:val="fr-FR"/>
        </w:rPr>
        <w:t>University</w:t>
      </w:r>
      <w:proofErr w:type="spellEnd"/>
      <w:r>
        <w:rPr>
          <w:rFonts w:ascii="Garamond" w:hAnsi="Garamond"/>
          <w:lang w:val="fr-FR"/>
        </w:rPr>
        <w:t xml:space="preserve"> of </w:t>
      </w:r>
      <w:proofErr w:type="spellStart"/>
      <w:r>
        <w:rPr>
          <w:rFonts w:ascii="Garamond" w:hAnsi="Garamond"/>
          <w:lang w:val="fr-FR"/>
        </w:rPr>
        <w:t>Hawai’i</w:t>
      </w:r>
      <w:proofErr w:type="spellEnd"/>
      <w:r>
        <w:rPr>
          <w:rFonts w:ascii="Garamond" w:hAnsi="Garamond"/>
          <w:lang w:val="fr-FR"/>
        </w:rPr>
        <w:t xml:space="preserve"> at </w:t>
      </w:r>
      <w:proofErr w:type="spellStart"/>
      <w:r>
        <w:rPr>
          <w:rFonts w:ascii="Garamond" w:hAnsi="Garamond"/>
          <w:lang w:val="fr-FR"/>
        </w:rPr>
        <w:t>Manoa</w:t>
      </w:r>
      <w:proofErr w:type="spellEnd"/>
      <w:r>
        <w:rPr>
          <w:rFonts w:ascii="Garamond" w:hAnsi="Garamond"/>
          <w:lang w:val="fr-FR"/>
        </w:rPr>
        <w:t xml:space="preserve">, </w:t>
      </w:r>
      <w:proofErr w:type="spellStart"/>
      <w:r>
        <w:rPr>
          <w:rFonts w:ascii="Garamond" w:hAnsi="Garamond"/>
          <w:lang w:val="fr-FR"/>
        </w:rPr>
        <w:t>Kane’ohe</w:t>
      </w:r>
      <w:proofErr w:type="spellEnd"/>
      <w:r>
        <w:rPr>
          <w:rFonts w:ascii="Garamond" w:hAnsi="Garamond"/>
          <w:lang w:val="fr-FR"/>
        </w:rPr>
        <w:t>, HI, USA</w:t>
      </w:r>
    </w:p>
    <w:p w14:paraId="48C6862E" w14:textId="03167E9D" w:rsidR="00713B7A" w:rsidRDefault="00713B7A">
      <w:pPr>
        <w:rPr>
          <w:rFonts w:ascii="Garamond" w:hAnsi="Garamond"/>
          <w:b/>
          <w:bCs/>
          <w:lang w:val="fr-FR"/>
        </w:rPr>
      </w:pPr>
    </w:p>
    <w:p w14:paraId="141D90C4" w14:textId="1767C51F" w:rsidR="00713B7A" w:rsidRPr="00BA40B5" w:rsidRDefault="00713B7A">
      <w:pPr>
        <w:rPr>
          <w:rFonts w:ascii="Garamond" w:hAnsi="Garamond"/>
          <w:b/>
          <w:bCs/>
          <w:lang w:val="fr-FR"/>
        </w:rPr>
      </w:pPr>
      <w:proofErr w:type="gramStart"/>
      <w:r>
        <w:rPr>
          <w:rFonts w:ascii="Garamond" w:hAnsi="Garamond"/>
          <w:b/>
          <w:bCs/>
          <w:lang w:val="fr-FR"/>
        </w:rPr>
        <w:t>Introduction:</w:t>
      </w:r>
      <w:proofErr w:type="gramEnd"/>
      <w:r>
        <w:rPr>
          <w:rFonts w:ascii="Garamond" w:hAnsi="Garamond"/>
          <w:b/>
          <w:bCs/>
          <w:lang w:val="fr-FR"/>
        </w:rPr>
        <w:t xml:space="preserve"> </w:t>
      </w:r>
    </w:p>
    <w:p w14:paraId="06AF045F" w14:textId="566A3F07" w:rsidR="00713B7A" w:rsidRDefault="00713B7A" w:rsidP="00713B7A">
      <w:pPr>
        <w:pStyle w:val="ListParagraph"/>
        <w:numPr>
          <w:ilvl w:val="0"/>
          <w:numId w:val="1"/>
        </w:numPr>
        <w:rPr>
          <w:rFonts w:ascii="Garamond" w:hAnsi="Garamond"/>
        </w:rPr>
      </w:pPr>
      <w:r w:rsidRPr="00713B7A">
        <w:rPr>
          <w:rFonts w:ascii="Garamond" w:hAnsi="Garamond"/>
        </w:rPr>
        <w:softHyphen/>
      </w:r>
      <w:r>
        <w:rPr>
          <w:rFonts w:ascii="Garamond" w:hAnsi="Garamond"/>
        </w:rPr>
        <w:t>Existence in extreme environments has great challenges; therefore, environments with extreme environmental conditions (e.g. temperature, salinity, pH) frequently harbor highly specialized organismal communities</w:t>
      </w:r>
    </w:p>
    <w:p w14:paraId="4500D392" w14:textId="4677E1BF" w:rsidR="00713B7A" w:rsidRDefault="00713B7A" w:rsidP="00713B7A">
      <w:pPr>
        <w:pStyle w:val="ListParagraph"/>
        <w:numPr>
          <w:ilvl w:val="0"/>
          <w:numId w:val="1"/>
        </w:numPr>
        <w:rPr>
          <w:rFonts w:ascii="Garamond" w:hAnsi="Garamond"/>
        </w:rPr>
      </w:pPr>
      <w:commentRangeStart w:id="0"/>
      <w:commentRangeStart w:id="1"/>
      <w:r>
        <w:rPr>
          <w:rFonts w:ascii="Garamond" w:hAnsi="Garamond"/>
        </w:rPr>
        <w:t xml:space="preserve">An </w:t>
      </w:r>
      <w:proofErr w:type="gramStart"/>
      <w:r>
        <w:rPr>
          <w:rFonts w:ascii="Garamond" w:hAnsi="Garamond"/>
        </w:rPr>
        <w:t>often implicit</w:t>
      </w:r>
      <w:proofErr w:type="gramEnd"/>
      <w:r>
        <w:rPr>
          <w:rFonts w:ascii="Garamond" w:hAnsi="Garamond"/>
        </w:rPr>
        <w:t xml:space="preserve"> assumption is that existence in extreme environments is mediated by internal physiological tolerance</w:t>
      </w:r>
      <w:r w:rsidR="00CA5CBF">
        <w:rPr>
          <w:rFonts w:ascii="Garamond" w:hAnsi="Garamond"/>
        </w:rPr>
        <w:t>s</w:t>
      </w:r>
      <w:r>
        <w:rPr>
          <w:rFonts w:ascii="Garamond" w:hAnsi="Garamond"/>
        </w:rPr>
        <w:t xml:space="preserve"> of species </w:t>
      </w:r>
      <w:r w:rsidR="00CA5CBF">
        <w:rPr>
          <w:rFonts w:ascii="Garamond" w:hAnsi="Garamond"/>
        </w:rPr>
        <w:t>to the dominant environmental filter; adaptation of physiological tolerances is considered a key mechanism for this process</w:t>
      </w:r>
      <w:commentRangeEnd w:id="0"/>
      <w:r w:rsidR="00D45018">
        <w:rPr>
          <w:rStyle w:val="CommentReference"/>
        </w:rPr>
        <w:commentReference w:id="0"/>
      </w:r>
      <w:commentRangeEnd w:id="1"/>
      <w:r w:rsidR="00A255C7">
        <w:rPr>
          <w:rStyle w:val="CommentReference"/>
        </w:rPr>
        <w:commentReference w:id="1"/>
      </w:r>
    </w:p>
    <w:p w14:paraId="001C3807" w14:textId="62A82478" w:rsidR="00CA5CBF" w:rsidRDefault="00CA5CBF" w:rsidP="00713B7A">
      <w:pPr>
        <w:pStyle w:val="ListParagraph"/>
        <w:numPr>
          <w:ilvl w:val="0"/>
          <w:numId w:val="1"/>
        </w:numPr>
        <w:rPr>
          <w:rFonts w:ascii="Garamond" w:hAnsi="Garamond"/>
        </w:rPr>
      </w:pPr>
      <w:r>
        <w:rPr>
          <w:rFonts w:ascii="Garamond" w:hAnsi="Garamond"/>
        </w:rPr>
        <w:t xml:space="preserve">Coral reefs usually exist within a narrow set of environmental conditions; yet, climate change threatens to shift reefs out of this narrow temperature band </w:t>
      </w:r>
      <w:proofErr w:type="spellStart"/>
      <w:r>
        <w:rPr>
          <w:rFonts w:ascii="Garamond" w:hAnsi="Garamond"/>
        </w:rPr>
        <w:t>inbto</w:t>
      </w:r>
      <w:proofErr w:type="spellEnd"/>
      <w:r>
        <w:rPr>
          <w:rFonts w:ascii="Garamond" w:hAnsi="Garamond"/>
        </w:rPr>
        <w:t xml:space="preserve"> more extreme thermal regimes – it is unknown how this will affect coral reef communities, which provide critical services to &gt;500 million people</w:t>
      </w:r>
    </w:p>
    <w:p w14:paraId="75EA0BC7" w14:textId="64E3CD01" w:rsidR="00CA5CBF" w:rsidRPr="00BA40B5" w:rsidRDefault="00CA5CBF" w:rsidP="00CA5CBF">
      <w:pPr>
        <w:pStyle w:val="ListParagraph"/>
        <w:numPr>
          <w:ilvl w:val="0"/>
          <w:numId w:val="1"/>
        </w:numPr>
        <w:rPr>
          <w:rFonts w:ascii="Garamond" w:hAnsi="Garamond"/>
        </w:rPr>
      </w:pPr>
      <w:r>
        <w:rPr>
          <w:rFonts w:ascii="Garamond" w:hAnsi="Garamond"/>
        </w:rPr>
        <w:t xml:space="preserve">Small, cryptobenthic reef fishes are critical to reef fish biomass production but also offer an excellent model system to study the effects of thermal extremes on community structure because they </w:t>
      </w:r>
      <w:commentRangeStart w:id="2"/>
      <w:commentRangeStart w:id="3"/>
      <w:r>
        <w:rPr>
          <w:rFonts w:ascii="Garamond" w:hAnsi="Garamond"/>
        </w:rPr>
        <w:t>1) can be sampled holistically to reflect entire communities, 2) should be highly susceptible to temperature extremes due to limited buffering capacity as a function of small body size, but also 3) may adapt relatively rapidly to environmental conditions due to short life-cycles and fast generational turnover</w:t>
      </w:r>
      <w:commentRangeEnd w:id="2"/>
      <w:r w:rsidR="00D45018">
        <w:rPr>
          <w:rStyle w:val="CommentReference"/>
        </w:rPr>
        <w:commentReference w:id="2"/>
      </w:r>
      <w:commentRangeEnd w:id="3"/>
      <w:r w:rsidR="00A255C7">
        <w:rPr>
          <w:rStyle w:val="CommentReference"/>
        </w:rPr>
        <w:commentReference w:id="3"/>
      </w:r>
    </w:p>
    <w:p w14:paraId="7BC62657" w14:textId="77777777" w:rsidR="00F419AC" w:rsidRDefault="00CA5CBF" w:rsidP="00CA5CBF">
      <w:pPr>
        <w:pStyle w:val="ListParagraph"/>
        <w:numPr>
          <w:ilvl w:val="0"/>
          <w:numId w:val="1"/>
        </w:numPr>
        <w:rPr>
          <w:rFonts w:ascii="Garamond" w:hAnsi="Garamond"/>
        </w:rPr>
      </w:pPr>
      <w:commentRangeStart w:id="4"/>
      <w:commentRangeStart w:id="5"/>
      <w:r>
        <w:rPr>
          <w:rFonts w:ascii="Garamond" w:hAnsi="Garamond"/>
        </w:rPr>
        <w:t xml:space="preserve">Here, we study cryptobenthic fish assemblages in two geographically close, but fundamentally different reef systems: the Arabian Gulf, which represents the most thermally extreme coral reef environment in the world, and the Gulf of Oman, which lies within the average thermal regime of coral reefs. </w:t>
      </w:r>
      <w:commentRangeEnd w:id="4"/>
      <w:r w:rsidR="00D45018">
        <w:rPr>
          <w:rStyle w:val="CommentReference"/>
        </w:rPr>
        <w:commentReference w:id="4"/>
      </w:r>
      <w:commentRangeEnd w:id="5"/>
      <w:r w:rsidR="00A255C7">
        <w:rPr>
          <w:rStyle w:val="CommentReference"/>
        </w:rPr>
        <w:commentReference w:id="5"/>
      </w:r>
    </w:p>
    <w:p w14:paraId="70909477" w14:textId="759C9695" w:rsidR="00F419AC" w:rsidRDefault="00F419AC" w:rsidP="00F419AC">
      <w:pPr>
        <w:rPr>
          <w:rFonts w:ascii="Garamond" w:hAnsi="Garamond"/>
        </w:rPr>
      </w:pPr>
    </w:p>
    <w:p w14:paraId="1156C2B9" w14:textId="7E5C27B4" w:rsidR="00F419AC" w:rsidRPr="00F419AC" w:rsidRDefault="00F419AC" w:rsidP="00F419AC">
      <w:pPr>
        <w:rPr>
          <w:rFonts w:ascii="Garamond" w:hAnsi="Garamond"/>
          <w:b/>
          <w:bCs/>
        </w:rPr>
      </w:pPr>
      <w:r>
        <w:rPr>
          <w:rFonts w:ascii="Garamond" w:hAnsi="Garamond"/>
          <w:b/>
          <w:bCs/>
        </w:rPr>
        <w:t>Results:</w:t>
      </w:r>
    </w:p>
    <w:p w14:paraId="668BE7EF" w14:textId="77777777" w:rsidR="00F419AC" w:rsidRDefault="00CA5CBF" w:rsidP="00F419AC">
      <w:pPr>
        <w:pStyle w:val="ListParagraph"/>
        <w:numPr>
          <w:ilvl w:val="0"/>
          <w:numId w:val="1"/>
        </w:numPr>
        <w:rPr>
          <w:rFonts w:ascii="Garamond" w:hAnsi="Garamond"/>
        </w:rPr>
      </w:pPr>
      <w:r w:rsidRPr="00F419AC">
        <w:rPr>
          <w:rFonts w:ascii="Garamond" w:hAnsi="Garamond"/>
        </w:rPr>
        <w:t>By combining organismal traits pertaining to thermal tolerance, diet, and growth with community assembly across a clear environmental chasm, we show that basic physiological limits of adult individuals cannot explain striking differences in community structure.</w:t>
      </w:r>
    </w:p>
    <w:p w14:paraId="09533829" w14:textId="44FCE080" w:rsidR="00F419AC" w:rsidRDefault="00F419AC" w:rsidP="00F419AC">
      <w:pPr>
        <w:pStyle w:val="ListParagraph"/>
        <w:numPr>
          <w:ilvl w:val="0"/>
          <w:numId w:val="1"/>
        </w:numPr>
        <w:rPr>
          <w:rFonts w:ascii="Garamond" w:hAnsi="Garamond"/>
        </w:rPr>
      </w:pPr>
      <w:r>
        <w:rPr>
          <w:rFonts w:ascii="Garamond" w:hAnsi="Garamond"/>
        </w:rPr>
        <w:t>Similarly, species existing in the Arabian Gulf do not appear more or. less specialized than ecologically similar species in the Gulf of Oman</w:t>
      </w:r>
      <w:r w:rsidR="00CA5CBF" w:rsidRPr="00F419AC">
        <w:rPr>
          <w:rFonts w:ascii="Garamond" w:hAnsi="Garamond"/>
        </w:rPr>
        <w:t xml:space="preserve"> </w:t>
      </w:r>
    </w:p>
    <w:p w14:paraId="6A28D688" w14:textId="294E7C59" w:rsidR="00CA5CBF" w:rsidRDefault="00CA5CBF" w:rsidP="00F419AC">
      <w:pPr>
        <w:pStyle w:val="ListParagraph"/>
        <w:numPr>
          <w:ilvl w:val="0"/>
          <w:numId w:val="1"/>
        </w:numPr>
        <w:rPr>
          <w:rFonts w:ascii="Garamond" w:hAnsi="Garamond"/>
        </w:rPr>
      </w:pPr>
      <w:r w:rsidRPr="00F419AC">
        <w:rPr>
          <w:rFonts w:ascii="Garamond" w:hAnsi="Garamond"/>
        </w:rPr>
        <w:t>Instead, the existence of a limited set of species in the extreme Arabian Gulf appears to be mediated by bottom-up resource availability and species-specific energetic tolerances</w:t>
      </w:r>
      <w:r w:rsidR="00F419AC" w:rsidRPr="00F419AC">
        <w:rPr>
          <w:rFonts w:ascii="Garamond" w:hAnsi="Garamond"/>
        </w:rPr>
        <w:t xml:space="preserve">; to </w:t>
      </w:r>
      <w:r w:rsidR="00F419AC" w:rsidRPr="00F419AC">
        <w:rPr>
          <w:rFonts w:ascii="Garamond" w:hAnsi="Garamond"/>
        </w:rPr>
        <w:lastRenderedPageBreak/>
        <w:t>persist in the Arabian Gulf</w:t>
      </w:r>
      <w:r w:rsidR="00F419AC">
        <w:rPr>
          <w:rFonts w:ascii="Garamond" w:hAnsi="Garamond"/>
        </w:rPr>
        <w:t xml:space="preserve">, </w:t>
      </w:r>
      <w:commentRangeStart w:id="6"/>
      <w:commentRangeStart w:id="7"/>
      <w:r w:rsidR="00F419AC">
        <w:rPr>
          <w:rFonts w:ascii="Garamond" w:hAnsi="Garamond"/>
        </w:rPr>
        <w:t xml:space="preserve">species </w:t>
      </w:r>
      <w:r w:rsidR="00F419AC" w:rsidRPr="00F419AC">
        <w:rPr>
          <w:rFonts w:ascii="Garamond" w:hAnsi="Garamond"/>
        </w:rPr>
        <w:t xml:space="preserve">exploit a fundamentally different </w:t>
      </w:r>
      <w:r w:rsidR="00F419AC">
        <w:rPr>
          <w:rFonts w:ascii="Garamond" w:hAnsi="Garamond"/>
        </w:rPr>
        <w:t>set of resources which appear to stymy growth and decrease body condition</w:t>
      </w:r>
      <w:commentRangeEnd w:id="6"/>
      <w:r w:rsidR="00D45018">
        <w:rPr>
          <w:rStyle w:val="CommentReference"/>
        </w:rPr>
        <w:commentReference w:id="6"/>
      </w:r>
      <w:commentRangeEnd w:id="7"/>
      <w:r w:rsidR="00A255C7">
        <w:rPr>
          <w:rStyle w:val="CommentReference"/>
        </w:rPr>
        <w:commentReference w:id="7"/>
      </w:r>
    </w:p>
    <w:p w14:paraId="43053DF8" w14:textId="7618652A" w:rsidR="00F419AC" w:rsidRDefault="00F419AC" w:rsidP="00F419AC">
      <w:pPr>
        <w:pStyle w:val="ListParagraph"/>
        <w:numPr>
          <w:ilvl w:val="0"/>
          <w:numId w:val="1"/>
        </w:numPr>
        <w:rPr>
          <w:rFonts w:ascii="Garamond" w:hAnsi="Garamond"/>
        </w:rPr>
      </w:pPr>
      <w:r>
        <w:rPr>
          <w:rFonts w:ascii="Garamond" w:hAnsi="Garamond"/>
        </w:rPr>
        <w:t>This shift may not be possible for species with high metabolic demands; cryptobenthic reef fishes have high mass-specific metabolic rates, suggesting that the maintenance of growth and reproduction offers little room for error</w:t>
      </w:r>
    </w:p>
    <w:p w14:paraId="20EDE8C2" w14:textId="7F2D2725" w:rsidR="00F419AC" w:rsidRDefault="00F419AC" w:rsidP="00F419AC">
      <w:pPr>
        <w:rPr>
          <w:rFonts w:ascii="Garamond" w:hAnsi="Garamond"/>
        </w:rPr>
      </w:pPr>
    </w:p>
    <w:p w14:paraId="2C2CECB1" w14:textId="401B0004" w:rsidR="00F419AC" w:rsidRDefault="00F419AC" w:rsidP="00F419AC">
      <w:pPr>
        <w:rPr>
          <w:rFonts w:ascii="Garamond" w:hAnsi="Garamond"/>
          <w:b/>
          <w:bCs/>
        </w:rPr>
      </w:pPr>
      <w:r>
        <w:rPr>
          <w:rFonts w:ascii="Garamond" w:hAnsi="Garamond"/>
          <w:b/>
          <w:bCs/>
        </w:rPr>
        <w:t>Figures:</w:t>
      </w:r>
    </w:p>
    <w:p w14:paraId="66DC613B" w14:textId="77777777" w:rsidR="00BA40B5" w:rsidRDefault="00BA40B5" w:rsidP="00F419AC">
      <w:pPr>
        <w:rPr>
          <w:rFonts w:ascii="Garamond" w:hAnsi="Garamond"/>
          <w:b/>
          <w:bCs/>
        </w:rPr>
      </w:pPr>
    </w:p>
    <w:p w14:paraId="6507B3B1" w14:textId="6BED68A9" w:rsidR="00BA40B5" w:rsidRPr="00BA40B5" w:rsidRDefault="00BA40B5" w:rsidP="00F419AC">
      <w:pPr>
        <w:rPr>
          <w:rFonts w:ascii="Garamond" w:hAnsi="Garamond"/>
          <w:b/>
          <w:bCs/>
        </w:rPr>
      </w:pPr>
      <w:r>
        <w:rPr>
          <w:rFonts w:ascii="Garamond" w:hAnsi="Garamond"/>
          <w:b/>
          <w:bCs/>
          <w:noProof/>
        </w:rPr>
        <w:drawing>
          <wp:inline distT="0" distB="0" distL="0" distR="0" wp14:anchorId="5CD3E78C" wp14:editId="7DFABE69">
            <wp:extent cx="5943600" cy="59436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_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F82EEB" w14:textId="792C9C59" w:rsidR="00F07907" w:rsidRDefault="00F419AC" w:rsidP="00F419AC">
      <w:pPr>
        <w:rPr>
          <w:rFonts w:ascii="Garamond" w:hAnsi="Garamond"/>
          <w:sz w:val="20"/>
          <w:szCs w:val="20"/>
        </w:rPr>
      </w:pPr>
      <w:r w:rsidRPr="00BA40B5">
        <w:rPr>
          <w:rFonts w:ascii="Garamond" w:hAnsi="Garamond"/>
          <w:b/>
          <w:bCs/>
          <w:sz w:val="20"/>
          <w:szCs w:val="20"/>
        </w:rPr>
        <w:t xml:space="preserve">Figure 1: </w:t>
      </w:r>
      <w:r w:rsidR="007F797B">
        <w:rPr>
          <w:rFonts w:ascii="Garamond" w:hAnsi="Garamond"/>
          <w:b/>
          <w:bCs/>
          <w:sz w:val="20"/>
          <w:szCs w:val="20"/>
        </w:rPr>
        <w:t xml:space="preserve">Diversity, abundance, and biomass </w:t>
      </w:r>
      <w:r w:rsidR="00BA40B5" w:rsidRPr="00BA40B5">
        <w:rPr>
          <w:rFonts w:ascii="Garamond" w:hAnsi="Garamond"/>
          <w:b/>
          <w:bCs/>
          <w:sz w:val="20"/>
          <w:szCs w:val="20"/>
        </w:rPr>
        <w:t>of cryptobenthic</w:t>
      </w:r>
      <w:r w:rsidR="007F797B">
        <w:rPr>
          <w:rFonts w:ascii="Garamond" w:hAnsi="Garamond"/>
          <w:b/>
          <w:bCs/>
          <w:sz w:val="20"/>
          <w:szCs w:val="20"/>
        </w:rPr>
        <w:t xml:space="preserve"> reef</w:t>
      </w:r>
      <w:r w:rsidR="00BA40B5" w:rsidRPr="00BA40B5">
        <w:rPr>
          <w:rFonts w:ascii="Garamond" w:hAnsi="Garamond"/>
          <w:b/>
          <w:bCs/>
          <w:sz w:val="20"/>
          <w:szCs w:val="20"/>
        </w:rPr>
        <w:t xml:space="preserve"> fishes in the Arabian Gulf </w:t>
      </w:r>
      <w:r w:rsidR="007F797B">
        <w:rPr>
          <w:rFonts w:ascii="Garamond" w:hAnsi="Garamond"/>
          <w:b/>
          <w:bCs/>
          <w:sz w:val="20"/>
          <w:szCs w:val="20"/>
        </w:rPr>
        <w:t xml:space="preserve">(AG) </w:t>
      </w:r>
      <w:r w:rsidR="00BA40B5" w:rsidRPr="00BA40B5">
        <w:rPr>
          <w:rFonts w:ascii="Garamond" w:hAnsi="Garamond"/>
          <w:b/>
          <w:bCs/>
          <w:sz w:val="20"/>
          <w:szCs w:val="20"/>
        </w:rPr>
        <w:t>and Gulf of Oman</w:t>
      </w:r>
      <w:r w:rsidR="007F797B">
        <w:rPr>
          <w:rFonts w:ascii="Garamond" w:hAnsi="Garamond"/>
          <w:b/>
          <w:bCs/>
          <w:sz w:val="20"/>
          <w:szCs w:val="20"/>
        </w:rPr>
        <w:t xml:space="preserve"> (</w:t>
      </w:r>
      <w:proofErr w:type="spellStart"/>
      <w:r w:rsidR="007F797B">
        <w:rPr>
          <w:rFonts w:ascii="Garamond" w:hAnsi="Garamond"/>
          <w:b/>
          <w:bCs/>
          <w:sz w:val="20"/>
          <w:szCs w:val="20"/>
        </w:rPr>
        <w:t>GoO</w:t>
      </w:r>
      <w:proofErr w:type="spellEnd"/>
      <w:r w:rsidR="007F797B">
        <w:rPr>
          <w:rFonts w:ascii="Garamond" w:hAnsi="Garamond"/>
          <w:b/>
          <w:bCs/>
          <w:sz w:val="20"/>
          <w:szCs w:val="20"/>
        </w:rPr>
        <w:t>)</w:t>
      </w:r>
      <w:r w:rsidR="00BA40B5" w:rsidRPr="00BA40B5">
        <w:rPr>
          <w:rFonts w:ascii="Garamond" w:hAnsi="Garamond"/>
          <w:b/>
          <w:bCs/>
          <w:sz w:val="20"/>
          <w:szCs w:val="20"/>
        </w:rPr>
        <w:t xml:space="preserve">. </w:t>
      </w:r>
      <w:r w:rsidR="00BA40B5" w:rsidRPr="00BA40B5">
        <w:rPr>
          <w:rFonts w:ascii="Garamond" w:hAnsi="Garamond"/>
          <w:sz w:val="20"/>
          <w:szCs w:val="20"/>
        </w:rPr>
        <w:t>Density distributions show the predicted posterior density estimates obtained from Bayesian mixed models comparing species richness (a), abundance (b), and biomass (c) among locations, while jittered dots mark raw values for each site.</w:t>
      </w:r>
      <w:r w:rsidR="00BA40B5">
        <w:rPr>
          <w:rFonts w:ascii="Garamond" w:hAnsi="Garamond"/>
          <w:sz w:val="20"/>
          <w:szCs w:val="20"/>
        </w:rPr>
        <w:t xml:space="preserve"> Black </w:t>
      </w:r>
      <w:r w:rsidR="00C07110">
        <w:rPr>
          <w:rFonts w:ascii="Garamond" w:hAnsi="Garamond"/>
          <w:sz w:val="20"/>
          <w:szCs w:val="20"/>
        </w:rPr>
        <w:t>caterpillar plots</w:t>
      </w:r>
      <w:r w:rsidR="00BA40B5">
        <w:rPr>
          <w:rFonts w:ascii="Garamond" w:hAnsi="Garamond"/>
          <w:sz w:val="20"/>
          <w:szCs w:val="20"/>
        </w:rPr>
        <w:t xml:space="preserve"> mark </w:t>
      </w:r>
      <w:proofErr w:type="gramStart"/>
      <w:r w:rsidR="00BA40B5">
        <w:rPr>
          <w:rFonts w:ascii="Garamond" w:hAnsi="Garamond"/>
          <w:sz w:val="20"/>
          <w:szCs w:val="20"/>
        </w:rPr>
        <w:t>mean</w:t>
      </w:r>
      <w:proofErr w:type="gramEnd"/>
      <w:r w:rsidR="00BA40B5">
        <w:rPr>
          <w:rFonts w:ascii="Garamond" w:hAnsi="Garamond"/>
          <w:sz w:val="20"/>
          <w:szCs w:val="20"/>
        </w:rPr>
        <w:t xml:space="preserve"> estimates and their 50% and 95% credible intervals. All three x-axes are</w:t>
      </w:r>
      <w:r w:rsidR="007F797B">
        <w:rPr>
          <w:rFonts w:ascii="Garamond" w:hAnsi="Garamond"/>
          <w:sz w:val="20"/>
          <w:szCs w:val="20"/>
        </w:rPr>
        <w:t xml:space="preserve"> base 10</w:t>
      </w:r>
      <w:r w:rsidR="00BA40B5">
        <w:rPr>
          <w:rFonts w:ascii="Garamond" w:hAnsi="Garamond"/>
          <w:sz w:val="20"/>
          <w:szCs w:val="20"/>
        </w:rPr>
        <w:t xml:space="preserve"> logarithmic. </w:t>
      </w:r>
    </w:p>
    <w:p w14:paraId="1C15D86A" w14:textId="1A7CF1EE" w:rsidR="007F797B" w:rsidRDefault="007F797B" w:rsidP="00F419AC">
      <w:pPr>
        <w:rPr>
          <w:rFonts w:ascii="Garamond" w:hAnsi="Garamond"/>
          <w:sz w:val="20"/>
          <w:szCs w:val="20"/>
        </w:rPr>
      </w:pPr>
      <w:r>
        <w:rPr>
          <w:rFonts w:ascii="Garamond" w:hAnsi="Garamond"/>
          <w:noProof/>
          <w:sz w:val="20"/>
          <w:szCs w:val="20"/>
        </w:rPr>
        <w:lastRenderedPageBreak/>
        <w:drawing>
          <wp:inline distT="0" distB="0" distL="0" distR="0" wp14:anchorId="4659E6E4" wp14:editId="27316758">
            <wp:extent cx="5943600" cy="3962400"/>
            <wp:effectExtent l="0" t="0" r="0" b="0"/>
            <wp:docPr id="8" name="Picture 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2553F42" w14:textId="25AB6D02" w:rsidR="007F797B" w:rsidRDefault="007F797B" w:rsidP="00F419AC">
      <w:pPr>
        <w:rPr>
          <w:rFonts w:ascii="Garamond" w:hAnsi="Garamond"/>
          <w:sz w:val="20"/>
          <w:szCs w:val="20"/>
        </w:rPr>
      </w:pPr>
      <w:r>
        <w:rPr>
          <w:rFonts w:ascii="Garamond" w:hAnsi="Garamond"/>
          <w:b/>
          <w:bCs/>
          <w:sz w:val="20"/>
          <w:szCs w:val="20"/>
        </w:rPr>
        <w:t>Figure 2: Community composition of cryptobenthic reef fish assemblages in the Arabian Gulf (AG) and Gulf of Oman (</w:t>
      </w:r>
      <w:proofErr w:type="spellStart"/>
      <w:r>
        <w:rPr>
          <w:rFonts w:ascii="Garamond" w:hAnsi="Garamond"/>
          <w:b/>
          <w:bCs/>
          <w:sz w:val="20"/>
          <w:szCs w:val="20"/>
        </w:rPr>
        <w:t>GoO</w:t>
      </w:r>
      <w:proofErr w:type="spellEnd"/>
      <w:r>
        <w:rPr>
          <w:rFonts w:ascii="Garamond" w:hAnsi="Garamond"/>
          <w:b/>
          <w:bCs/>
          <w:sz w:val="20"/>
          <w:szCs w:val="20"/>
        </w:rPr>
        <w:t xml:space="preserve">). </w:t>
      </w:r>
      <w:r w:rsidR="003E6605">
        <w:rPr>
          <w:rFonts w:ascii="Garamond" w:hAnsi="Garamond"/>
          <w:sz w:val="20"/>
          <w:szCs w:val="20"/>
        </w:rPr>
        <w:t xml:space="preserve">The biplot shows the results of a non-metric multidimensional scaling ordination derived from the Bray-Curtis dissimilarity matrix of species-specific abundances at each site. Shaded areas mark the convex hull polygons determined by the outermost vertices of both locations. Dots highlight the specific sites at each location. </w:t>
      </w:r>
    </w:p>
    <w:p w14:paraId="3C819EBF" w14:textId="53B3E7FE" w:rsidR="003E6605" w:rsidRDefault="003E6605" w:rsidP="00F419AC">
      <w:pPr>
        <w:rPr>
          <w:rFonts w:ascii="Garamond" w:hAnsi="Garamond"/>
          <w:sz w:val="20"/>
          <w:szCs w:val="20"/>
        </w:rPr>
      </w:pPr>
    </w:p>
    <w:p w14:paraId="37D7D69D" w14:textId="77777777" w:rsidR="003E6605" w:rsidRPr="003E6605" w:rsidRDefault="003E6605" w:rsidP="00F419AC">
      <w:pPr>
        <w:rPr>
          <w:rFonts w:ascii="Garamond" w:hAnsi="Garamond"/>
          <w:sz w:val="20"/>
          <w:szCs w:val="20"/>
        </w:rPr>
      </w:pPr>
    </w:p>
    <w:p w14:paraId="57FA2FF5" w14:textId="25EC86EE" w:rsidR="00B06D9F" w:rsidRDefault="003E6605">
      <w:pPr>
        <w:rPr>
          <w:rFonts w:ascii="Garamond" w:hAnsi="Garamond"/>
        </w:rPr>
      </w:pPr>
      <w:r>
        <w:rPr>
          <w:rFonts w:ascii="Garamond" w:hAnsi="Garamond"/>
          <w:noProof/>
        </w:rPr>
        <w:lastRenderedPageBreak/>
        <w:drawing>
          <wp:inline distT="0" distB="0" distL="0" distR="0" wp14:anchorId="5DA730DF" wp14:editId="579C6571">
            <wp:extent cx="5943600" cy="5200650"/>
            <wp:effectExtent l="0" t="0" r="0" b="635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E011AFE" w14:textId="53521B2E" w:rsidR="003E6605" w:rsidRDefault="003E6605">
      <w:pPr>
        <w:rPr>
          <w:rFonts w:ascii="Garamond" w:hAnsi="Garamond"/>
          <w:sz w:val="20"/>
          <w:szCs w:val="20"/>
        </w:rPr>
      </w:pPr>
      <w:r w:rsidRPr="003E6605">
        <w:rPr>
          <w:rFonts w:ascii="Garamond" w:hAnsi="Garamond"/>
          <w:b/>
          <w:bCs/>
          <w:sz w:val="20"/>
          <w:szCs w:val="20"/>
        </w:rPr>
        <w:t xml:space="preserve">Figure 3: </w:t>
      </w:r>
      <w:r w:rsidR="00C07110">
        <w:rPr>
          <w:rFonts w:ascii="Garamond" w:hAnsi="Garamond"/>
          <w:b/>
          <w:bCs/>
          <w:sz w:val="20"/>
          <w:szCs w:val="20"/>
        </w:rPr>
        <w:t xml:space="preserve">Critical thermal minima (a) and maxima (b) of species in the Arabian Gulf and Gulf of Oman. </w:t>
      </w:r>
      <w:r w:rsidR="00C07110">
        <w:rPr>
          <w:rFonts w:ascii="Garamond" w:hAnsi="Garamond"/>
          <w:sz w:val="20"/>
          <w:szCs w:val="20"/>
        </w:rPr>
        <w:t xml:space="preserve">Density distributions represent the predicted posterior density estimates from Bayesian models comparing thermal limits of species, </w:t>
      </w:r>
      <w:r w:rsidR="00C07110" w:rsidRPr="00BA40B5">
        <w:rPr>
          <w:rFonts w:ascii="Garamond" w:hAnsi="Garamond"/>
          <w:sz w:val="20"/>
          <w:szCs w:val="20"/>
        </w:rPr>
        <w:t xml:space="preserve">while </w:t>
      </w:r>
      <w:commentRangeStart w:id="8"/>
      <w:commentRangeStart w:id="9"/>
      <w:r w:rsidR="00C07110" w:rsidRPr="00BA40B5">
        <w:rPr>
          <w:rFonts w:ascii="Garamond" w:hAnsi="Garamond"/>
          <w:sz w:val="20"/>
          <w:szCs w:val="20"/>
        </w:rPr>
        <w:t xml:space="preserve">jittered dots </w:t>
      </w:r>
      <w:commentRangeEnd w:id="8"/>
      <w:r w:rsidR="00D45018">
        <w:rPr>
          <w:rStyle w:val="CommentReference"/>
        </w:rPr>
        <w:commentReference w:id="8"/>
      </w:r>
      <w:commentRangeEnd w:id="9"/>
      <w:r w:rsidR="00A255C7">
        <w:rPr>
          <w:rStyle w:val="CommentReference"/>
        </w:rPr>
        <w:commentReference w:id="9"/>
      </w:r>
      <w:r w:rsidR="00C07110" w:rsidRPr="00BA40B5">
        <w:rPr>
          <w:rFonts w:ascii="Garamond" w:hAnsi="Garamond"/>
          <w:sz w:val="20"/>
          <w:szCs w:val="20"/>
        </w:rPr>
        <w:t xml:space="preserve">mark raw values for each </w:t>
      </w:r>
      <w:r w:rsidR="00C07110">
        <w:rPr>
          <w:rFonts w:ascii="Garamond" w:hAnsi="Garamond"/>
          <w:sz w:val="20"/>
          <w:szCs w:val="20"/>
        </w:rPr>
        <w:t>population</w:t>
      </w:r>
      <w:r w:rsidR="00C07110" w:rsidRPr="00BA40B5">
        <w:rPr>
          <w:rFonts w:ascii="Garamond" w:hAnsi="Garamond"/>
          <w:sz w:val="20"/>
          <w:szCs w:val="20"/>
        </w:rPr>
        <w:t>.</w:t>
      </w:r>
      <w:r w:rsidR="00C07110">
        <w:rPr>
          <w:rFonts w:ascii="Garamond" w:hAnsi="Garamond"/>
          <w:sz w:val="20"/>
          <w:szCs w:val="20"/>
        </w:rPr>
        <w:t xml:space="preserve"> Black caterpillar plots mark </w:t>
      </w:r>
      <w:proofErr w:type="gramStart"/>
      <w:r w:rsidR="00C07110">
        <w:rPr>
          <w:rFonts w:ascii="Garamond" w:hAnsi="Garamond"/>
          <w:sz w:val="20"/>
          <w:szCs w:val="20"/>
        </w:rPr>
        <w:t>mean</w:t>
      </w:r>
      <w:proofErr w:type="gramEnd"/>
      <w:r w:rsidR="00C07110">
        <w:rPr>
          <w:rFonts w:ascii="Garamond" w:hAnsi="Garamond"/>
          <w:sz w:val="20"/>
          <w:szCs w:val="20"/>
        </w:rPr>
        <w:t xml:space="preserve"> estimates and their 50% and 95% credible intervals. Where 95% credible intervals do not intersect mean estimates, statistically clear differences can be assumed.</w:t>
      </w:r>
    </w:p>
    <w:p w14:paraId="0FE997E5" w14:textId="0F74DA0D" w:rsidR="0064339D" w:rsidRDefault="0064339D">
      <w:pPr>
        <w:rPr>
          <w:rFonts w:ascii="Garamond" w:hAnsi="Garamond"/>
          <w:sz w:val="20"/>
          <w:szCs w:val="20"/>
        </w:rPr>
      </w:pPr>
    </w:p>
    <w:p w14:paraId="10DDDE7F" w14:textId="77777777" w:rsidR="0064339D" w:rsidRPr="00C07110" w:rsidRDefault="0064339D">
      <w:pPr>
        <w:rPr>
          <w:rFonts w:ascii="Garamond" w:hAnsi="Garamond"/>
          <w:sz w:val="20"/>
          <w:szCs w:val="20"/>
        </w:rPr>
      </w:pPr>
    </w:p>
    <w:p w14:paraId="341A3FD4" w14:textId="36E635C9" w:rsidR="00B06D9F" w:rsidRDefault="00C7069C">
      <w:pPr>
        <w:rPr>
          <w:rFonts w:ascii="Garamond" w:hAnsi="Garamond"/>
        </w:rPr>
      </w:pPr>
      <w:r>
        <w:rPr>
          <w:rFonts w:ascii="Garamond" w:hAnsi="Garamond"/>
          <w:noProof/>
        </w:rPr>
        <w:lastRenderedPageBreak/>
        <w:drawing>
          <wp:inline distT="0" distB="0" distL="0" distR="0" wp14:anchorId="38AA3BE2" wp14:editId="3A9F5E60">
            <wp:extent cx="5418667" cy="6502400"/>
            <wp:effectExtent l="0" t="0" r="444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4_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8293" cy="6513952"/>
                    </a:xfrm>
                    <a:prstGeom prst="rect">
                      <a:avLst/>
                    </a:prstGeom>
                  </pic:spPr>
                </pic:pic>
              </a:graphicData>
            </a:graphic>
          </wp:inline>
        </w:drawing>
      </w:r>
    </w:p>
    <w:p w14:paraId="4F5703BE" w14:textId="631B1DE6" w:rsidR="0064339D" w:rsidRPr="00C7069C" w:rsidRDefault="0064339D">
      <w:pPr>
        <w:rPr>
          <w:rFonts w:ascii="Garamond" w:hAnsi="Garamond"/>
          <w:sz w:val="20"/>
          <w:szCs w:val="20"/>
        </w:rPr>
      </w:pPr>
      <w:r w:rsidRPr="00C7069C">
        <w:rPr>
          <w:rFonts w:ascii="Garamond" w:hAnsi="Garamond"/>
          <w:b/>
          <w:bCs/>
          <w:sz w:val="20"/>
          <w:szCs w:val="20"/>
        </w:rPr>
        <w:t xml:space="preserve">Figure 4: Rarefaction </w:t>
      </w:r>
      <w:r w:rsidR="00C7069C" w:rsidRPr="00C7069C">
        <w:rPr>
          <w:rFonts w:ascii="Garamond" w:hAnsi="Garamond"/>
          <w:b/>
          <w:bCs/>
          <w:sz w:val="20"/>
          <w:szCs w:val="20"/>
        </w:rPr>
        <w:t>curves</w:t>
      </w:r>
      <w:r w:rsidRPr="00C7069C">
        <w:rPr>
          <w:rFonts w:ascii="Garamond" w:hAnsi="Garamond"/>
          <w:b/>
          <w:bCs/>
          <w:sz w:val="20"/>
          <w:szCs w:val="20"/>
        </w:rPr>
        <w:t xml:space="preserve"> of OTU and ESV </w:t>
      </w:r>
      <w:r w:rsidR="00C7069C" w:rsidRPr="00C7069C">
        <w:rPr>
          <w:rFonts w:ascii="Garamond" w:hAnsi="Garamond"/>
          <w:b/>
          <w:bCs/>
          <w:sz w:val="20"/>
          <w:szCs w:val="20"/>
        </w:rPr>
        <w:t xml:space="preserve">richness across sequences for six species in the Arabian Gulf (blue) and Gulf of Oman (gold). </w:t>
      </w:r>
      <w:r w:rsidR="00C7069C" w:rsidRPr="00C7069C">
        <w:rPr>
          <w:rFonts w:ascii="Garamond" w:hAnsi="Garamond"/>
          <w:sz w:val="20"/>
          <w:szCs w:val="20"/>
        </w:rPr>
        <w:t xml:space="preserve">OTU curves (a) mark the diversity of unique prey taxa for each species and population as obtained from gut content DNA metabarcoding using COI primers, while ESV curves (b) show the diversity of unique prey taxa for 23S primers. Solid lines indicate interpolated richness, while dashed lines indicate extrapolated richness (to the maximum number of sequences across species). Shaded ribbons indicate 95% confidence intervals of extrapolations. </w:t>
      </w:r>
      <w:commentRangeStart w:id="10"/>
      <w:commentRangeStart w:id="11"/>
      <w:r w:rsidR="00C7069C" w:rsidRPr="00C7069C">
        <w:rPr>
          <w:rFonts w:ascii="Garamond" w:hAnsi="Garamond"/>
          <w:sz w:val="20"/>
          <w:szCs w:val="20"/>
        </w:rPr>
        <w:t xml:space="preserve">ANTESPEA = </w:t>
      </w:r>
      <w:proofErr w:type="spellStart"/>
      <w:r w:rsidR="00C7069C" w:rsidRPr="00C7069C">
        <w:rPr>
          <w:rFonts w:ascii="Garamond" w:hAnsi="Garamond"/>
          <w:i/>
          <w:iCs/>
          <w:sz w:val="20"/>
          <w:szCs w:val="20"/>
        </w:rPr>
        <w:t>Antennablennius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speA</w:t>
      </w:r>
      <w:proofErr w:type="spellEnd"/>
      <w:r w:rsidR="00C7069C" w:rsidRPr="00C7069C">
        <w:rPr>
          <w:rFonts w:ascii="Garamond" w:hAnsi="Garamond"/>
          <w:sz w:val="20"/>
          <w:szCs w:val="20"/>
        </w:rPr>
        <w:t xml:space="preserve">, CORYANOM = </w:t>
      </w:r>
      <w:proofErr w:type="spellStart"/>
      <w:r w:rsidR="00C7069C" w:rsidRPr="00C7069C">
        <w:rPr>
          <w:rFonts w:ascii="Garamond" w:hAnsi="Garamond"/>
          <w:i/>
          <w:iCs/>
          <w:sz w:val="20"/>
          <w:szCs w:val="20"/>
        </w:rPr>
        <w:t>Coryogalops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anomalus</w:t>
      </w:r>
      <w:proofErr w:type="spellEnd"/>
      <w:r w:rsidR="00C7069C" w:rsidRPr="00C7069C">
        <w:rPr>
          <w:rFonts w:ascii="Garamond" w:hAnsi="Garamond"/>
          <w:sz w:val="20"/>
          <w:szCs w:val="20"/>
        </w:rPr>
        <w:t xml:space="preserve">, ECSEPULC = </w:t>
      </w:r>
      <w:proofErr w:type="spellStart"/>
      <w:r w:rsidR="00C7069C" w:rsidRPr="00C7069C">
        <w:rPr>
          <w:rFonts w:ascii="Garamond" w:hAnsi="Garamond"/>
          <w:i/>
          <w:iCs/>
          <w:sz w:val="20"/>
          <w:szCs w:val="20"/>
        </w:rPr>
        <w:t>Ecsenius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pulcher</w:t>
      </w:r>
      <w:proofErr w:type="spellEnd"/>
      <w:r w:rsidR="00C7069C" w:rsidRPr="00C7069C">
        <w:rPr>
          <w:rFonts w:ascii="Garamond" w:hAnsi="Garamond"/>
          <w:sz w:val="20"/>
          <w:szCs w:val="20"/>
        </w:rPr>
        <w:t xml:space="preserve">, ENNEVENT = </w:t>
      </w:r>
      <w:proofErr w:type="spellStart"/>
      <w:r w:rsidR="00C7069C" w:rsidRPr="00C7069C">
        <w:rPr>
          <w:rFonts w:ascii="Garamond" w:hAnsi="Garamond"/>
          <w:i/>
          <w:iCs/>
          <w:sz w:val="20"/>
          <w:szCs w:val="20"/>
        </w:rPr>
        <w:t>Enneapterygius</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ventermaculus</w:t>
      </w:r>
      <w:proofErr w:type="spellEnd"/>
      <w:r w:rsidR="00C7069C" w:rsidRPr="00C7069C">
        <w:rPr>
          <w:rFonts w:ascii="Garamond" w:hAnsi="Garamond"/>
          <w:sz w:val="20"/>
          <w:szCs w:val="20"/>
        </w:rPr>
        <w:t xml:space="preserve">, EVIOGUTT = </w:t>
      </w:r>
      <w:proofErr w:type="spellStart"/>
      <w:r w:rsidR="00C7069C" w:rsidRPr="00C7069C">
        <w:rPr>
          <w:rFonts w:ascii="Garamond" w:hAnsi="Garamond"/>
          <w:i/>
          <w:iCs/>
          <w:sz w:val="20"/>
          <w:szCs w:val="20"/>
        </w:rPr>
        <w:t>Eviota</w:t>
      </w:r>
      <w:proofErr w:type="spellEnd"/>
      <w:r w:rsidR="00C7069C" w:rsidRPr="00C7069C">
        <w:rPr>
          <w:rFonts w:ascii="Garamond" w:hAnsi="Garamond"/>
          <w:i/>
          <w:iCs/>
          <w:sz w:val="20"/>
          <w:szCs w:val="20"/>
        </w:rPr>
        <w:t xml:space="preserve"> </w:t>
      </w:r>
      <w:proofErr w:type="spellStart"/>
      <w:r w:rsidR="00C7069C" w:rsidRPr="00C7069C">
        <w:rPr>
          <w:rFonts w:ascii="Garamond" w:hAnsi="Garamond"/>
          <w:i/>
          <w:iCs/>
          <w:sz w:val="20"/>
          <w:szCs w:val="20"/>
        </w:rPr>
        <w:t>guttata</w:t>
      </w:r>
      <w:proofErr w:type="spellEnd"/>
      <w:r w:rsidR="00C7069C" w:rsidRPr="00C7069C">
        <w:rPr>
          <w:rFonts w:ascii="Garamond" w:hAnsi="Garamond"/>
          <w:sz w:val="20"/>
          <w:szCs w:val="20"/>
        </w:rPr>
        <w:t xml:space="preserve">, HETEVULG = </w:t>
      </w:r>
      <w:proofErr w:type="spellStart"/>
      <w:r w:rsidR="00C7069C" w:rsidRPr="00C7069C">
        <w:rPr>
          <w:rFonts w:ascii="Garamond" w:hAnsi="Garamond"/>
          <w:i/>
          <w:iCs/>
          <w:sz w:val="20"/>
          <w:szCs w:val="20"/>
        </w:rPr>
        <w:t>Hetereleotris</w:t>
      </w:r>
      <w:proofErr w:type="spellEnd"/>
      <w:r w:rsidR="00C7069C" w:rsidRPr="00C7069C">
        <w:rPr>
          <w:rFonts w:ascii="Garamond" w:hAnsi="Garamond"/>
          <w:i/>
          <w:iCs/>
          <w:sz w:val="20"/>
          <w:szCs w:val="20"/>
        </w:rPr>
        <w:t xml:space="preserve"> vulgaris</w:t>
      </w:r>
      <w:r w:rsidR="00C7069C" w:rsidRPr="00C7069C">
        <w:rPr>
          <w:rFonts w:ascii="Garamond" w:hAnsi="Garamond"/>
          <w:sz w:val="20"/>
          <w:szCs w:val="20"/>
        </w:rPr>
        <w:t>.</w:t>
      </w:r>
      <w:commentRangeEnd w:id="10"/>
      <w:r w:rsidR="00D45018">
        <w:rPr>
          <w:rStyle w:val="CommentReference"/>
        </w:rPr>
        <w:commentReference w:id="10"/>
      </w:r>
      <w:commentRangeEnd w:id="11"/>
      <w:r w:rsidR="00A255C7">
        <w:rPr>
          <w:rStyle w:val="CommentReference"/>
        </w:rPr>
        <w:commentReference w:id="11"/>
      </w:r>
    </w:p>
    <w:p w14:paraId="2256D946" w14:textId="78DA084D" w:rsidR="00C7069C" w:rsidRDefault="00C7069C">
      <w:pPr>
        <w:rPr>
          <w:rFonts w:ascii="Garamond" w:hAnsi="Garamond"/>
        </w:rPr>
      </w:pPr>
    </w:p>
    <w:p w14:paraId="363C82B8" w14:textId="6360197A" w:rsidR="00601477" w:rsidRDefault="00C7069C" w:rsidP="00601477">
      <w:pPr>
        <w:rPr>
          <w:rFonts w:ascii="Garamond" w:hAnsi="Garamond"/>
          <w:sz w:val="20"/>
          <w:szCs w:val="20"/>
        </w:rPr>
      </w:pPr>
      <w:commentRangeStart w:id="12"/>
      <w:commentRangeStart w:id="13"/>
      <w:r w:rsidRPr="00601477">
        <w:rPr>
          <w:rFonts w:ascii="Garamond" w:hAnsi="Garamond"/>
          <w:noProof/>
          <w:sz w:val="20"/>
          <w:szCs w:val="20"/>
        </w:rPr>
        <w:lastRenderedPageBreak/>
        <w:drawing>
          <wp:anchor distT="0" distB="0" distL="114300" distR="114300" simplePos="0" relativeHeight="251658240" behindDoc="0" locked="0" layoutInCell="1" allowOverlap="1" wp14:anchorId="7F4BCF94" wp14:editId="3B6DD2B8">
            <wp:simplePos x="0" y="0"/>
            <wp:positionH relativeFrom="column">
              <wp:posOffset>0</wp:posOffset>
            </wp:positionH>
            <wp:positionV relativeFrom="paragraph">
              <wp:posOffset>0</wp:posOffset>
            </wp:positionV>
            <wp:extent cx="4165600" cy="746506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_M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5600" cy="7465060"/>
                    </a:xfrm>
                    <a:prstGeom prst="rect">
                      <a:avLst/>
                    </a:prstGeom>
                  </pic:spPr>
                </pic:pic>
              </a:graphicData>
            </a:graphic>
            <wp14:sizeRelH relativeFrom="page">
              <wp14:pctWidth>0</wp14:pctWidth>
            </wp14:sizeRelH>
            <wp14:sizeRelV relativeFrom="page">
              <wp14:pctHeight>0</wp14:pctHeight>
            </wp14:sizeRelV>
          </wp:anchor>
        </w:drawing>
      </w:r>
      <w:commentRangeEnd w:id="12"/>
      <w:r w:rsidR="00817417">
        <w:rPr>
          <w:rStyle w:val="CommentReference"/>
        </w:rPr>
        <w:commentReference w:id="12"/>
      </w:r>
      <w:commentRangeEnd w:id="13"/>
      <w:r w:rsidR="00A255C7">
        <w:rPr>
          <w:rStyle w:val="CommentReference"/>
        </w:rPr>
        <w:commentReference w:id="13"/>
      </w:r>
      <w:r w:rsidR="00601477" w:rsidRPr="00601477">
        <w:rPr>
          <w:rFonts w:ascii="Garamond" w:hAnsi="Garamond"/>
          <w:b/>
          <w:bCs/>
          <w:sz w:val="20"/>
          <w:szCs w:val="20"/>
        </w:rPr>
        <w:t xml:space="preserve">Figure 5: </w:t>
      </w:r>
      <w:r w:rsidR="00601477">
        <w:rPr>
          <w:rFonts w:ascii="Garamond" w:hAnsi="Garamond"/>
          <w:b/>
          <w:bCs/>
          <w:sz w:val="20"/>
          <w:szCs w:val="20"/>
        </w:rPr>
        <w:t xml:space="preserve">Network plots showing differences in diets for three species across the two locations. </w:t>
      </w:r>
      <w:r w:rsidR="00601477">
        <w:rPr>
          <w:rFonts w:ascii="Garamond" w:hAnsi="Garamond"/>
          <w:sz w:val="20"/>
          <w:szCs w:val="20"/>
        </w:rPr>
        <w:t xml:space="preserve">Blue symbols are </w:t>
      </w:r>
      <w:commentRangeStart w:id="14"/>
      <w:commentRangeStart w:id="15"/>
      <w:r w:rsidR="00601477">
        <w:rPr>
          <w:rFonts w:ascii="Garamond" w:hAnsi="Garamond"/>
          <w:sz w:val="20"/>
          <w:szCs w:val="20"/>
        </w:rPr>
        <w:t xml:space="preserve">prey items </w:t>
      </w:r>
      <w:commentRangeEnd w:id="14"/>
      <w:r w:rsidR="00817417">
        <w:rPr>
          <w:rStyle w:val="CommentReference"/>
        </w:rPr>
        <w:commentReference w:id="14"/>
      </w:r>
      <w:commentRangeEnd w:id="15"/>
      <w:r w:rsidR="00A255C7">
        <w:rPr>
          <w:rStyle w:val="CommentReference"/>
        </w:rPr>
        <w:commentReference w:id="15"/>
      </w:r>
      <w:r w:rsidR="00601477">
        <w:rPr>
          <w:rFonts w:ascii="Garamond" w:hAnsi="Garamond"/>
          <w:sz w:val="20"/>
          <w:szCs w:val="20"/>
        </w:rPr>
        <w:t xml:space="preserve">(small symbols) and host specimens (large symbols) from the Arabian Gulf, while orange symbols are from the Gulf of Oman. Small grey symbols mark prey items shared across both locations. Both COI (a) and 23s (b) networks exhibit clear modularity, with the groups corresponding to the two different locations. </w:t>
      </w:r>
    </w:p>
    <w:p w14:paraId="772BB8DE" w14:textId="42001737" w:rsidR="00601477" w:rsidRDefault="00601477" w:rsidP="00601477">
      <w:pPr>
        <w:rPr>
          <w:rFonts w:ascii="Garamond" w:hAnsi="Garamond"/>
          <w:sz w:val="20"/>
          <w:szCs w:val="20"/>
        </w:rPr>
      </w:pPr>
      <w:r>
        <w:rPr>
          <w:rFonts w:ascii="Garamond" w:hAnsi="Garamond"/>
          <w:sz w:val="20"/>
          <w:szCs w:val="20"/>
        </w:rPr>
        <w:br w:type="page"/>
      </w:r>
    </w:p>
    <w:p w14:paraId="1887828F" w14:textId="5A82491B" w:rsidR="00601477" w:rsidRPr="00F07907" w:rsidRDefault="00A255C7" w:rsidP="00601477">
      <w:pPr>
        <w:rPr>
          <w:rFonts w:ascii="Garamond" w:hAnsi="Garamond"/>
          <w:sz w:val="20"/>
          <w:szCs w:val="20"/>
        </w:rPr>
      </w:pPr>
      <w:r>
        <w:rPr>
          <w:rFonts w:ascii="Garamond" w:hAnsi="Garamond"/>
          <w:noProof/>
          <w:sz w:val="20"/>
          <w:szCs w:val="20"/>
        </w:rPr>
        <w:lastRenderedPageBreak/>
        <w:drawing>
          <wp:anchor distT="0" distB="0" distL="114300" distR="114300" simplePos="0" relativeHeight="251659264" behindDoc="0" locked="0" layoutInCell="1" allowOverlap="1" wp14:anchorId="2F291437" wp14:editId="6E5EEB6E">
            <wp:simplePos x="0" y="0"/>
            <wp:positionH relativeFrom="column">
              <wp:posOffset>-30480</wp:posOffset>
            </wp:positionH>
            <wp:positionV relativeFrom="paragraph">
              <wp:posOffset>0</wp:posOffset>
            </wp:positionV>
            <wp:extent cx="4114800" cy="8229600"/>
            <wp:effectExtent l="0" t="0" r="0" b="0"/>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6_MS.png"/>
                    <pic:cNvPicPr/>
                  </pic:nvPicPr>
                  <pic:blipFill>
                    <a:blip r:embed="rId13">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14:sizeRelH relativeFrom="page">
              <wp14:pctWidth>0</wp14:pctWidth>
            </wp14:sizeRelH>
            <wp14:sizeRelV relativeFrom="page">
              <wp14:pctHeight>0</wp14:pctHeight>
            </wp14:sizeRelV>
          </wp:anchor>
        </w:drawing>
      </w:r>
      <w:r w:rsidR="00601477">
        <w:rPr>
          <w:rFonts w:ascii="Garamond" w:hAnsi="Garamond"/>
          <w:b/>
          <w:bCs/>
          <w:sz w:val="20"/>
          <w:szCs w:val="20"/>
        </w:rPr>
        <w:t>F</w:t>
      </w:r>
      <w:r w:rsidR="00601477" w:rsidRPr="00601477">
        <w:rPr>
          <w:rFonts w:ascii="Garamond" w:hAnsi="Garamond"/>
          <w:b/>
          <w:bCs/>
          <w:sz w:val="20"/>
          <w:szCs w:val="20"/>
        </w:rPr>
        <w:t xml:space="preserve">igure </w:t>
      </w:r>
      <w:r w:rsidR="00601477">
        <w:rPr>
          <w:rFonts w:ascii="Garamond" w:hAnsi="Garamond"/>
          <w:b/>
          <w:bCs/>
          <w:sz w:val="20"/>
          <w:szCs w:val="20"/>
        </w:rPr>
        <w:t>6</w:t>
      </w:r>
      <w:r w:rsidR="00601477" w:rsidRPr="00601477">
        <w:rPr>
          <w:rFonts w:ascii="Garamond" w:hAnsi="Garamond"/>
          <w:b/>
          <w:bCs/>
          <w:sz w:val="20"/>
          <w:szCs w:val="20"/>
        </w:rPr>
        <w:t xml:space="preserve">: </w:t>
      </w:r>
      <w:r w:rsidR="00601477">
        <w:rPr>
          <w:rFonts w:ascii="Garamond" w:hAnsi="Garamond"/>
          <w:b/>
          <w:bCs/>
          <w:sz w:val="20"/>
          <w:szCs w:val="20"/>
        </w:rPr>
        <w:t xml:space="preserve">Relationships between total length (TL) and body weight </w:t>
      </w:r>
      <w:r w:rsidR="00F07907">
        <w:rPr>
          <w:rFonts w:ascii="Garamond" w:hAnsi="Garamond"/>
          <w:b/>
          <w:bCs/>
          <w:sz w:val="20"/>
          <w:szCs w:val="20"/>
        </w:rPr>
        <w:t xml:space="preserve">in populations of </w:t>
      </w:r>
      <w:proofErr w:type="spellStart"/>
      <w:r w:rsidR="00F07907">
        <w:rPr>
          <w:rFonts w:ascii="Garamond" w:hAnsi="Garamond"/>
          <w:b/>
          <w:bCs/>
          <w:i/>
          <w:iCs/>
          <w:sz w:val="20"/>
          <w:szCs w:val="20"/>
        </w:rPr>
        <w:t>Enneapterygius</w:t>
      </w:r>
      <w:proofErr w:type="spellEnd"/>
      <w:r w:rsidR="00F07907">
        <w:rPr>
          <w:rFonts w:ascii="Garamond" w:hAnsi="Garamond"/>
          <w:b/>
          <w:bCs/>
          <w:i/>
          <w:iCs/>
          <w:sz w:val="20"/>
          <w:szCs w:val="20"/>
        </w:rPr>
        <w:t xml:space="preserve"> </w:t>
      </w:r>
      <w:proofErr w:type="spellStart"/>
      <w:r w:rsidR="00F07907">
        <w:rPr>
          <w:rFonts w:ascii="Garamond" w:hAnsi="Garamond"/>
          <w:b/>
          <w:bCs/>
          <w:i/>
          <w:iCs/>
          <w:sz w:val="20"/>
          <w:szCs w:val="20"/>
        </w:rPr>
        <w:t>ventermaculus</w:t>
      </w:r>
      <w:proofErr w:type="spellEnd"/>
      <w:r w:rsidR="00F07907">
        <w:rPr>
          <w:rFonts w:ascii="Garamond" w:hAnsi="Garamond"/>
          <w:b/>
          <w:bCs/>
          <w:i/>
          <w:iCs/>
          <w:sz w:val="20"/>
          <w:szCs w:val="20"/>
        </w:rPr>
        <w:t xml:space="preserve"> </w:t>
      </w:r>
      <w:r w:rsidR="00F07907">
        <w:rPr>
          <w:rFonts w:ascii="Garamond" w:hAnsi="Garamond"/>
          <w:b/>
          <w:bCs/>
          <w:sz w:val="20"/>
          <w:szCs w:val="20"/>
        </w:rPr>
        <w:t>(a)</w:t>
      </w:r>
      <w:r>
        <w:rPr>
          <w:rFonts w:ascii="Garamond" w:hAnsi="Garamond"/>
          <w:b/>
          <w:bCs/>
          <w:sz w:val="20"/>
          <w:szCs w:val="20"/>
        </w:rPr>
        <w:t>,</w:t>
      </w:r>
      <w:r w:rsidR="00F07907">
        <w:rPr>
          <w:rFonts w:ascii="Garamond" w:hAnsi="Garamond"/>
          <w:b/>
          <w:bCs/>
          <w:sz w:val="20"/>
          <w:szCs w:val="20"/>
        </w:rPr>
        <w:t xml:space="preserve"> </w:t>
      </w:r>
      <w:proofErr w:type="spellStart"/>
      <w:r w:rsidR="00F07907">
        <w:rPr>
          <w:rFonts w:ascii="Garamond" w:hAnsi="Garamond"/>
          <w:b/>
          <w:bCs/>
          <w:i/>
          <w:iCs/>
          <w:sz w:val="20"/>
          <w:szCs w:val="20"/>
        </w:rPr>
        <w:t>Coryogalops</w:t>
      </w:r>
      <w:proofErr w:type="spellEnd"/>
      <w:r w:rsidR="00F07907">
        <w:rPr>
          <w:rFonts w:ascii="Garamond" w:hAnsi="Garamond"/>
          <w:b/>
          <w:bCs/>
          <w:i/>
          <w:iCs/>
          <w:sz w:val="20"/>
          <w:szCs w:val="20"/>
        </w:rPr>
        <w:t xml:space="preserve"> </w:t>
      </w:r>
      <w:proofErr w:type="spellStart"/>
      <w:r w:rsidR="00F07907">
        <w:rPr>
          <w:rFonts w:ascii="Garamond" w:hAnsi="Garamond"/>
          <w:b/>
          <w:bCs/>
          <w:i/>
          <w:iCs/>
          <w:sz w:val="20"/>
          <w:szCs w:val="20"/>
        </w:rPr>
        <w:t>anomalus</w:t>
      </w:r>
      <w:proofErr w:type="spellEnd"/>
      <w:r w:rsidR="00F07907">
        <w:rPr>
          <w:rFonts w:ascii="Garamond" w:hAnsi="Garamond"/>
          <w:b/>
          <w:bCs/>
          <w:i/>
          <w:iCs/>
          <w:sz w:val="20"/>
          <w:szCs w:val="20"/>
        </w:rPr>
        <w:t xml:space="preserve"> </w:t>
      </w:r>
      <w:r w:rsidR="00F07907">
        <w:rPr>
          <w:rFonts w:ascii="Garamond" w:hAnsi="Garamond"/>
          <w:b/>
          <w:bCs/>
          <w:sz w:val="20"/>
          <w:szCs w:val="20"/>
        </w:rPr>
        <w:t>(b)</w:t>
      </w:r>
      <w:r>
        <w:rPr>
          <w:rFonts w:ascii="Garamond" w:hAnsi="Garamond"/>
          <w:b/>
          <w:bCs/>
          <w:sz w:val="20"/>
          <w:szCs w:val="20"/>
        </w:rPr>
        <w:t xml:space="preserve">, and </w:t>
      </w:r>
      <w:proofErr w:type="spellStart"/>
      <w:r>
        <w:rPr>
          <w:rFonts w:ascii="Garamond" w:hAnsi="Garamond"/>
          <w:b/>
          <w:bCs/>
          <w:i/>
          <w:iCs/>
          <w:sz w:val="20"/>
          <w:szCs w:val="20"/>
        </w:rPr>
        <w:t>Ecsenius</w:t>
      </w:r>
      <w:proofErr w:type="spellEnd"/>
      <w:r>
        <w:rPr>
          <w:rFonts w:ascii="Garamond" w:hAnsi="Garamond"/>
          <w:b/>
          <w:bCs/>
          <w:i/>
          <w:iCs/>
          <w:sz w:val="20"/>
          <w:szCs w:val="20"/>
        </w:rPr>
        <w:t xml:space="preserve"> </w:t>
      </w:r>
      <w:proofErr w:type="spellStart"/>
      <w:r>
        <w:rPr>
          <w:rFonts w:ascii="Garamond" w:hAnsi="Garamond"/>
          <w:b/>
          <w:bCs/>
          <w:i/>
          <w:iCs/>
          <w:sz w:val="20"/>
          <w:szCs w:val="20"/>
        </w:rPr>
        <w:t>pulcher</w:t>
      </w:r>
      <w:proofErr w:type="spellEnd"/>
      <w:r>
        <w:rPr>
          <w:rFonts w:ascii="Garamond" w:hAnsi="Garamond"/>
          <w:b/>
          <w:bCs/>
          <w:i/>
          <w:iCs/>
          <w:sz w:val="20"/>
          <w:szCs w:val="20"/>
        </w:rPr>
        <w:t xml:space="preserve"> </w:t>
      </w:r>
      <w:r>
        <w:rPr>
          <w:rFonts w:ascii="Garamond" w:hAnsi="Garamond"/>
          <w:b/>
          <w:bCs/>
          <w:sz w:val="20"/>
          <w:szCs w:val="20"/>
        </w:rPr>
        <w:t>(c)</w:t>
      </w:r>
      <w:bookmarkStart w:id="16" w:name="_GoBack"/>
      <w:bookmarkEnd w:id="16"/>
      <w:r w:rsidR="00F07907">
        <w:rPr>
          <w:rFonts w:ascii="Garamond" w:hAnsi="Garamond"/>
          <w:b/>
          <w:bCs/>
          <w:sz w:val="20"/>
          <w:szCs w:val="20"/>
        </w:rPr>
        <w:t xml:space="preserve"> in the Arabian Gulf (blue) and Gulf of Oman (gold). </w:t>
      </w:r>
      <w:r w:rsidR="00F07907" w:rsidRPr="00F07907">
        <w:rPr>
          <w:rFonts w:ascii="Garamond" w:hAnsi="Garamond"/>
          <w:sz w:val="20"/>
          <w:szCs w:val="20"/>
        </w:rPr>
        <w:t xml:space="preserve">Lines represent fitted values from 500 separate draws based on the posterior parameters from a Bayesian model </w:t>
      </w:r>
      <w:r w:rsidR="00F07907">
        <w:rPr>
          <w:rFonts w:ascii="Garamond" w:hAnsi="Garamond"/>
          <w:sz w:val="20"/>
          <w:szCs w:val="20"/>
        </w:rPr>
        <w:t xml:space="preserve">regressing length against weight. Diamonds represent raw values for individual fishes. </w:t>
      </w:r>
    </w:p>
    <w:p w14:paraId="21A858CE" w14:textId="7345103D" w:rsidR="00601477" w:rsidRDefault="00601477" w:rsidP="00601477">
      <w:pPr>
        <w:rPr>
          <w:rFonts w:ascii="Garamond" w:hAnsi="Garamond"/>
          <w:sz w:val="20"/>
          <w:szCs w:val="20"/>
        </w:rPr>
      </w:pPr>
    </w:p>
    <w:p w14:paraId="65DE254B" w14:textId="5FC2406A" w:rsidR="00601477" w:rsidRPr="00601477" w:rsidRDefault="00601477">
      <w:pPr>
        <w:rPr>
          <w:rFonts w:ascii="Garamond" w:hAnsi="Garamond"/>
          <w:sz w:val="20"/>
          <w:szCs w:val="20"/>
        </w:rPr>
      </w:pPr>
    </w:p>
    <w:sectPr w:rsidR="00601477" w:rsidRPr="00601477" w:rsidSect="00C55EC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10-27T10:49:00Z" w:initials="MOU">
    <w:p w14:paraId="6F2C7602" w14:textId="527011B0" w:rsidR="00D45018" w:rsidRDefault="00D45018">
      <w:pPr>
        <w:pStyle w:val="CommentText"/>
      </w:pPr>
      <w:r>
        <w:rPr>
          <w:rStyle w:val="CommentReference"/>
        </w:rPr>
        <w:annotationRef/>
      </w:r>
      <w:r>
        <w:t xml:space="preserve">Where and how should we work in dietary differences?  Physiological tolerances of prey items can lead to bottom up changes in cryptos?  Or talk about if physiological tolerances cause some species of cryptos to drop out, then we expect niches to expand in others?  What’s our angle here?  </w:t>
      </w:r>
    </w:p>
  </w:comment>
  <w:comment w:id="1" w:author="Simon Brandl" w:date="2019-11-11T14:03:00Z" w:initials="SB">
    <w:p w14:paraId="2FECD656" w14:textId="605C8728" w:rsidR="00A255C7" w:rsidRDefault="00A255C7">
      <w:pPr>
        <w:pStyle w:val="CommentText"/>
      </w:pPr>
      <w:r>
        <w:rPr>
          <w:rStyle w:val="CommentReference"/>
        </w:rPr>
        <w:annotationRef/>
      </w:r>
      <w:r>
        <w:t xml:space="preserve">I would pitch the diet stuff as an unexpected explanation rather than an a priori expectation – hence the setup here. </w:t>
      </w:r>
    </w:p>
  </w:comment>
  <w:comment w:id="2" w:author="Microsoft Office User" w:date="2019-10-27T10:43:00Z" w:initials="MOU">
    <w:p w14:paraId="523071EB" w14:textId="52793122" w:rsidR="00D45018" w:rsidRDefault="00D45018">
      <w:pPr>
        <w:pStyle w:val="CommentText"/>
      </w:pPr>
      <w:r>
        <w:rPr>
          <w:rStyle w:val="CommentReference"/>
        </w:rPr>
        <w:annotationRef/>
      </w:r>
      <w:proofErr w:type="spellStart"/>
      <w:r>
        <w:t>M</w:t>
      </w:r>
      <w:proofErr w:type="spellEnd"/>
      <w:r>
        <w:t xml:space="preserve">aybe limited mobility too, cannot escape short term extremes. </w:t>
      </w:r>
    </w:p>
  </w:comment>
  <w:comment w:id="3" w:author="Simon Brandl" w:date="2019-11-11T14:03:00Z" w:initials="SB">
    <w:p w14:paraId="58B9E338" w14:textId="63793A42" w:rsidR="00A255C7" w:rsidRDefault="00A255C7">
      <w:pPr>
        <w:pStyle w:val="CommentText"/>
      </w:pPr>
      <w:r>
        <w:rPr>
          <w:rStyle w:val="CommentReference"/>
        </w:rPr>
        <w:annotationRef/>
      </w:r>
      <w:r>
        <w:t>Very good point!!</w:t>
      </w:r>
    </w:p>
  </w:comment>
  <w:comment w:id="4" w:author="Microsoft Office User" w:date="2019-10-27T10:44:00Z" w:initials="MOU">
    <w:p w14:paraId="0E5ED48C" w14:textId="0DF445F5" w:rsidR="00D45018" w:rsidRDefault="00D45018">
      <w:pPr>
        <w:pStyle w:val="CommentText"/>
      </w:pPr>
      <w:r>
        <w:rPr>
          <w:rStyle w:val="CommentReference"/>
        </w:rPr>
        <w:annotationRef/>
      </w:r>
      <w:r>
        <w:t>I think we should have a paragraph about the Gulf of Oman and Arabian Gulf, specifically before we get to the hypothesis paragraph.  The latter is a unique and extreme environment, but also has an interesting geological/</w:t>
      </w:r>
      <w:proofErr w:type="spellStart"/>
      <w:r>
        <w:t>paleoceanographic</w:t>
      </w:r>
      <w:proofErr w:type="spellEnd"/>
      <w:r>
        <w:t xml:space="preserve"> history.  I’m fairly certain there have been some studies on the larger fish communities as a whole across these two, and we should at least set ourselves up for alternative explanations why crypto communities might differ, besides physiological tolerances. </w:t>
      </w:r>
    </w:p>
  </w:comment>
  <w:comment w:id="5" w:author="Simon Brandl" w:date="2019-11-11T14:04:00Z" w:initials="SB">
    <w:p w14:paraId="3CBCF342" w14:textId="3767157E" w:rsidR="00A255C7" w:rsidRDefault="00A255C7">
      <w:pPr>
        <w:pStyle w:val="CommentText"/>
      </w:pPr>
      <w:r>
        <w:rPr>
          <w:rStyle w:val="CommentReference"/>
        </w:rPr>
        <w:annotationRef/>
      </w:r>
      <w:r>
        <w:t>Completely agree. Scope of this paragraph will depend on target journal.</w:t>
      </w:r>
    </w:p>
  </w:comment>
  <w:comment w:id="6" w:author="Microsoft Office User" w:date="2019-10-27T10:51:00Z" w:initials="MOU">
    <w:p w14:paraId="306378E9" w14:textId="5922F685" w:rsidR="00D45018" w:rsidRDefault="00D45018">
      <w:pPr>
        <w:pStyle w:val="CommentText"/>
      </w:pPr>
      <w:r>
        <w:rPr>
          <w:rStyle w:val="CommentReference"/>
        </w:rPr>
        <w:annotationRef/>
      </w:r>
      <w:r>
        <w:t xml:space="preserve">Is this true?   Are diets very different and body condition reflects this?  I see below for Cory and </w:t>
      </w:r>
      <w:proofErr w:type="spellStart"/>
      <w:r>
        <w:t>triplefin</w:t>
      </w:r>
      <w:proofErr w:type="spellEnd"/>
      <w:r>
        <w:t xml:space="preserve"> – what about </w:t>
      </w:r>
      <w:proofErr w:type="spellStart"/>
      <w:r>
        <w:t>pulcher</w:t>
      </w:r>
      <w:proofErr w:type="spellEnd"/>
      <w:r>
        <w:t>?  Is there other evidence for this in previous studies, i.e. size differences in P-macs?</w:t>
      </w:r>
    </w:p>
  </w:comment>
  <w:comment w:id="7" w:author="Simon Brandl" w:date="2019-11-11T14:04:00Z" w:initials="SB">
    <w:p w14:paraId="08B06622" w14:textId="7A9124B6" w:rsidR="00A255C7" w:rsidRDefault="00A255C7">
      <w:pPr>
        <w:pStyle w:val="CommentText"/>
      </w:pPr>
      <w:r>
        <w:rPr>
          <w:rStyle w:val="CommentReference"/>
        </w:rPr>
        <w:annotationRef/>
      </w:r>
      <w:r>
        <w:t xml:space="preserve">Yup, seems true and consistent. Added E. </w:t>
      </w:r>
      <w:proofErr w:type="spellStart"/>
      <w:r>
        <w:t>pulcher</w:t>
      </w:r>
      <w:proofErr w:type="spellEnd"/>
      <w:r>
        <w:t xml:space="preserve"> from the </w:t>
      </w:r>
      <w:proofErr w:type="spellStart"/>
      <w:r>
        <w:t>ct</w:t>
      </w:r>
      <w:proofErr w:type="spellEnd"/>
      <w:r>
        <w:t xml:space="preserve">-trials to the analyses and shows the same result – fatter fish in the </w:t>
      </w:r>
      <w:proofErr w:type="spellStart"/>
      <w:r>
        <w:t>GoO</w:t>
      </w:r>
      <w:proofErr w:type="spellEnd"/>
      <w:r>
        <w:t xml:space="preserve"> </w:t>
      </w:r>
    </w:p>
  </w:comment>
  <w:comment w:id="8" w:author="Microsoft Office User" w:date="2019-10-27T10:56:00Z" w:initials="MOU">
    <w:p w14:paraId="2D58428E" w14:textId="3656AEE1" w:rsidR="00D45018" w:rsidRDefault="00D45018">
      <w:pPr>
        <w:pStyle w:val="CommentText"/>
      </w:pPr>
      <w:r>
        <w:rPr>
          <w:rStyle w:val="CommentReference"/>
        </w:rPr>
        <w:annotationRef/>
      </w:r>
      <w:r>
        <w:t xml:space="preserve">Jittered dots?  </w:t>
      </w:r>
      <w:proofErr w:type="gramStart"/>
      <w:r>
        <w:t>Also</w:t>
      </w:r>
      <w:proofErr w:type="gramEnd"/>
      <w:r>
        <w:t xml:space="preserve"> a </w:t>
      </w:r>
      <w:proofErr w:type="spellStart"/>
      <w:r>
        <w:t>it</w:t>
      </w:r>
      <w:proofErr w:type="spellEnd"/>
      <w:r>
        <w:t xml:space="preserve"> hard to see overlap in Cis. Can we visual this differently?  Maybe blue/yellow bars with black outlines, slightly offset from each other vertically? </w:t>
      </w:r>
      <w:r>
        <w:br/>
        <w:t>Do any not overlap?  Maybe just easier to stick an asterisk on the ones where the Cis overlap?</w:t>
      </w:r>
    </w:p>
  </w:comment>
  <w:comment w:id="9" w:author="Simon Brandl" w:date="2019-11-11T14:05:00Z" w:initials="SB">
    <w:p w14:paraId="2D3A53CD" w14:textId="3E7D7BD7" w:rsidR="00A255C7" w:rsidRPr="00A255C7" w:rsidRDefault="00A255C7">
      <w:pPr>
        <w:pStyle w:val="CommentText"/>
        <w:rPr>
          <w:i/>
          <w:iCs/>
        </w:rPr>
      </w:pPr>
      <w:r>
        <w:rPr>
          <w:rStyle w:val="CommentReference"/>
        </w:rPr>
        <w:annotationRef/>
      </w:r>
      <w:proofErr w:type="spellStart"/>
      <w:r>
        <w:t>Mhmn</w:t>
      </w:r>
      <w:proofErr w:type="spellEnd"/>
      <w:r>
        <w:t xml:space="preserve">, not sure I completely understand what you’re suggesting Luke. Totally open to alternative visualizations, but the key here is that we’re looking at “species” effects only from a </w:t>
      </w:r>
      <w:proofErr w:type="spellStart"/>
      <w:r>
        <w:t>modelinbg</w:t>
      </w:r>
      <w:proofErr w:type="spellEnd"/>
      <w:r>
        <w:t xml:space="preserve"> perspective without any formal pairwise comparisons (which makes any indication of which species overlap and which don’t difficult to achieve, unless we want to provide a supplemental table). I think the main message is simply that the Top-3 species (that occur on both sides) all show some broad overlap with the bottom-3. Is this apparent? Any other ideas?</w:t>
      </w:r>
    </w:p>
  </w:comment>
  <w:comment w:id="10" w:author="Microsoft Office User" w:date="2019-10-27T10:59:00Z" w:initials="MOU">
    <w:p w14:paraId="367FC182" w14:textId="7861F7EF" w:rsidR="00D45018" w:rsidRDefault="00D45018">
      <w:pPr>
        <w:pStyle w:val="CommentText"/>
      </w:pPr>
      <w:r>
        <w:rPr>
          <w:rStyle w:val="CommentReference"/>
        </w:rPr>
        <w:annotationRef/>
      </w:r>
      <w:r>
        <w:t xml:space="preserve">Just replace the titles with the actual names. Or abbreviate genus.  C. anomalous, Ec. </w:t>
      </w:r>
      <w:proofErr w:type="spellStart"/>
      <w:r>
        <w:t>pulcher</w:t>
      </w:r>
      <w:proofErr w:type="spellEnd"/>
      <w:r>
        <w:t xml:space="preserve">, </w:t>
      </w:r>
      <w:proofErr w:type="spellStart"/>
      <w:r>
        <w:t>Ev</w:t>
      </w:r>
      <w:proofErr w:type="spellEnd"/>
      <w:r>
        <w:t xml:space="preserve">. </w:t>
      </w:r>
      <w:proofErr w:type="spellStart"/>
      <w:r>
        <w:t>guttata</w:t>
      </w:r>
      <w:proofErr w:type="spellEnd"/>
      <w:r>
        <w:t>, etc.</w:t>
      </w:r>
    </w:p>
  </w:comment>
  <w:comment w:id="11" w:author="Simon Brandl" w:date="2019-11-11T14:08:00Z" w:initials="SB">
    <w:p w14:paraId="6F04AF42" w14:textId="2E981FAF" w:rsidR="00A255C7" w:rsidRDefault="00A255C7">
      <w:pPr>
        <w:pStyle w:val="CommentText"/>
      </w:pPr>
      <w:r>
        <w:rPr>
          <w:rStyle w:val="CommentReference"/>
        </w:rPr>
        <w:annotationRef/>
      </w:r>
      <w:r>
        <w:t xml:space="preserve">Yup agreed, it was just the way the data was set up and I was too lazy to fix it… ;-)  but will move the whole thing to </w:t>
      </w:r>
      <w:proofErr w:type="gramStart"/>
      <w:r>
        <w:t>supplemental</w:t>
      </w:r>
      <w:proofErr w:type="gramEnd"/>
      <w:r>
        <w:t xml:space="preserve"> I think.</w:t>
      </w:r>
    </w:p>
  </w:comment>
  <w:comment w:id="12" w:author="Microsoft Office User" w:date="2019-10-27T11:02:00Z" w:initials="MOU">
    <w:p w14:paraId="74325078" w14:textId="27CB7BBF" w:rsidR="00817417" w:rsidRDefault="00817417">
      <w:pPr>
        <w:pStyle w:val="CommentText"/>
      </w:pPr>
      <w:r>
        <w:rPr>
          <w:rStyle w:val="CommentReference"/>
        </w:rPr>
        <w:annotationRef/>
      </w:r>
      <w:r>
        <w:t xml:space="preserve">Can we replace either the X or cross with a circle?  Also, all </w:t>
      </w:r>
      <w:proofErr w:type="spellStart"/>
      <w:r>
        <w:t>symobols</w:t>
      </w:r>
      <w:proofErr w:type="spellEnd"/>
      <w:r>
        <w:t xml:space="preserve"> could be bigger</w:t>
      </w:r>
    </w:p>
  </w:comment>
  <w:comment w:id="13" w:author="Simon Brandl" w:date="2019-11-11T14:08:00Z" w:initials="SB">
    <w:p w14:paraId="1D043D8A" w14:textId="70E8EC66" w:rsidR="00A255C7" w:rsidRDefault="00A255C7">
      <w:pPr>
        <w:pStyle w:val="CommentText"/>
      </w:pPr>
      <w:r>
        <w:rPr>
          <w:rStyle w:val="CommentReference"/>
        </w:rPr>
        <w:annotationRef/>
      </w:r>
      <w:r>
        <w:t>Can certainly do that. Can increase symbol size.</w:t>
      </w:r>
    </w:p>
  </w:comment>
  <w:comment w:id="14" w:author="Microsoft Office User" w:date="2019-10-27T11:04:00Z" w:initials="MOU">
    <w:p w14:paraId="26671880" w14:textId="650B435E" w:rsidR="00817417" w:rsidRDefault="00817417">
      <w:pPr>
        <w:pStyle w:val="CommentText"/>
      </w:pPr>
      <w:r>
        <w:rPr>
          <w:rStyle w:val="CommentReference"/>
        </w:rPr>
        <w:annotationRef/>
      </w:r>
      <w:r>
        <w:t xml:space="preserve">Prey items…unique OTUs or raw sequence, or???  That is, are the 100 unique items for </w:t>
      </w:r>
      <w:proofErr w:type="spellStart"/>
      <w:r>
        <w:t>GoA</w:t>
      </w:r>
      <w:proofErr w:type="spellEnd"/>
      <w:r>
        <w:t xml:space="preserve"> E. </w:t>
      </w:r>
      <w:proofErr w:type="spellStart"/>
      <w:r>
        <w:t>pulcher</w:t>
      </w:r>
      <w:proofErr w:type="spellEnd"/>
      <w:r>
        <w:t xml:space="preserve"> one species, or 100 reads of the same taxa?</w:t>
      </w:r>
    </w:p>
  </w:comment>
  <w:comment w:id="15" w:author="Simon Brandl" w:date="2019-11-11T14:09:00Z" w:initials="SB">
    <w:p w14:paraId="32C1FCCB" w14:textId="13759572" w:rsidR="00A255C7" w:rsidRDefault="00A255C7">
      <w:pPr>
        <w:pStyle w:val="CommentText"/>
      </w:pPr>
      <w:r>
        <w:rPr>
          <w:rStyle w:val="CommentReference"/>
        </w:rPr>
        <w:annotationRef/>
      </w:r>
      <w:r>
        <w:t xml:space="preserve">Unique OUT’s/ESVs – according to the clustering/bioinformatics, every dot in the network is a unique taxon that </w:t>
      </w:r>
      <w:r>
        <w:t>was ingested.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2C7602" w15:done="0"/>
  <w15:commentEx w15:paraId="2FECD656" w15:paraIdParent="6F2C7602" w15:done="0"/>
  <w15:commentEx w15:paraId="523071EB" w15:done="0"/>
  <w15:commentEx w15:paraId="58B9E338" w15:paraIdParent="523071EB" w15:done="0"/>
  <w15:commentEx w15:paraId="0E5ED48C" w15:done="0"/>
  <w15:commentEx w15:paraId="3CBCF342" w15:paraIdParent="0E5ED48C" w15:done="0"/>
  <w15:commentEx w15:paraId="306378E9" w15:done="0"/>
  <w15:commentEx w15:paraId="08B06622" w15:paraIdParent="306378E9" w15:done="0"/>
  <w15:commentEx w15:paraId="2D58428E" w15:done="0"/>
  <w15:commentEx w15:paraId="2D3A53CD" w15:paraIdParent="2D58428E" w15:done="0"/>
  <w15:commentEx w15:paraId="367FC182" w15:done="0"/>
  <w15:commentEx w15:paraId="6F04AF42" w15:paraIdParent="367FC182" w15:done="0"/>
  <w15:commentEx w15:paraId="74325078" w15:done="0"/>
  <w15:commentEx w15:paraId="1D043D8A" w15:paraIdParent="74325078" w15:done="0"/>
  <w15:commentEx w15:paraId="26671880" w15:done="0"/>
  <w15:commentEx w15:paraId="32C1FCCB" w15:paraIdParent="266718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2C7602" w16cid:durableId="215FF4A5"/>
  <w16cid:commentId w16cid:paraId="2FECD656" w16cid:durableId="2173E8A3"/>
  <w16cid:commentId w16cid:paraId="523071EB" w16cid:durableId="215FF36E"/>
  <w16cid:commentId w16cid:paraId="58B9E338" w16cid:durableId="2173E8CB"/>
  <w16cid:commentId w16cid:paraId="0E5ED48C" w16cid:durableId="215FF398"/>
  <w16cid:commentId w16cid:paraId="3CBCF342" w16cid:durableId="2173E8D3"/>
  <w16cid:commentId w16cid:paraId="306378E9" w16cid:durableId="215FF52B"/>
  <w16cid:commentId w16cid:paraId="08B06622" w16cid:durableId="2173E8EA"/>
  <w16cid:commentId w16cid:paraId="2D58428E" w16cid:durableId="215FF65C"/>
  <w16cid:commentId w16cid:paraId="2D3A53CD" w16cid:durableId="2173E92B"/>
  <w16cid:commentId w16cid:paraId="367FC182" w16cid:durableId="215FF703"/>
  <w16cid:commentId w16cid:paraId="6F04AF42" w16cid:durableId="2173E9C6"/>
  <w16cid:commentId w16cid:paraId="74325078" w16cid:durableId="215FF7CB"/>
  <w16cid:commentId w16cid:paraId="1D043D8A" w16cid:durableId="2173E9F3"/>
  <w16cid:commentId w16cid:paraId="26671880" w16cid:durableId="215FF856"/>
  <w16cid:commentId w16cid:paraId="32C1FCCB" w16cid:durableId="2173EA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imon Brandl">
    <w15:presenceInfo w15:providerId="AD" w15:userId="S::sbrandl@sfu.ca::2d7cc682-d29c-4331-b438-f8cf7306a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9F"/>
    <w:rsid w:val="000D156E"/>
    <w:rsid w:val="001E0A42"/>
    <w:rsid w:val="003E6605"/>
    <w:rsid w:val="00407877"/>
    <w:rsid w:val="00441C55"/>
    <w:rsid w:val="00601477"/>
    <w:rsid w:val="0064339D"/>
    <w:rsid w:val="00713B7A"/>
    <w:rsid w:val="007F797B"/>
    <w:rsid w:val="00817417"/>
    <w:rsid w:val="009641C6"/>
    <w:rsid w:val="00A24318"/>
    <w:rsid w:val="00A255C7"/>
    <w:rsid w:val="00B06D9F"/>
    <w:rsid w:val="00BA40B5"/>
    <w:rsid w:val="00C07110"/>
    <w:rsid w:val="00C55EC9"/>
    <w:rsid w:val="00C7069C"/>
    <w:rsid w:val="00CA5CBF"/>
    <w:rsid w:val="00D45018"/>
    <w:rsid w:val="00E36970"/>
    <w:rsid w:val="00F07907"/>
    <w:rsid w:val="00F41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3</cp:revision>
  <dcterms:created xsi:type="dcterms:W3CDTF">2019-11-11T13:02:00Z</dcterms:created>
  <dcterms:modified xsi:type="dcterms:W3CDTF">2019-11-11T13:11:00Z</dcterms:modified>
</cp:coreProperties>
</file>