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DE2D" w14:textId="10E7B5AF" w:rsidR="00E346A7" w:rsidRPr="00712C54" w:rsidRDefault="00887F91" w:rsidP="00E346A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0C0756B1" w14:textId="77777777" w:rsidR="00E346A7" w:rsidRDefault="00E346A7" w:rsidP="00E346A7">
      <w:pPr>
        <w:spacing w:line="480" w:lineRule="auto"/>
        <w:jc w:val="center"/>
        <w:rPr>
          <w:rFonts w:ascii="Times New Roman" w:hAnsi="Times New Roman" w:cs="Times New Roman"/>
        </w:rPr>
      </w:pPr>
    </w:p>
    <w:p w14:paraId="10957ED3" w14:textId="77777777" w:rsidR="00E346A7" w:rsidRPr="00712C54" w:rsidRDefault="00E346A7" w:rsidP="00E346A7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>, Valeriano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522F12CF" w14:textId="77777777" w:rsidR="00E346A7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72F164D7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1B67D8C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 xml:space="preserve">PSL Université </w:t>
      </w:r>
      <w:proofErr w:type="gramStart"/>
      <w:r w:rsidRPr="00097420">
        <w:rPr>
          <w:rFonts w:ascii="Times New Roman" w:hAnsi="Times New Roman" w:cs="Times New Roman"/>
          <w:i/>
          <w:iCs/>
          <w:lang w:val="fr-FR"/>
        </w:rPr>
        <w:t>Paris:</w:t>
      </w:r>
      <w:proofErr w:type="gramEnd"/>
      <w:r w:rsidRPr="00097420">
        <w:rPr>
          <w:rFonts w:ascii="Times New Roman" w:hAnsi="Times New Roman" w:cs="Times New Roman"/>
          <w:i/>
          <w:iCs/>
          <w:lang w:val="fr-FR"/>
        </w:rPr>
        <w:t xml:space="preserve"> EPHE-UPVD-CNRS, USR 3278 CRIOBE, Université de Perpignan, 66860 Perpignan, France</w:t>
      </w:r>
    </w:p>
    <w:p w14:paraId="40FB3E00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01864D30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184BCCFB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2F0388E9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35A81BD0" w14:textId="77777777" w:rsidR="00E346A7" w:rsidRPr="00712C54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D3FCF7F" w14:textId="77777777" w:rsidR="00E346A7" w:rsidRPr="00712C54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>Simon J. Brandl (</w:t>
      </w:r>
      <w:hyperlink r:id="rId4" w:history="1">
        <w:r w:rsidRPr="00712C54">
          <w:rPr>
            <w:rStyle w:val="Hyperlink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6407FD85" w14:textId="77777777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2195D4F9" w14:textId="77777777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0C181F64" w14:textId="0AA9F586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353CDB5D" w14:textId="77777777" w:rsidR="00B87C22" w:rsidRDefault="00B87C22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1478E505" w14:textId="09D9FC1F" w:rsidR="00E346A7" w:rsidRDefault="00E346A7" w:rsidP="00E346A7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DD6129">
        <w:rPr>
          <w:rFonts w:ascii="Times New Roman" w:hAnsi="Times New Roman" w:cs="Times New Roman"/>
          <w:iCs/>
          <w:smallCaps/>
        </w:rPr>
        <w:lastRenderedPageBreak/>
        <w:t>Appendix S</w:t>
      </w:r>
      <w:r w:rsidR="00B87C22">
        <w:rPr>
          <w:rFonts w:ascii="Times New Roman" w:hAnsi="Times New Roman" w:cs="Times New Roman"/>
          <w:iCs/>
          <w:smallCaps/>
        </w:rPr>
        <w:t>1</w:t>
      </w:r>
    </w:p>
    <w:p w14:paraId="379AC6D9" w14:textId="77777777" w:rsidR="00E85D08" w:rsidRPr="00E346A7" w:rsidRDefault="00E85D08" w:rsidP="00E85D08">
      <w:pPr>
        <w:spacing w:line="480" w:lineRule="auto"/>
        <w:rPr>
          <w:rFonts w:ascii="Times New Roman" w:hAnsi="Times New Roman" w:cs="Times New Roman"/>
          <w:i/>
        </w:rPr>
      </w:pPr>
      <w:r w:rsidRPr="00E346A7">
        <w:rPr>
          <w:rFonts w:ascii="Times New Roman" w:hAnsi="Times New Roman" w:cs="Times New Roman"/>
          <w:i/>
        </w:rPr>
        <w:t>Gut content DNA metabarcoding</w:t>
      </w:r>
    </w:p>
    <w:p w14:paraId="47CB47E0" w14:textId="77777777" w:rsidR="00E85D08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>ibrary preparation and sequencing</w:t>
      </w:r>
      <w:r>
        <w:rPr>
          <w:rFonts w:ascii="Times New Roman" w:hAnsi="Times New Roman" w:cs="Times New Roman"/>
          <w:iCs/>
        </w:rPr>
        <w:t xml:space="preserve"> were performed by </w:t>
      </w:r>
      <w:r w:rsidRPr="00E346A7">
        <w:rPr>
          <w:rFonts w:ascii="Times New Roman" w:hAnsi="Times New Roman" w:cs="Times New Roman"/>
          <w:iCs/>
        </w:rPr>
        <w:t>Jonah Ventures (Boulder, Colorado, USA)</w:t>
      </w:r>
      <w:r>
        <w:rPr>
          <w:rFonts w:ascii="Times New Roman" w:hAnsi="Times New Roman" w:cs="Times New Roman"/>
          <w:iCs/>
        </w:rPr>
        <w:t xml:space="preserve">. We targeted </w:t>
      </w:r>
      <w:r w:rsidRPr="00E346A7">
        <w:rPr>
          <w:rFonts w:ascii="Times New Roman" w:hAnsi="Times New Roman" w:cs="Times New Roman"/>
          <w:iCs/>
        </w:rPr>
        <w:t xml:space="preserve">the mitochondrial cytochrome </w:t>
      </w:r>
      <w:r w:rsidRPr="00887F91">
        <w:rPr>
          <w:rFonts w:ascii="Times New Roman" w:hAnsi="Times New Roman" w:cs="Times New Roman"/>
          <w:i/>
          <w:iCs/>
        </w:rPr>
        <w:t>c</w:t>
      </w:r>
      <w:r w:rsidRPr="00E346A7">
        <w:rPr>
          <w:rFonts w:ascii="Times New Roman" w:hAnsi="Times New Roman" w:cs="Times New Roman"/>
          <w:iCs/>
        </w:rPr>
        <w:t xml:space="preserve"> oxidase subunit I (COI)</w:t>
      </w:r>
      <w:r>
        <w:rPr>
          <w:rFonts w:ascii="Times New Roman" w:hAnsi="Times New Roman" w:cs="Times New Roman"/>
          <w:iCs/>
        </w:rPr>
        <w:t xml:space="preserve"> gene region, which performs well across metazoans,</w:t>
      </w:r>
      <w:r w:rsidRPr="00E346A7">
        <w:rPr>
          <w:rFonts w:ascii="Times New Roman" w:hAnsi="Times New Roman" w:cs="Times New Roman"/>
          <w:iCs/>
        </w:rPr>
        <w:t xml:space="preserve"> and the chloroplast 23S rRNA </w:t>
      </w:r>
      <w:r>
        <w:rPr>
          <w:rFonts w:ascii="Times New Roman" w:hAnsi="Times New Roman" w:cs="Times New Roman"/>
          <w:iCs/>
        </w:rPr>
        <w:t>gene region, which performs well across autotrophs</w:t>
      </w:r>
      <w:r w:rsidRPr="00E346A7">
        <w:rPr>
          <w:rFonts w:ascii="Times New Roman" w:hAnsi="Times New Roman" w:cs="Times New Roman"/>
          <w:iCs/>
        </w:rPr>
        <w:t xml:space="preserve">. For </w:t>
      </w:r>
      <w:r>
        <w:rPr>
          <w:rFonts w:ascii="Times New Roman" w:hAnsi="Times New Roman" w:cs="Times New Roman"/>
          <w:iCs/>
        </w:rPr>
        <w:t xml:space="preserve">the </w:t>
      </w:r>
      <w:r w:rsidRPr="00E346A7">
        <w:rPr>
          <w:rFonts w:ascii="Times New Roman" w:hAnsi="Times New Roman" w:cs="Times New Roman"/>
          <w:iCs/>
        </w:rPr>
        <w:t>COI</w:t>
      </w:r>
      <w:r>
        <w:rPr>
          <w:rFonts w:ascii="Times New Roman" w:hAnsi="Times New Roman" w:cs="Times New Roman"/>
          <w:iCs/>
        </w:rPr>
        <w:t xml:space="preserve"> markers, </w:t>
      </w:r>
      <w:r w:rsidRPr="00E346A7">
        <w:rPr>
          <w:rFonts w:ascii="Times New Roman" w:hAnsi="Times New Roman" w:cs="Times New Roman"/>
          <w:iCs/>
        </w:rPr>
        <w:t xml:space="preserve">we </w:t>
      </w:r>
      <w:r>
        <w:rPr>
          <w:rFonts w:ascii="Times New Roman" w:hAnsi="Times New Roman" w:cs="Times New Roman"/>
          <w:iCs/>
        </w:rPr>
        <w:t>used</w:t>
      </w:r>
      <w:r w:rsidRPr="00E346A7">
        <w:rPr>
          <w:rFonts w:ascii="Times New Roman" w:hAnsi="Times New Roman" w:cs="Times New Roman"/>
          <w:iCs/>
        </w:rPr>
        <w:t xml:space="preserve"> the m1COIintF forward primer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{"citationID":"a243m3kgk40","properties":{"formattedCitation":"(Leray et al. 2013)","plainCitation":"(Leray et al. 2013)","noteIndex":0},"citationItems":[{"id":682,"uris":["http://zotero.org/users/3131818/items/CEECHU7X"],"uri":["http://zotero.org/users/3131818/items/CEECHU7X"],"itemData":{"id":682,"type":"article-journal","container-title":"Frontiers in zoology","ISSN":"1742-9994","issue":"1","journalAbbreviation":"Frontiers in zoology","page":"34","title":"A new versatile primer set targeting a short fragment of the mitochondrial COI region for metabarcoding metazoan diversity: application for characterizing coral reef fish gut contents","volume":"10","author":[{"family":"Leray","given":"Matthieu"},{"family":"Yang","given":"Joy Y"},{"family":"Meyer","given":"Christopher P"},{"family":"Mills","given":"Suzanne C"},{"family":"Agudelo","given":"Natalia"},{"family":"Ranwez","given":"Vincent"},{"family":"Boehm","given":"Joel T"},{"family":"Machida","given":"Ryuji J"}],"issued":{"date-parts":[["2013"]]}}}],"schema":"https://github.com/citation-style-language/schema/raw/master/csl-citation.json"}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</w:t>
      </w:r>
      <w:proofErr w:type="spellStart"/>
      <w:r>
        <w:rPr>
          <w:rFonts w:ascii="Times New Roman" w:hAnsi="Times New Roman" w:cs="Times New Roman"/>
          <w:iCs/>
        </w:rPr>
        <w:t>Leray</w:t>
      </w:r>
      <w:proofErr w:type="spellEnd"/>
      <w:r>
        <w:rPr>
          <w:rFonts w:ascii="Times New Roman" w:hAnsi="Times New Roman" w:cs="Times New Roman"/>
          <w:iCs/>
        </w:rPr>
        <w:t xml:space="preserve">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 and</w:t>
      </w:r>
      <w:r>
        <w:rPr>
          <w:rFonts w:ascii="Times New Roman" w:hAnsi="Times New Roman" w:cs="Times New Roman"/>
          <w:iCs/>
        </w:rPr>
        <w:t xml:space="preserve"> the</w:t>
      </w:r>
      <w:r w:rsidRPr="00E346A7">
        <w:rPr>
          <w:rFonts w:ascii="Times New Roman" w:hAnsi="Times New Roman" w:cs="Times New Roman"/>
          <w:iCs/>
        </w:rPr>
        <w:t xml:space="preserve"> jgHCO2198 reverse primer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{"citationID":"arrud3hrvd","properties":{"formattedCitation":"(Geller et al. 2013)","plainCitation":"(Geller et al. 2013)","noteIndex":0},"citationItems":[{"id":1983,"uris":["http://zotero.org/users/3131818/items/L3NAWKU9"],"uri":["http://zotero.org/users/3131818/items/L3NAWKU9"],"itemData":{"id":1983,"type":"article-journal","container-title":"Molecular ecology resources","ISSN":"1755-098X","issue":"5","journalAbbreviation":"Molecular ecology resources","page":"851-861","title":"Redesign of PCR primers for mitochondrial cytochrome c oxidase subunit I for marine invertebrates and application in all‐taxa biotic surveys","volume":"13","author":[{"family":"Geller","given":"John"},{"family":"Meyer","given":"C"},{"family":"Parker","given":"M"},{"family":"Hawk","given":"H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(Geller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For </w:t>
      </w:r>
      <w:r>
        <w:rPr>
          <w:rFonts w:ascii="Times New Roman" w:hAnsi="Times New Roman" w:cs="Times New Roman"/>
          <w:iCs/>
        </w:rPr>
        <w:t xml:space="preserve">the </w:t>
      </w:r>
      <w:r w:rsidRPr="00E346A7">
        <w:rPr>
          <w:rFonts w:ascii="Times New Roman" w:hAnsi="Times New Roman" w:cs="Times New Roman"/>
          <w:iCs/>
        </w:rPr>
        <w:t>23S</w:t>
      </w:r>
      <w:r>
        <w:rPr>
          <w:rFonts w:ascii="Times New Roman" w:hAnsi="Times New Roman" w:cs="Times New Roman"/>
          <w:iCs/>
        </w:rPr>
        <w:t xml:space="preserve"> markers</w:t>
      </w:r>
      <w:r w:rsidRPr="00E346A7">
        <w:rPr>
          <w:rFonts w:ascii="Times New Roman" w:hAnsi="Times New Roman" w:cs="Times New Roman"/>
          <w:iCs/>
        </w:rPr>
        <w:t xml:space="preserve">, we </w:t>
      </w:r>
      <w:r>
        <w:rPr>
          <w:rFonts w:ascii="Times New Roman" w:hAnsi="Times New Roman" w:cs="Times New Roman"/>
          <w:iCs/>
        </w:rPr>
        <w:t>used</w:t>
      </w:r>
      <w:r w:rsidRPr="00E346A7">
        <w:rPr>
          <w:rFonts w:ascii="Times New Roman" w:hAnsi="Times New Roman" w:cs="Times New Roman"/>
          <w:iCs/>
        </w:rPr>
        <w:t xml:space="preserve"> the p23SrV_f1 and Diam23Sr1 23S primers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{"citationID":"a24gfgvf4ri","properties":{"formattedCitation":"(Sherwood and Presting 2007, Hamsher et al. 2011, Cannon et al. 2016)","plainCitation":"(Sherwood and Presting 2007, Hamsher et al. 2011, Cannon et al. 2016)","noteIndex":0},"citationItems":[{"id":760,"uris":["http://zotero.org/users/3131818/items/REPPBTFU"],"uri":["http://zotero.org/users/3131818/items/REPPBTFU"],"itemData":{"id":760,"type":"article-journal","container-title":"Journal of phycology","ISSN":"1529-8817","issue":"3","journalAbbreviation":"Journal of phycology","page":"605-608","title":"Universal primers amplify a 23S rDNA plastid marker in eukaryotic algae and cyanobacteria","volume":"43","author":[{"family":"Sherwood","given":"Alison R"},{"family":"Presting","given":"Gernot G"}],"issued":{"date-parts":[["2007"]]}}},{"id":2348,"uris":["http://zotero.org/users/3131818/items/RZRMLLNH"],"uri":["http://zotero.org/users/3131818/items/RZRMLLNH"],"itemData":{"id":2348,"type":"article-journal","container-title":"Protist","ISSN":"1434-4610","issue":"3","journalAbbreviation":"Protist","page":"405-422","title":"Barcoding diatoms: exploring alternatives to COI-5P","volume":"162","author":[{"family":"Hamsher","given":"Sarah E"},{"family":"Evans","given":"Katharine M"},{"family":"Mann","given":"David G"},{"family":"Poulíčková","given":"Aloisie"},{"family":"Saunders","given":"Gary W"}],"issued":{"date-parts":[["2011"]]}}},{"id":2349,"uris":["http://zotero.org/users/3131818/items/CNCDKNRC"],"uri":["http://zotero.org/users/3131818/items/CNCDKNRC"],"itemData":{"id":2349,"type":"article-journal","container-title":"Scientific reports","ISSN":"2045-2322","journalAbbreviation":"Scientific reports","page":"22908","title":"In silico assessment of primers for eDNA studies using PrimerTree and application to characterize the biodiversity surrounding the Cuyahoga River","volume":"6","author":[{"family":"Cannon","given":"MV"},{"family":"Hester","given":"James"},{"family":"Shalkhauser","given":"Amanda"},{"family":"Chan","given":"Ernest R"},{"family":"Logue","given":"Kyle"},{"family":"Small","given":"Scott T"},{"family":"Serre","given":"David"}],"issued":{"date-parts":[["2016"]]}}}],"schema":"https://github.com/citation-style-language/schema/raw/master/csl-citation.json"}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 xml:space="preserve">(Sherwood and </w:t>
      </w:r>
      <w:proofErr w:type="spellStart"/>
      <w:r>
        <w:rPr>
          <w:rFonts w:ascii="Times New Roman" w:hAnsi="Times New Roman" w:cs="Times New Roman"/>
          <w:iCs/>
        </w:rPr>
        <w:t>Presting</w:t>
      </w:r>
      <w:proofErr w:type="spellEnd"/>
      <w:r>
        <w:rPr>
          <w:rFonts w:ascii="Times New Roman" w:hAnsi="Times New Roman" w:cs="Times New Roman"/>
          <w:iCs/>
        </w:rPr>
        <w:t xml:space="preserve"> 2007, </w:t>
      </w:r>
      <w:proofErr w:type="spellStart"/>
      <w:r>
        <w:rPr>
          <w:rFonts w:ascii="Times New Roman" w:hAnsi="Times New Roman" w:cs="Times New Roman"/>
          <w:iCs/>
        </w:rPr>
        <w:t>Hamsher</w:t>
      </w:r>
      <w:proofErr w:type="spellEnd"/>
      <w:r>
        <w:rPr>
          <w:rFonts w:ascii="Times New Roman" w:hAnsi="Times New Roman" w:cs="Times New Roman"/>
          <w:iCs/>
        </w:rPr>
        <w:t xml:space="preserve"> et al. 2011, Cannon et al. 2016)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</w:t>
      </w:r>
      <w:r>
        <w:rPr>
          <w:rFonts w:ascii="Times New Roman" w:hAnsi="Times New Roman" w:cs="Times New Roman"/>
          <w:iCs/>
        </w:rPr>
        <w:t xml:space="preserve">We ran two-step </w:t>
      </w:r>
      <w:r w:rsidRPr="00E346A7">
        <w:rPr>
          <w:rFonts w:ascii="Times New Roman" w:hAnsi="Times New Roman" w:cs="Times New Roman"/>
          <w:iCs/>
        </w:rPr>
        <w:t xml:space="preserve">PCR reactions at 25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according to the Promega PCR Master Mix guidelines (Promega, Madison, Wisconsin, USA): 12.5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Master Mix, 0.5 </w:t>
      </w:r>
      <w:r w:rsidRPr="00E346A7">
        <w:rPr>
          <w:rFonts w:ascii="Times New Roman" w:hAnsi="Times New Roman" w:cs="Times New Roman"/>
          <w:iCs/>
        </w:rPr>
        <w:sym w:font="Symbol" w:char="F06D"/>
      </w:r>
      <w:r w:rsidRPr="00E346A7">
        <w:rPr>
          <w:rFonts w:ascii="Times New Roman" w:hAnsi="Times New Roman" w:cs="Times New Roman"/>
          <w:iCs/>
        </w:rPr>
        <w:t xml:space="preserve">M of each primer, 1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gDNA, and 10.5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DNase/</w:t>
      </w:r>
      <w:proofErr w:type="spellStart"/>
      <w:r w:rsidRPr="00E346A7">
        <w:rPr>
          <w:rFonts w:ascii="Times New Roman" w:hAnsi="Times New Roman" w:cs="Times New Roman"/>
          <w:iCs/>
        </w:rPr>
        <w:t>Rnase</w:t>
      </w:r>
      <w:proofErr w:type="spellEnd"/>
      <w:r w:rsidRPr="00E346A7">
        <w:rPr>
          <w:rFonts w:ascii="Times New Roman" w:hAnsi="Times New Roman" w:cs="Times New Roman"/>
          <w:iCs/>
        </w:rPr>
        <w:t xml:space="preserve">-free water. </w:t>
      </w:r>
      <w:r>
        <w:rPr>
          <w:rFonts w:ascii="Times New Roman" w:hAnsi="Times New Roman" w:cs="Times New Roman"/>
          <w:iCs/>
        </w:rPr>
        <w:t xml:space="preserve">We followed the following conditions for PCR amplification for the COI marker: </w:t>
      </w:r>
      <w:r w:rsidRPr="00E346A7">
        <w:rPr>
          <w:rFonts w:ascii="Times New Roman" w:hAnsi="Times New Roman" w:cs="Times New Roman"/>
          <w:iCs/>
        </w:rPr>
        <w:t>denaturation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2 min, followed by 45 cycles of 15 s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30 s at 50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and 1 min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then a final elongation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10 min. </w:t>
      </w:r>
      <w:r>
        <w:rPr>
          <w:rFonts w:ascii="Times New Roman" w:hAnsi="Times New Roman" w:cs="Times New Roman"/>
          <w:iCs/>
        </w:rPr>
        <w:t xml:space="preserve">We used the following conditions for PCR amplification for the </w:t>
      </w:r>
      <w:r w:rsidRPr="00E346A7">
        <w:rPr>
          <w:rFonts w:ascii="Times New Roman" w:hAnsi="Times New Roman" w:cs="Times New Roman"/>
          <w:iCs/>
        </w:rPr>
        <w:t>23S</w:t>
      </w:r>
      <w:r>
        <w:rPr>
          <w:rFonts w:ascii="Times New Roman" w:hAnsi="Times New Roman" w:cs="Times New Roman"/>
          <w:iCs/>
        </w:rPr>
        <w:t xml:space="preserve"> marker</w:t>
      </w:r>
      <w:r w:rsidRPr="00E346A7">
        <w:rPr>
          <w:rFonts w:ascii="Times New Roman" w:hAnsi="Times New Roman" w:cs="Times New Roman"/>
          <w:iCs/>
        </w:rPr>
        <w:t>: denaturation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3 min, followed by 40 cycles of 30 s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45 s at 55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and 1 min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then a final elongation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10 min. </w:t>
      </w:r>
      <w:r>
        <w:rPr>
          <w:rFonts w:ascii="Times New Roman" w:hAnsi="Times New Roman" w:cs="Times New Roman"/>
          <w:iCs/>
        </w:rPr>
        <w:t>Following the</w:t>
      </w:r>
      <w:r w:rsidRPr="00E346A7">
        <w:rPr>
          <w:rFonts w:ascii="Times New Roman" w:hAnsi="Times New Roman" w:cs="Times New Roman"/>
          <w:iCs/>
        </w:rPr>
        <w:t xml:space="preserve"> PCR amplification</w:t>
      </w:r>
      <w:r>
        <w:rPr>
          <w:rFonts w:ascii="Times New Roman" w:hAnsi="Times New Roman" w:cs="Times New Roman"/>
          <w:iCs/>
        </w:rPr>
        <w:t>s</w:t>
      </w:r>
      <w:r w:rsidRPr="00E346A7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we visually </w:t>
      </w:r>
      <w:r w:rsidRPr="00E346A7">
        <w:rPr>
          <w:rFonts w:ascii="Times New Roman" w:hAnsi="Times New Roman" w:cs="Times New Roman"/>
          <w:iCs/>
        </w:rPr>
        <w:t>inspected</w:t>
      </w:r>
      <w:r>
        <w:rPr>
          <w:rFonts w:ascii="Times New Roman" w:hAnsi="Times New Roman" w:cs="Times New Roman"/>
          <w:iCs/>
        </w:rPr>
        <w:t xml:space="preserve"> each reaction</w:t>
      </w:r>
      <w:r w:rsidRPr="00E346A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with</w:t>
      </w:r>
      <w:r w:rsidRPr="00E346A7">
        <w:rPr>
          <w:rFonts w:ascii="Times New Roman" w:hAnsi="Times New Roman" w:cs="Times New Roman"/>
          <w:iCs/>
        </w:rPr>
        <w:t xml:space="preserve"> a 2% agarose gel. </w:t>
      </w:r>
    </w:p>
    <w:p w14:paraId="5C913C6F" w14:textId="77777777" w:rsidR="00E85D08" w:rsidRPr="00E346A7" w:rsidRDefault="00E85D08" w:rsidP="00E85D08">
      <w:pPr>
        <w:spacing w:line="480" w:lineRule="auto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following library preparation and sequencing protocols apply to both the COI and 23S gene. We performed c</w:t>
      </w:r>
      <w:r w:rsidRPr="00E346A7">
        <w:rPr>
          <w:rFonts w:ascii="Times New Roman" w:hAnsi="Times New Roman" w:cs="Times New Roman"/>
          <w:iCs/>
        </w:rPr>
        <w:t>lean-ups by incubating amplicons with Exo1/SAP for 30 min at 37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followed by inactivation at 95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5 min</w:t>
      </w:r>
      <w:r>
        <w:rPr>
          <w:rFonts w:ascii="Times New Roman" w:hAnsi="Times New Roman" w:cs="Times New Roman"/>
          <w:iCs/>
        </w:rPr>
        <w:t>. We</w:t>
      </w:r>
      <w:r w:rsidRPr="00E346A7">
        <w:rPr>
          <w:rFonts w:ascii="Times New Roman" w:hAnsi="Times New Roman" w:cs="Times New Roman"/>
          <w:iCs/>
        </w:rPr>
        <w:t xml:space="preserve"> then </w:t>
      </w:r>
      <w:r>
        <w:rPr>
          <w:rFonts w:ascii="Times New Roman" w:hAnsi="Times New Roman" w:cs="Times New Roman"/>
          <w:iCs/>
        </w:rPr>
        <w:t xml:space="preserve">stored </w:t>
      </w:r>
      <w:r w:rsidRPr="00E346A7">
        <w:rPr>
          <w:rFonts w:ascii="Times New Roman" w:hAnsi="Times New Roman" w:cs="Times New Roman"/>
          <w:iCs/>
        </w:rPr>
        <w:t>the products at -20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C. </w:t>
      </w:r>
      <w:r>
        <w:rPr>
          <w:rFonts w:ascii="Times New Roman" w:hAnsi="Times New Roman" w:cs="Times New Roman"/>
          <w:iCs/>
        </w:rPr>
        <w:t>Afterwards</w:t>
      </w:r>
      <w:r w:rsidRPr="00E346A7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we ran</w:t>
      </w:r>
      <w:r w:rsidRPr="00E346A7">
        <w:rPr>
          <w:rFonts w:ascii="Times New Roman" w:hAnsi="Times New Roman" w:cs="Times New Roman"/>
          <w:iCs/>
        </w:rPr>
        <w:t xml:space="preserve"> a second indexing PCR to bind a unique 12-nucleotide index sequence</w:t>
      </w:r>
      <w:r>
        <w:rPr>
          <w:rFonts w:ascii="Times New Roman" w:hAnsi="Times New Roman" w:cs="Times New Roman"/>
          <w:iCs/>
        </w:rPr>
        <w:t>, which</w:t>
      </w:r>
      <w:r w:rsidRPr="00E346A7">
        <w:rPr>
          <w:rFonts w:ascii="Times New Roman" w:hAnsi="Times New Roman" w:cs="Times New Roman"/>
          <w:iCs/>
        </w:rPr>
        <w:t xml:space="preserve"> included Promega Master mix, 0.5 </w:t>
      </w:r>
      <w:r w:rsidRPr="00E346A7">
        <w:rPr>
          <w:rFonts w:ascii="Times New Roman" w:hAnsi="Times New Roman" w:cs="Times New Roman"/>
          <w:iCs/>
        </w:rPr>
        <w:sym w:font="Symbol" w:char="F06D"/>
      </w:r>
      <w:r w:rsidRPr="00E346A7">
        <w:rPr>
          <w:rFonts w:ascii="Times New Roman" w:hAnsi="Times New Roman" w:cs="Times New Roman"/>
          <w:iCs/>
        </w:rPr>
        <w:t xml:space="preserve">M of each primer, and 2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of template DNA</w:t>
      </w:r>
      <w:r>
        <w:rPr>
          <w:rFonts w:ascii="Times New Roman" w:hAnsi="Times New Roman" w:cs="Times New Roman"/>
          <w:iCs/>
        </w:rPr>
        <w:t xml:space="preserve"> under the following conditions: </w:t>
      </w:r>
      <w:r w:rsidRPr="00E346A7">
        <w:rPr>
          <w:rFonts w:ascii="Times New Roman" w:hAnsi="Times New Roman" w:cs="Times New Roman"/>
          <w:iCs/>
        </w:rPr>
        <w:t>denaturation at 95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3 min, followed by 8 cycles </w:t>
      </w:r>
      <w:r>
        <w:rPr>
          <w:rFonts w:ascii="Times New Roman" w:hAnsi="Times New Roman" w:cs="Times New Roman"/>
          <w:iCs/>
        </w:rPr>
        <w:t>at</w:t>
      </w:r>
      <w:r w:rsidRPr="00E346A7">
        <w:rPr>
          <w:rFonts w:ascii="Times New Roman" w:hAnsi="Times New Roman" w:cs="Times New Roman"/>
          <w:iCs/>
        </w:rPr>
        <w:t xml:space="preserve"> 95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30 s, 55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30 s, </w:t>
      </w:r>
      <w:r w:rsidRPr="00E346A7">
        <w:rPr>
          <w:rFonts w:ascii="Times New Roman" w:hAnsi="Times New Roman" w:cs="Times New Roman"/>
          <w:iCs/>
        </w:rPr>
        <w:lastRenderedPageBreak/>
        <w:t>and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30 s. Each reaction was visually inspected with a 2% agarose gel to ensure successful amplification.</w:t>
      </w:r>
    </w:p>
    <w:p w14:paraId="4AC842EB" w14:textId="77777777" w:rsidR="00E85D08" w:rsidRPr="00E346A7" w:rsidRDefault="00E85D08" w:rsidP="00E85D08">
      <w:pPr>
        <w:spacing w:line="480" w:lineRule="auto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</w:t>
      </w:r>
      <w:r w:rsidRPr="00E346A7">
        <w:rPr>
          <w:rFonts w:ascii="Times New Roman" w:hAnsi="Times New Roman" w:cs="Times New Roman"/>
          <w:iCs/>
        </w:rPr>
        <w:t xml:space="preserve">cleaned and normalized 25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of each indexed amplicon with the </w:t>
      </w:r>
      <w:proofErr w:type="spellStart"/>
      <w:r w:rsidRPr="00E346A7">
        <w:rPr>
          <w:rFonts w:ascii="Times New Roman" w:hAnsi="Times New Roman" w:cs="Times New Roman"/>
          <w:iCs/>
        </w:rPr>
        <w:t>SequalPrep</w:t>
      </w:r>
      <w:proofErr w:type="spellEnd"/>
      <w:r w:rsidRPr="00E346A7">
        <w:rPr>
          <w:rFonts w:ascii="Times New Roman" w:hAnsi="Times New Roman" w:cs="Times New Roman"/>
          <w:iCs/>
        </w:rPr>
        <w:t xml:space="preserve"> Normalization Kit (Life Technologies, Carlsbad, California, USA)</w:t>
      </w:r>
      <w:r>
        <w:rPr>
          <w:rFonts w:ascii="Times New Roman" w:hAnsi="Times New Roman" w:cs="Times New Roman"/>
          <w:iCs/>
        </w:rPr>
        <w:t xml:space="preserve">, pooled </w:t>
      </w:r>
      <w:r w:rsidRPr="00E346A7">
        <w:rPr>
          <w:rFonts w:ascii="Times New Roman" w:hAnsi="Times New Roman" w:cs="Times New Roman"/>
          <w:iCs/>
        </w:rPr>
        <w:t xml:space="preserve">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of each sampl</w:t>
      </w:r>
      <w:r>
        <w:rPr>
          <w:rFonts w:ascii="Times New Roman" w:hAnsi="Times New Roman" w:cs="Times New Roman"/>
          <w:iCs/>
        </w:rPr>
        <w:t xml:space="preserve">e, and sent the library pools </w:t>
      </w:r>
      <w:r w:rsidRPr="00E346A7">
        <w:rPr>
          <w:rFonts w:ascii="Times New Roman" w:hAnsi="Times New Roman" w:cs="Times New Roman"/>
          <w:iCs/>
        </w:rPr>
        <w:t xml:space="preserve">to the </w:t>
      </w:r>
      <w:proofErr w:type="spellStart"/>
      <w:r w:rsidRPr="00E346A7">
        <w:rPr>
          <w:rFonts w:ascii="Times New Roman" w:hAnsi="Times New Roman" w:cs="Times New Roman"/>
          <w:iCs/>
        </w:rPr>
        <w:t>Genohub</w:t>
      </w:r>
      <w:proofErr w:type="spellEnd"/>
      <w:r w:rsidRPr="00E346A7">
        <w:rPr>
          <w:rFonts w:ascii="Times New Roman" w:hAnsi="Times New Roman" w:cs="Times New Roman"/>
          <w:iCs/>
        </w:rPr>
        <w:t xml:space="preserve"> service provider (Austin, Texas, USA). </w:t>
      </w:r>
      <w:r>
        <w:rPr>
          <w:rFonts w:ascii="Times New Roman" w:hAnsi="Times New Roman" w:cs="Times New Roman"/>
          <w:iCs/>
        </w:rPr>
        <w:t>B</w:t>
      </w:r>
      <w:r w:rsidRPr="00E346A7">
        <w:rPr>
          <w:rFonts w:ascii="Times New Roman" w:hAnsi="Times New Roman" w:cs="Times New Roman"/>
          <w:iCs/>
        </w:rPr>
        <w:t xml:space="preserve">ead cleaning with </w:t>
      </w:r>
      <w:proofErr w:type="spellStart"/>
      <w:r w:rsidRPr="00E346A7">
        <w:rPr>
          <w:rFonts w:ascii="Times New Roman" w:hAnsi="Times New Roman" w:cs="Times New Roman"/>
          <w:iCs/>
        </w:rPr>
        <w:t>Agencourt</w:t>
      </w:r>
      <w:proofErr w:type="spellEnd"/>
      <w:r w:rsidRPr="00E346A7">
        <w:rPr>
          <w:rFonts w:ascii="Times New Roman" w:hAnsi="Times New Roman" w:cs="Times New Roman"/>
          <w:iCs/>
        </w:rPr>
        <w:t xml:space="preserve"> </w:t>
      </w:r>
      <w:proofErr w:type="spellStart"/>
      <w:r w:rsidRPr="00E346A7">
        <w:rPr>
          <w:rFonts w:ascii="Times New Roman" w:hAnsi="Times New Roman" w:cs="Times New Roman"/>
          <w:iCs/>
        </w:rPr>
        <w:t>AMPure</w:t>
      </w:r>
      <w:proofErr w:type="spellEnd"/>
      <w:r w:rsidRPr="00E346A7">
        <w:rPr>
          <w:rFonts w:ascii="Times New Roman" w:hAnsi="Times New Roman" w:cs="Times New Roman"/>
          <w:iCs/>
        </w:rPr>
        <w:t xml:space="preserve"> XP beads (Beckman Coulter, Brea, California, USA)</w:t>
      </w:r>
      <w:r>
        <w:rPr>
          <w:rFonts w:ascii="Times New Roman" w:hAnsi="Times New Roman" w:cs="Times New Roman"/>
          <w:iCs/>
        </w:rPr>
        <w:t xml:space="preserve"> was performed</w:t>
      </w:r>
      <w:r w:rsidRPr="00E346A7">
        <w:rPr>
          <w:rFonts w:ascii="Times New Roman" w:hAnsi="Times New Roman" w:cs="Times New Roman"/>
          <w:iCs/>
        </w:rPr>
        <w:t xml:space="preserve"> to remove &lt;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t>200 bp amplicons, sample</w:t>
      </w:r>
      <w:r>
        <w:rPr>
          <w:rFonts w:ascii="Times New Roman" w:hAnsi="Times New Roman" w:cs="Times New Roman"/>
          <w:iCs/>
        </w:rPr>
        <w:t xml:space="preserve">s were quantified </w:t>
      </w:r>
      <w:r w:rsidRPr="00E346A7">
        <w:rPr>
          <w:rFonts w:ascii="Times New Roman" w:hAnsi="Times New Roman" w:cs="Times New Roman"/>
          <w:iCs/>
        </w:rPr>
        <w:t xml:space="preserve">with a Qubit Fluorometer (Invitrogen, Carlsbad, California, USA), and amplicon average size </w:t>
      </w:r>
      <w:r>
        <w:rPr>
          <w:rFonts w:ascii="Times New Roman" w:hAnsi="Times New Roman" w:cs="Times New Roman"/>
          <w:iCs/>
        </w:rPr>
        <w:t>was analyzed with</w:t>
      </w:r>
      <w:r w:rsidRPr="00E346A7">
        <w:rPr>
          <w:rFonts w:ascii="Times New Roman" w:hAnsi="Times New Roman" w:cs="Times New Roman"/>
          <w:iCs/>
        </w:rPr>
        <w:t xml:space="preserve"> an Agilent </w:t>
      </w:r>
      <w:proofErr w:type="spellStart"/>
      <w:r w:rsidRPr="00E346A7">
        <w:rPr>
          <w:rFonts w:ascii="Times New Roman" w:hAnsi="Times New Roman" w:cs="Times New Roman"/>
          <w:iCs/>
        </w:rPr>
        <w:t>TapeStation</w:t>
      </w:r>
      <w:proofErr w:type="spellEnd"/>
      <w:r w:rsidRPr="00E346A7">
        <w:rPr>
          <w:rFonts w:ascii="Times New Roman" w:hAnsi="Times New Roman" w:cs="Times New Roman"/>
          <w:iCs/>
        </w:rPr>
        <w:t xml:space="preserve"> 4200 (Agilent, Santa Clara, California, USA). Finally, sequencing was performed on an Illumina </w:t>
      </w:r>
      <w:proofErr w:type="spellStart"/>
      <w:r w:rsidRPr="00E346A7">
        <w:rPr>
          <w:rFonts w:ascii="Times New Roman" w:hAnsi="Times New Roman" w:cs="Times New Roman"/>
          <w:iCs/>
        </w:rPr>
        <w:t>HiSeq</w:t>
      </w:r>
      <w:proofErr w:type="spellEnd"/>
      <w:r w:rsidRPr="00E346A7">
        <w:rPr>
          <w:rFonts w:ascii="Times New Roman" w:hAnsi="Times New Roman" w:cs="Times New Roman"/>
          <w:iCs/>
        </w:rPr>
        <w:t xml:space="preserve"> using the </w:t>
      </w:r>
      <w:proofErr w:type="spellStart"/>
      <w:r w:rsidRPr="00E346A7">
        <w:rPr>
          <w:rFonts w:ascii="Times New Roman" w:hAnsi="Times New Roman" w:cs="Times New Roman"/>
          <w:iCs/>
        </w:rPr>
        <w:t>HiSeq</w:t>
      </w:r>
      <w:proofErr w:type="spellEnd"/>
      <w:r w:rsidRPr="00E346A7">
        <w:rPr>
          <w:rFonts w:ascii="Times New Roman" w:hAnsi="Times New Roman" w:cs="Times New Roman"/>
          <w:iCs/>
        </w:rPr>
        <w:t xml:space="preserve"> Rapid SBS Kit v2, 500-cycles (Illumina, San Diego, California, USA).</w:t>
      </w:r>
    </w:p>
    <w:p w14:paraId="7FBC0DFB" w14:textId="77777777" w:rsidR="00E85D08" w:rsidRPr="00E346A7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</w:p>
    <w:p w14:paraId="6C714380" w14:textId="77777777" w:rsidR="00E85D08" w:rsidRPr="00E346A7" w:rsidRDefault="00E85D08" w:rsidP="00E85D08">
      <w:pPr>
        <w:spacing w:line="480" w:lineRule="auto"/>
        <w:rPr>
          <w:rFonts w:ascii="Times New Roman" w:hAnsi="Times New Roman" w:cs="Times New Roman"/>
          <w:i/>
          <w:iCs/>
        </w:rPr>
      </w:pPr>
      <w:r w:rsidRPr="00E346A7">
        <w:rPr>
          <w:rFonts w:ascii="Times New Roman" w:hAnsi="Times New Roman" w:cs="Times New Roman"/>
          <w:i/>
          <w:iCs/>
        </w:rPr>
        <w:t>Sequence bioinformatics</w:t>
      </w:r>
    </w:p>
    <w:p w14:paraId="5037864D" w14:textId="46364BEB" w:rsidR="00E85D08" w:rsidRPr="00E85D08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</w:t>
      </w:r>
      <w:r w:rsidRPr="00E346A7">
        <w:rPr>
          <w:rFonts w:ascii="Times New Roman" w:hAnsi="Times New Roman" w:cs="Times New Roman"/>
          <w:iCs/>
        </w:rPr>
        <w:t>processed</w:t>
      </w:r>
      <w:r>
        <w:rPr>
          <w:rFonts w:ascii="Times New Roman" w:hAnsi="Times New Roman" w:cs="Times New Roman"/>
          <w:iCs/>
        </w:rPr>
        <w:t xml:space="preserve"> all</w:t>
      </w:r>
      <w:r w:rsidRPr="00E346A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raw COI and 23S sequences </w:t>
      </w:r>
      <w:r w:rsidRPr="00E346A7">
        <w:rPr>
          <w:rFonts w:ascii="Times New Roman" w:hAnsi="Times New Roman" w:cs="Times New Roman"/>
          <w:iCs/>
        </w:rPr>
        <w:t>with the JAMP pipeline (</w:t>
      </w:r>
      <w:hyperlink r:id="rId5" w:history="1">
        <w:r w:rsidRPr="00E346A7">
          <w:rPr>
            <w:rStyle w:val="Hyperlink"/>
            <w:rFonts w:ascii="Times New Roman" w:hAnsi="Times New Roman" w:cs="Times New Roman"/>
            <w:iCs/>
          </w:rPr>
          <w:t>https://github.com/VascoElbrecht/JAMP</w:t>
        </w:r>
      </w:hyperlink>
      <w:r w:rsidRPr="00E346A7">
        <w:rPr>
          <w:rFonts w:ascii="Times New Roman" w:hAnsi="Times New Roman" w:cs="Times New Roman"/>
          <w:iCs/>
        </w:rPr>
        <w:t>). After demultiplexing, forward and reverse reads were pair-end merged with USEARCH v11.0.667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{"citationID":"aria3vg2ju","properties":{"formattedCitation":"(Edgar 2010)","plainCitation":"(Edgar 2010)","noteIndex":0},"citationItems":[{"id":1794,"uris":["http://zotero.org/users/3131818/items/G3AHD2KD"],"uri":["http://zotero.org/users/3131818/items/G3AHD2KD"],"itemData":{"id":1794,"type":"article-journal","container-title":"Bioinformatics","ISSN":"1460-2059","issue":"19","journalAbbreviation":"Bioinformatics","page":"2460-2461","title":"Search and clustering orders of magnitude faster than BLAST","volume":"26","author":[{"family":"Edgar","given":"Robert C"}],"issued":{"date-parts":[["2010"]]}}}],"schema":"https://github.com/citation-style-language/schema/raw/master/csl-citation.json"}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2010)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, and primers were</w:t>
      </w:r>
      <w:r w:rsidRPr="00E346A7">
        <w:rPr>
          <w:rFonts w:ascii="Times New Roman" w:hAnsi="Times New Roman" w:cs="Times New Roman"/>
          <w:iCs/>
        </w:rPr>
        <w:t xml:space="preserve"> trimmed from both ends using </w:t>
      </w:r>
      <w:proofErr w:type="spellStart"/>
      <w:r w:rsidRPr="00E346A7">
        <w:rPr>
          <w:rFonts w:ascii="Times New Roman" w:hAnsi="Times New Roman" w:cs="Times New Roman"/>
          <w:iCs/>
        </w:rPr>
        <w:t>Cutadapt</w:t>
      </w:r>
      <w:proofErr w:type="spellEnd"/>
      <w:r w:rsidRPr="00E346A7">
        <w:rPr>
          <w:rFonts w:ascii="Times New Roman" w:hAnsi="Times New Roman" w:cs="Times New Roman"/>
          <w:iCs/>
        </w:rPr>
        <w:t xml:space="preserve"> v1.18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{"citationID":"a2b4qf6opbo","properties":{"formattedCitation":"(Martin 2011)","plainCitation":"(Martin 2011)","noteIndex":0},"citationItems":[{"id":2352,"uris":["http://zotero.org/users/3131818/items/SU43ZLLC"],"uri":["http://zotero.org/users/3131818/items/SU43ZLLC"],"itemData":{"id":2352,"type":"article-journal","container-title":"EMBnet. journal","ISSN":"2226-6089","issue":"1","journalAbbreviation":"EMBnet. journal","page":"10-12","title":"Cutadapt removes adapter sequences from high-throughput sequencing reads","volume":"17","author":[{"family":"Martin","given":"Marcel"}],"issued":{"date-parts":[["2011"]]}}}],"schema":"https://github.com/citation-style-language/schema/raw/master/csl-citation.json"}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(Martin 2011)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. Q</w:t>
      </w:r>
      <w:r w:rsidRPr="00E346A7">
        <w:rPr>
          <w:rFonts w:ascii="Times New Roman" w:hAnsi="Times New Roman" w:cs="Times New Roman"/>
          <w:iCs/>
        </w:rPr>
        <w:t xml:space="preserve">uality filtering was </w:t>
      </w:r>
      <w:r>
        <w:rPr>
          <w:rFonts w:ascii="Times New Roman" w:hAnsi="Times New Roman" w:cs="Times New Roman"/>
          <w:iCs/>
        </w:rPr>
        <w:t>performed</w:t>
      </w:r>
      <w:r w:rsidRPr="00E346A7">
        <w:rPr>
          <w:rFonts w:ascii="Times New Roman" w:hAnsi="Times New Roman" w:cs="Times New Roman"/>
          <w:iCs/>
        </w:rPr>
        <w:t xml:space="preserve"> with expected error filtering through USEARCH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{"citationID":"avnibbnmmb","properties":{"formattedCitation":"(Edgar and Flyvbjerg 2015)","plainCitation":"(Edgar and Flyvbjerg 2015)","noteIndex":0},"citationItems":[{"id":2354,"uris":["http://zotero.org/users/3131818/items/VCTNQEV4"],"uri":["http://zotero.org/users/3131818/items/VCTNQEV4"],"itemData":{"id":2354,"type":"article-journal","container-title":"Bioinformatics","ISSN":"1460-2059","issue":"21","journalAbbreviation":"Bioinformatics","page":"3476-3482","title":"Error filtering, pair assembly and error correction for next-generation sequencing reads","volume":"31","author":[{"family":"Edgar","given":"Robert C"},{"family":"Flyvbjerg","given":"Henrik"}],"issued":{"date-parts":[["2015"]]}}}],"schema":"https://github.com/citation-style-language/schema/raw/master/csl-citation.json"}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 xml:space="preserve">(Edgar and </w:t>
      </w:r>
      <w:proofErr w:type="spellStart"/>
      <w:r>
        <w:rPr>
          <w:rFonts w:ascii="Times New Roman" w:hAnsi="Times New Roman" w:cs="Times New Roman"/>
          <w:iCs/>
        </w:rPr>
        <w:t>Flyvbjerg</w:t>
      </w:r>
      <w:proofErr w:type="spellEnd"/>
      <w:r>
        <w:rPr>
          <w:rFonts w:ascii="Times New Roman" w:hAnsi="Times New Roman" w:cs="Times New Roman"/>
          <w:iCs/>
        </w:rPr>
        <w:t xml:space="preserve"> 2015)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, and all sequences</w:t>
      </w:r>
      <w:r w:rsidRPr="00E346A7">
        <w:rPr>
          <w:rFonts w:ascii="Times New Roman" w:hAnsi="Times New Roman" w:cs="Times New Roman"/>
          <w:iCs/>
        </w:rPr>
        <w:t xml:space="preserve"> affected by sequencing and PCR error were removed using the UNOISE algorithm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{"citationID":"anhijrtv2t","properties":{"formattedCitation":"(Edgar 2016)","plainCitation":"(Edgar 2016)","noteIndex":0},"citationItems":[{"id":2355,"uris":["http://zotero.org/users/3131818/items/PHSQES4K"],"uri":["http://zotero.org/users/3131818/items/PHSQES4K"],"itemData":{"id":2355,"type":"article-journal","container-title":"BioRxiv","journalAbbreviation":"BioRxiv","page":"081257","title":"UNOISE2: improved error-correction for Illumina 16S and ITS amplicon sequencing","author":[{"family":"Edgar","given":"Robert C"}],"issued":{"date-parts":[["2016"]]}}}],"schema":"https://github.com/citation-style-language/schema/raw/master/csl-citation.json"}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2016)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Exact sequence variants (ESVs) were then compiled </w:t>
      </w:r>
      <w:r>
        <w:rPr>
          <w:rFonts w:ascii="Times New Roman" w:hAnsi="Times New Roman" w:cs="Times New Roman"/>
          <w:iCs/>
        </w:rPr>
        <w:t xml:space="preserve">into </w:t>
      </w:r>
      <w:r w:rsidRPr="00E346A7">
        <w:rPr>
          <w:rFonts w:ascii="Times New Roman" w:hAnsi="Times New Roman" w:cs="Times New Roman"/>
          <w:iCs/>
        </w:rPr>
        <w:t>ESV table</w:t>
      </w:r>
      <w:r>
        <w:rPr>
          <w:rFonts w:ascii="Times New Roman" w:hAnsi="Times New Roman" w:cs="Times New Roman"/>
          <w:iCs/>
        </w:rPr>
        <w:t>s, and t</w:t>
      </w:r>
      <w:r w:rsidRPr="00E346A7">
        <w:rPr>
          <w:rFonts w:ascii="Times New Roman" w:hAnsi="Times New Roman" w:cs="Times New Roman"/>
          <w:iCs/>
        </w:rPr>
        <w:t xml:space="preserve">axonomy was assigned to each ESV </w:t>
      </w:r>
      <w:r>
        <w:rPr>
          <w:rFonts w:ascii="Times New Roman" w:hAnsi="Times New Roman" w:cs="Times New Roman"/>
          <w:iCs/>
        </w:rPr>
        <w:t>using the</w:t>
      </w:r>
      <w:r w:rsidRPr="00E346A7">
        <w:rPr>
          <w:rFonts w:ascii="Times New Roman" w:hAnsi="Times New Roman" w:cs="Times New Roman"/>
          <w:iCs/>
        </w:rPr>
        <w:t xml:space="preserve"> </w:t>
      </w:r>
      <w:r w:rsidRPr="00A27726">
        <w:rPr>
          <w:rFonts w:ascii="Times New Roman" w:hAnsi="Times New Roman" w:cs="Times New Roman"/>
          <w:iCs/>
        </w:rPr>
        <w:t>basic local alignment search tool (BLAST) hit when query coverage and percent identity exceeded 95% and 80%, respectively</w:t>
      </w:r>
      <w:r>
        <w:rPr>
          <w:rFonts w:ascii="Times New Roman" w:hAnsi="Times New Roman" w:cs="Times New Roman"/>
          <w:iCs/>
        </w:rPr>
        <w:t xml:space="preserve">, or by </w:t>
      </w:r>
      <w:r w:rsidRPr="00E346A7">
        <w:rPr>
          <w:rFonts w:ascii="Times New Roman" w:hAnsi="Times New Roman" w:cs="Times New Roman"/>
          <w:iCs/>
        </w:rPr>
        <w:t>mapping them against a 23S database from Silva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{"citationID":"a17c4o16jep","properties":{"formattedCitation":"(Yilmaz et al. 2013)","plainCitation":"(Yilmaz et al. 2013)","noteIndex":0},"citationItems":[{"id":2356,"uris":["http://zotero.org/users/3131818/items/VWB5Q2GV"],"uri":["http://zotero.org/users/3131818/items/VWB5Q2GV"],"itemData":{"id":2356,"type":"article-journal","container-title":"Nucleic acids research","ISSN":"1362-4962","issue":"D1","journalAbbreviation":"Nucleic acids research","page":"D643-D648","title":"The SILVA and “all-species living tree project (LTP)” taxonomic frameworks","volume":"42","author":[{"family":"Yilmaz","given":"Pelin"},{"family":"Parfrey","given":"Laura Wegener"},{"family":"Yarza","given":"Pablo"},{"family":"Gerken","given":"Jan"},{"family":"Pruesse","given":"Elmar"},{"family":"Quast","given":"Christian"},{"family":"Schweer","given":"Timmy"},{"family":"Peplies","given":"Jörg"},{"family":"Ludwig","given":"Wolfgang"},{"family":"Glöckner","given":"Frank Oliver"}],"issued":{"date-parts":[["2013"]]}}}],"schema":"https://github.com/citation-style-language/schema/raw/master/csl-citation.json"}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(Yilmaz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, specifying zero deviations to ensure mapping accuracy. </w:t>
      </w:r>
      <w:r w:rsidRPr="00E346A7">
        <w:rPr>
          <w:rFonts w:ascii="Times New Roman" w:hAnsi="Times New Roman" w:cs="Times New Roman"/>
          <w:iCs/>
        </w:rPr>
        <w:lastRenderedPageBreak/>
        <w:t>Consensus taxonomy was generated from the hit tables, first considering 100% matches, then decreasing by 1% until hits were available for each ESV. Taxonomy that was present in at least 90% of the hits was reported; otherwise, an “NA” was assigned when several different taxa matched the ESV. For error reduction due to misidentified taxa, the bracket was increased to 2% when matches of 97% and higher were present, but no family-level or lower taxonomy was assigned.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W</w:t>
      </w:r>
      <w:r w:rsidRPr="002D4E6B">
        <w:rPr>
          <w:rFonts w:ascii="Times New Roman" w:hAnsi="Times New Roman" w:cs="Times New Roman"/>
          <w:iCs/>
        </w:rPr>
        <w:t>e</w:t>
      </w:r>
      <w:r>
        <w:rPr>
          <w:rFonts w:ascii="Times New Roman" w:hAnsi="Times New Roman" w:cs="Times New Roman"/>
          <w:iCs/>
        </w:rPr>
        <w:t xml:space="preserve"> then</w:t>
      </w:r>
      <w:r w:rsidRPr="002D4E6B">
        <w:rPr>
          <w:rFonts w:ascii="Times New Roman" w:hAnsi="Times New Roman" w:cs="Times New Roman"/>
          <w:iCs/>
        </w:rPr>
        <w:t xml:space="preserve"> removed all self-hits from the </w:t>
      </w:r>
      <w:r>
        <w:rPr>
          <w:rFonts w:ascii="Times New Roman" w:hAnsi="Times New Roman" w:cs="Times New Roman"/>
          <w:iCs/>
        </w:rPr>
        <w:t xml:space="preserve">COI </w:t>
      </w:r>
      <w:r w:rsidRPr="002D4E6B">
        <w:rPr>
          <w:rFonts w:ascii="Times New Roman" w:hAnsi="Times New Roman" w:cs="Times New Roman"/>
          <w:iCs/>
        </w:rPr>
        <w:t>dataset,</w:t>
      </w:r>
      <w:r>
        <w:rPr>
          <w:rFonts w:ascii="Times New Roman" w:hAnsi="Times New Roman" w:cs="Times New Roman"/>
          <w:iCs/>
        </w:rPr>
        <w:t xml:space="preserve"> which resulted from sequencing the host tissue</w:t>
      </w:r>
      <w:r>
        <w:rPr>
          <w:rFonts w:ascii="Times New Roman" w:hAnsi="Times New Roman" w:cs="Times New Roman"/>
          <w:iCs/>
        </w:rPr>
        <w:t xml:space="preserve">, and omitted all ESVs that only had a single sequence read across the entire dataset. For the network analysis, we also removed all ESVs that were only used by a single individual to ensure convergence of the modularity metric. Further detail on the treatment of the assembled sequencing datasets is provided in the appended </w:t>
      </w:r>
      <w:r>
        <w:rPr>
          <w:rFonts w:ascii="Times New Roman" w:hAnsi="Times New Roman" w:cs="Times New Roman"/>
          <w:i/>
        </w:rPr>
        <w:t xml:space="preserve">R </w:t>
      </w:r>
      <w:r>
        <w:rPr>
          <w:rFonts w:ascii="Times New Roman" w:hAnsi="Times New Roman" w:cs="Times New Roman"/>
          <w:iCs/>
        </w:rPr>
        <w:t>script.</w:t>
      </w:r>
    </w:p>
    <w:p w14:paraId="7D281B19" w14:textId="77777777" w:rsidR="00E85D08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</w:p>
    <w:p w14:paraId="06A49A34" w14:textId="77777777" w:rsidR="00E85D08" w:rsidRPr="00FB7197" w:rsidRDefault="00E85D08" w:rsidP="00E85D08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>
        <w:rPr>
          <w:rFonts w:ascii="Times New Roman" w:hAnsi="Times New Roman" w:cs="Times New Roman"/>
          <w:iCs/>
          <w:smallCaps/>
        </w:rPr>
        <w:t>Literature Cited</w:t>
      </w:r>
    </w:p>
    <w:p w14:paraId="73BC63C7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>
        <w:rPr>
          <w:iCs/>
        </w:rPr>
        <w:fldChar w:fldCharType="begin"/>
      </w:r>
      <w:r>
        <w:rPr>
          <w:iCs/>
        </w:rPr>
        <w:instrText xml:space="preserve"> ADDIN ZOTERO_BIBL {"uncited":[],"omitted":[],"custom":[]} CSL_BIBLIOGRAPHY </w:instrText>
      </w:r>
      <w:r>
        <w:rPr>
          <w:iCs/>
        </w:rPr>
        <w:fldChar w:fldCharType="separate"/>
      </w:r>
      <w:r w:rsidRPr="00FB7197">
        <w:rPr>
          <w:rFonts w:ascii="Times New Roman" w:hAnsi="Times New Roman" w:cs="Times New Roman"/>
        </w:rPr>
        <w:t xml:space="preserve">Camacho, C., G. </w:t>
      </w:r>
      <w:proofErr w:type="spellStart"/>
      <w:r w:rsidRPr="00FB7197">
        <w:rPr>
          <w:rFonts w:ascii="Times New Roman" w:hAnsi="Times New Roman" w:cs="Times New Roman"/>
        </w:rPr>
        <w:t>Coulouris</w:t>
      </w:r>
      <w:proofErr w:type="spellEnd"/>
      <w:r w:rsidRPr="00FB7197">
        <w:rPr>
          <w:rFonts w:ascii="Times New Roman" w:hAnsi="Times New Roman" w:cs="Times New Roman"/>
        </w:rPr>
        <w:t xml:space="preserve">, V. Avagyan, N. Ma, J. Papadopoulos, K. </w:t>
      </w:r>
      <w:proofErr w:type="spellStart"/>
      <w:r w:rsidRPr="00FB7197">
        <w:rPr>
          <w:rFonts w:ascii="Times New Roman" w:hAnsi="Times New Roman" w:cs="Times New Roman"/>
        </w:rPr>
        <w:t>Bealer</w:t>
      </w:r>
      <w:proofErr w:type="spellEnd"/>
      <w:r w:rsidRPr="00FB7197">
        <w:rPr>
          <w:rFonts w:ascii="Times New Roman" w:hAnsi="Times New Roman" w:cs="Times New Roman"/>
        </w:rPr>
        <w:t>, and T. L. Madden. 2009. BLAST+: architecture and applications. BMC bioinformatics 10:421.</w:t>
      </w:r>
    </w:p>
    <w:p w14:paraId="1D4CAD8D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 xml:space="preserve">Cannon, M., J. Hester, A. </w:t>
      </w:r>
      <w:proofErr w:type="spellStart"/>
      <w:r w:rsidRPr="00FB7197">
        <w:rPr>
          <w:rFonts w:ascii="Times New Roman" w:hAnsi="Times New Roman" w:cs="Times New Roman"/>
        </w:rPr>
        <w:t>Shalkhauser</w:t>
      </w:r>
      <w:proofErr w:type="spellEnd"/>
      <w:r w:rsidRPr="00FB7197">
        <w:rPr>
          <w:rFonts w:ascii="Times New Roman" w:hAnsi="Times New Roman" w:cs="Times New Roman"/>
        </w:rPr>
        <w:t xml:space="preserve">, E. R. Chan, K. Logue, S. T. Small, and D. Serre. 2016. In silico assessment of primers for eDNA studies using </w:t>
      </w:r>
      <w:proofErr w:type="spellStart"/>
      <w:r w:rsidRPr="00FB7197">
        <w:rPr>
          <w:rFonts w:ascii="Times New Roman" w:hAnsi="Times New Roman" w:cs="Times New Roman"/>
        </w:rPr>
        <w:t>PrimerTree</w:t>
      </w:r>
      <w:proofErr w:type="spellEnd"/>
      <w:r w:rsidRPr="00FB7197">
        <w:rPr>
          <w:rFonts w:ascii="Times New Roman" w:hAnsi="Times New Roman" w:cs="Times New Roman"/>
        </w:rPr>
        <w:t xml:space="preserve"> and application to characterize the biodiversity surrounding the Cuyahoga River. Scientific reports 6:22908.</w:t>
      </w:r>
    </w:p>
    <w:p w14:paraId="21AAAF33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proofErr w:type="spellStart"/>
      <w:r w:rsidRPr="00FB7197">
        <w:rPr>
          <w:rFonts w:ascii="Times New Roman" w:hAnsi="Times New Roman" w:cs="Times New Roman"/>
        </w:rPr>
        <w:t>Caporaso</w:t>
      </w:r>
      <w:proofErr w:type="spellEnd"/>
      <w:r w:rsidRPr="00FB7197">
        <w:rPr>
          <w:rFonts w:ascii="Times New Roman" w:hAnsi="Times New Roman" w:cs="Times New Roman"/>
        </w:rPr>
        <w:t xml:space="preserve">, J. G., J. Kuczynski, J. Stombaugh, K. </w:t>
      </w:r>
      <w:proofErr w:type="spellStart"/>
      <w:r w:rsidRPr="00FB7197">
        <w:rPr>
          <w:rFonts w:ascii="Times New Roman" w:hAnsi="Times New Roman" w:cs="Times New Roman"/>
        </w:rPr>
        <w:t>Bittinger</w:t>
      </w:r>
      <w:proofErr w:type="spellEnd"/>
      <w:r w:rsidRPr="00FB7197">
        <w:rPr>
          <w:rFonts w:ascii="Times New Roman" w:hAnsi="Times New Roman" w:cs="Times New Roman"/>
        </w:rPr>
        <w:t xml:space="preserve">, F. D. Bushman, E. K. Costello, N. </w:t>
      </w:r>
      <w:proofErr w:type="spellStart"/>
      <w:r w:rsidRPr="00FB7197">
        <w:rPr>
          <w:rFonts w:ascii="Times New Roman" w:hAnsi="Times New Roman" w:cs="Times New Roman"/>
        </w:rPr>
        <w:t>Fierer</w:t>
      </w:r>
      <w:proofErr w:type="spellEnd"/>
      <w:r w:rsidRPr="00FB7197">
        <w:rPr>
          <w:rFonts w:ascii="Times New Roman" w:hAnsi="Times New Roman" w:cs="Times New Roman"/>
        </w:rPr>
        <w:t>, A. G. Pena, J. K. Goodrich, and J. I. Gordon. 2010. QIIME allows analysis of high-throughput community sequencing data. Nature methods 7:335.</w:t>
      </w:r>
    </w:p>
    <w:p w14:paraId="2C0FFB1D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 2010. Search and clustering orders of magnitude faster than BLAST. Bioinformatics 26:2460–2461.</w:t>
      </w:r>
    </w:p>
    <w:p w14:paraId="7C215B3A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lastRenderedPageBreak/>
        <w:t>Edgar, R. C. 2013. UPARSE: highly accurate OTU sequences from microbial amplicon reads. Nature methods 10:996.</w:t>
      </w:r>
    </w:p>
    <w:p w14:paraId="26B5BC27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 2016. UNOISE2: improved error-correction for Illumina 16S and ITS amplicon sequencing. BioRxiv:081257.</w:t>
      </w:r>
    </w:p>
    <w:p w14:paraId="24FFF637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 xml:space="preserve">Edgar, R. C., and H. </w:t>
      </w:r>
      <w:proofErr w:type="spellStart"/>
      <w:r w:rsidRPr="00FB7197">
        <w:rPr>
          <w:rFonts w:ascii="Times New Roman" w:hAnsi="Times New Roman" w:cs="Times New Roman"/>
        </w:rPr>
        <w:t>Flyvbjerg</w:t>
      </w:r>
      <w:proofErr w:type="spellEnd"/>
      <w:r w:rsidRPr="00FB7197">
        <w:rPr>
          <w:rFonts w:ascii="Times New Roman" w:hAnsi="Times New Roman" w:cs="Times New Roman"/>
        </w:rPr>
        <w:t>. 2015. Error filtering, pair assembly and error correction for next-generation sequencing reads. Bioinformatics 31:3476–3482.</w:t>
      </w:r>
    </w:p>
    <w:p w14:paraId="0A9571DA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Geller, J., C. Meyer, M. Parker, and H. Hawk. 2013. Redesign of PCR primers for mitochondrial cytochrome c oxidase subunit I for marine invertebrates and application in all‐taxa biotic surveys. Molecular ecology resources 13:851–861.</w:t>
      </w:r>
    </w:p>
    <w:p w14:paraId="223D71D1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proofErr w:type="spellStart"/>
      <w:r w:rsidRPr="00FB7197">
        <w:rPr>
          <w:rFonts w:ascii="Times New Roman" w:hAnsi="Times New Roman" w:cs="Times New Roman"/>
        </w:rPr>
        <w:t>Hamsher</w:t>
      </w:r>
      <w:proofErr w:type="spellEnd"/>
      <w:r w:rsidRPr="00FB7197">
        <w:rPr>
          <w:rFonts w:ascii="Times New Roman" w:hAnsi="Times New Roman" w:cs="Times New Roman"/>
        </w:rPr>
        <w:t xml:space="preserve">, S. E., K. M. Evans, D. G. Mann, A. </w:t>
      </w:r>
      <w:proofErr w:type="spellStart"/>
      <w:r w:rsidRPr="00FB7197">
        <w:rPr>
          <w:rFonts w:ascii="Times New Roman" w:hAnsi="Times New Roman" w:cs="Times New Roman"/>
        </w:rPr>
        <w:t>Poulíčková</w:t>
      </w:r>
      <w:proofErr w:type="spellEnd"/>
      <w:r w:rsidRPr="00FB7197">
        <w:rPr>
          <w:rFonts w:ascii="Times New Roman" w:hAnsi="Times New Roman" w:cs="Times New Roman"/>
        </w:rPr>
        <w:t>, and G. W. Saunders. 2011. Barcoding diatoms: exploring alternatives to COI-5P. Protist 162:405–422.</w:t>
      </w:r>
    </w:p>
    <w:p w14:paraId="2A442C8E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proofErr w:type="spellStart"/>
      <w:r w:rsidRPr="00FB7197">
        <w:rPr>
          <w:rFonts w:ascii="Times New Roman" w:hAnsi="Times New Roman" w:cs="Times New Roman"/>
        </w:rPr>
        <w:t>Leray</w:t>
      </w:r>
      <w:proofErr w:type="spellEnd"/>
      <w:r w:rsidRPr="00FB7197">
        <w:rPr>
          <w:rFonts w:ascii="Times New Roman" w:hAnsi="Times New Roman" w:cs="Times New Roman"/>
        </w:rPr>
        <w:t xml:space="preserve">, M., J. Y. Yang, C. P. Meyer, S. C. Mills, N. </w:t>
      </w:r>
      <w:proofErr w:type="spellStart"/>
      <w:r w:rsidRPr="00FB7197">
        <w:rPr>
          <w:rFonts w:ascii="Times New Roman" w:hAnsi="Times New Roman" w:cs="Times New Roman"/>
        </w:rPr>
        <w:t>Agudelo</w:t>
      </w:r>
      <w:proofErr w:type="spellEnd"/>
      <w:r w:rsidRPr="00FB7197">
        <w:rPr>
          <w:rFonts w:ascii="Times New Roman" w:hAnsi="Times New Roman" w:cs="Times New Roman"/>
        </w:rPr>
        <w:t xml:space="preserve">, V. </w:t>
      </w:r>
      <w:proofErr w:type="spellStart"/>
      <w:r w:rsidRPr="00FB7197">
        <w:rPr>
          <w:rFonts w:ascii="Times New Roman" w:hAnsi="Times New Roman" w:cs="Times New Roman"/>
        </w:rPr>
        <w:t>Ranwez</w:t>
      </w:r>
      <w:proofErr w:type="spellEnd"/>
      <w:r w:rsidRPr="00FB7197">
        <w:rPr>
          <w:rFonts w:ascii="Times New Roman" w:hAnsi="Times New Roman" w:cs="Times New Roman"/>
        </w:rPr>
        <w:t>, J. T. Boehm, and R. J. Machida. 2013. A new versatile primer set targeting a short fragment of the mitochondrial COI region for metabarcoding metazoan diversity: application for characterizing coral reef fish gut contents. Frontiers in zoology 10:34.</w:t>
      </w:r>
    </w:p>
    <w:p w14:paraId="146DFDF5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 xml:space="preserve">Martin, M. 2011. </w:t>
      </w:r>
      <w:proofErr w:type="spellStart"/>
      <w:r w:rsidRPr="00FB7197">
        <w:rPr>
          <w:rFonts w:ascii="Times New Roman" w:hAnsi="Times New Roman" w:cs="Times New Roman"/>
        </w:rPr>
        <w:t>Cutadapt</w:t>
      </w:r>
      <w:proofErr w:type="spellEnd"/>
      <w:r w:rsidRPr="00FB7197">
        <w:rPr>
          <w:rFonts w:ascii="Times New Roman" w:hAnsi="Times New Roman" w:cs="Times New Roman"/>
        </w:rPr>
        <w:t xml:space="preserve"> removes adapter sequences from high-throughput sequencing reads. </w:t>
      </w:r>
      <w:proofErr w:type="spellStart"/>
      <w:r w:rsidRPr="00FB7197">
        <w:rPr>
          <w:rFonts w:ascii="Times New Roman" w:hAnsi="Times New Roman" w:cs="Times New Roman"/>
        </w:rPr>
        <w:t>EMBnet</w:t>
      </w:r>
      <w:proofErr w:type="spellEnd"/>
      <w:r w:rsidRPr="00FB7197">
        <w:rPr>
          <w:rFonts w:ascii="Times New Roman" w:hAnsi="Times New Roman" w:cs="Times New Roman"/>
        </w:rPr>
        <w:t>. journal 17:10–12.</w:t>
      </w:r>
    </w:p>
    <w:p w14:paraId="5AB46696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 xml:space="preserve">Sherwood, A. R., and G. G. </w:t>
      </w:r>
      <w:proofErr w:type="spellStart"/>
      <w:r w:rsidRPr="00FB7197">
        <w:rPr>
          <w:rFonts w:ascii="Times New Roman" w:hAnsi="Times New Roman" w:cs="Times New Roman"/>
        </w:rPr>
        <w:t>Presting</w:t>
      </w:r>
      <w:proofErr w:type="spellEnd"/>
      <w:r w:rsidRPr="00FB7197">
        <w:rPr>
          <w:rFonts w:ascii="Times New Roman" w:hAnsi="Times New Roman" w:cs="Times New Roman"/>
        </w:rPr>
        <w:t>. 2007. Universal primers amplify a 23S rDNA plastid marker in eukaryotic algae and cyanobacteria. Journal of phycology 43:605–608.</w:t>
      </w:r>
    </w:p>
    <w:p w14:paraId="55D06660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 xml:space="preserve">Yilmaz, P., L. W. </w:t>
      </w:r>
      <w:proofErr w:type="spellStart"/>
      <w:r w:rsidRPr="00FB7197">
        <w:rPr>
          <w:rFonts w:ascii="Times New Roman" w:hAnsi="Times New Roman" w:cs="Times New Roman"/>
        </w:rPr>
        <w:t>Parfrey</w:t>
      </w:r>
      <w:proofErr w:type="spellEnd"/>
      <w:r w:rsidRPr="00FB7197">
        <w:rPr>
          <w:rFonts w:ascii="Times New Roman" w:hAnsi="Times New Roman" w:cs="Times New Roman"/>
        </w:rPr>
        <w:t xml:space="preserve">, P. </w:t>
      </w:r>
      <w:proofErr w:type="spellStart"/>
      <w:r w:rsidRPr="00FB7197">
        <w:rPr>
          <w:rFonts w:ascii="Times New Roman" w:hAnsi="Times New Roman" w:cs="Times New Roman"/>
        </w:rPr>
        <w:t>Yarza</w:t>
      </w:r>
      <w:proofErr w:type="spellEnd"/>
      <w:r w:rsidRPr="00FB7197">
        <w:rPr>
          <w:rFonts w:ascii="Times New Roman" w:hAnsi="Times New Roman" w:cs="Times New Roman"/>
        </w:rPr>
        <w:t xml:space="preserve">, J. </w:t>
      </w:r>
      <w:proofErr w:type="spellStart"/>
      <w:r w:rsidRPr="00FB7197">
        <w:rPr>
          <w:rFonts w:ascii="Times New Roman" w:hAnsi="Times New Roman" w:cs="Times New Roman"/>
        </w:rPr>
        <w:t>Gerken</w:t>
      </w:r>
      <w:proofErr w:type="spellEnd"/>
      <w:r w:rsidRPr="00FB7197">
        <w:rPr>
          <w:rFonts w:ascii="Times New Roman" w:hAnsi="Times New Roman" w:cs="Times New Roman"/>
        </w:rPr>
        <w:t xml:space="preserve">, E. </w:t>
      </w:r>
      <w:proofErr w:type="spellStart"/>
      <w:r w:rsidRPr="00FB7197">
        <w:rPr>
          <w:rFonts w:ascii="Times New Roman" w:hAnsi="Times New Roman" w:cs="Times New Roman"/>
        </w:rPr>
        <w:t>Pruesse</w:t>
      </w:r>
      <w:proofErr w:type="spellEnd"/>
      <w:r w:rsidRPr="00FB7197">
        <w:rPr>
          <w:rFonts w:ascii="Times New Roman" w:hAnsi="Times New Roman" w:cs="Times New Roman"/>
        </w:rPr>
        <w:t xml:space="preserve">, C. Quast, T. </w:t>
      </w:r>
      <w:proofErr w:type="spellStart"/>
      <w:r w:rsidRPr="00FB7197">
        <w:rPr>
          <w:rFonts w:ascii="Times New Roman" w:hAnsi="Times New Roman" w:cs="Times New Roman"/>
        </w:rPr>
        <w:t>Schweer</w:t>
      </w:r>
      <w:proofErr w:type="spellEnd"/>
      <w:r w:rsidRPr="00FB7197">
        <w:rPr>
          <w:rFonts w:ascii="Times New Roman" w:hAnsi="Times New Roman" w:cs="Times New Roman"/>
        </w:rPr>
        <w:t xml:space="preserve">, J. </w:t>
      </w:r>
      <w:proofErr w:type="spellStart"/>
      <w:r w:rsidRPr="00FB7197">
        <w:rPr>
          <w:rFonts w:ascii="Times New Roman" w:hAnsi="Times New Roman" w:cs="Times New Roman"/>
        </w:rPr>
        <w:t>Peplies</w:t>
      </w:r>
      <w:proofErr w:type="spellEnd"/>
      <w:r w:rsidRPr="00FB7197">
        <w:rPr>
          <w:rFonts w:ascii="Times New Roman" w:hAnsi="Times New Roman" w:cs="Times New Roman"/>
        </w:rPr>
        <w:t xml:space="preserve">, W. Ludwig, and F. O. </w:t>
      </w:r>
      <w:proofErr w:type="spellStart"/>
      <w:r w:rsidRPr="00FB7197">
        <w:rPr>
          <w:rFonts w:ascii="Times New Roman" w:hAnsi="Times New Roman" w:cs="Times New Roman"/>
        </w:rPr>
        <w:t>Glöckner</w:t>
      </w:r>
      <w:proofErr w:type="spellEnd"/>
      <w:r w:rsidRPr="00FB7197">
        <w:rPr>
          <w:rFonts w:ascii="Times New Roman" w:hAnsi="Times New Roman" w:cs="Times New Roman"/>
        </w:rPr>
        <w:t xml:space="preserve">. 2013. The SILVA and “all-species living tree project (LTP)” taxonomic frameworks. Nucleic acids research </w:t>
      </w:r>
      <w:proofErr w:type="gramStart"/>
      <w:r w:rsidRPr="00FB7197">
        <w:rPr>
          <w:rFonts w:ascii="Times New Roman" w:hAnsi="Times New Roman" w:cs="Times New Roman"/>
        </w:rPr>
        <w:t>42:D</w:t>
      </w:r>
      <w:proofErr w:type="gramEnd"/>
      <w:r w:rsidRPr="00FB7197">
        <w:rPr>
          <w:rFonts w:ascii="Times New Roman" w:hAnsi="Times New Roman" w:cs="Times New Roman"/>
        </w:rPr>
        <w:t>643–D648.</w:t>
      </w:r>
    </w:p>
    <w:p w14:paraId="19E59DB0" w14:textId="36F46191" w:rsidR="00FB7197" w:rsidRPr="00E346A7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fldChar w:fldCharType="end"/>
      </w:r>
    </w:p>
    <w:p w14:paraId="25E84344" w14:textId="77777777" w:rsidR="00E36970" w:rsidRDefault="00E36970"/>
    <w:sectPr w:rsidR="00E36970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7"/>
    <w:rsid w:val="0007206F"/>
    <w:rsid w:val="001E0A42"/>
    <w:rsid w:val="002D4E6B"/>
    <w:rsid w:val="00441C55"/>
    <w:rsid w:val="007C2E9A"/>
    <w:rsid w:val="00887F91"/>
    <w:rsid w:val="00A24318"/>
    <w:rsid w:val="00A27726"/>
    <w:rsid w:val="00B60A9E"/>
    <w:rsid w:val="00B87C22"/>
    <w:rsid w:val="00C55EC9"/>
    <w:rsid w:val="00E25B39"/>
    <w:rsid w:val="00E346A7"/>
    <w:rsid w:val="00E36970"/>
    <w:rsid w:val="00E85D08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E32C"/>
  <w15:chartTrackingRefBased/>
  <w15:docId w15:val="{7E7EBBBD-C742-6D4F-9782-FCF7BDF1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46A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346A7"/>
  </w:style>
  <w:style w:type="character" w:styleId="Hyperlink">
    <w:name w:val="Hyperlink"/>
    <w:basedOn w:val="DefaultParagraphFont"/>
    <w:uiPriority w:val="99"/>
    <w:unhideWhenUsed/>
    <w:rsid w:val="00E346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A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6A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B7197"/>
    <w:pPr>
      <w:spacing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6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scoElbrecht/JAMP" TargetMode="External"/><Relationship Id="rId4" Type="http://schemas.openxmlformats.org/officeDocument/2006/relationships/hyperlink" Target="mailto:simonjbrand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4</cp:revision>
  <dcterms:created xsi:type="dcterms:W3CDTF">2020-04-29T17:49:00Z</dcterms:created>
  <dcterms:modified xsi:type="dcterms:W3CDTF">2020-05-05T06:36:00Z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id="PJlTP53F"/&gt;&lt;style id="http://www.zotero.org/styles/ecology" hasBibliography="1" bibliographyStyleHasBeenSet="1"/&gt;&lt;prefs&gt;&lt;pref name="fieldType" value="Field"/&gt;&lt;/prefs&gt;&lt;/data&gt;</vt:lpwstr>
  </property>
</Properties>
</file>