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57188" w14:textId="5CABB9CF" w:rsidR="001B3603" w:rsidRPr="005F0385" w:rsidRDefault="00F70D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DMID answers to </w:t>
      </w:r>
      <w:r w:rsidR="00E9650D" w:rsidRPr="005F0385">
        <w:rPr>
          <w:b/>
          <w:bCs/>
          <w:sz w:val="32"/>
          <w:szCs w:val="32"/>
        </w:rPr>
        <w:t>OCICB Questions:</w:t>
      </w:r>
    </w:p>
    <w:p w14:paraId="678D84E5" w14:textId="77777777" w:rsidR="00E9650D" w:rsidRPr="00E9650D" w:rsidRDefault="00E9650D" w:rsidP="00E9650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9650D">
        <w:rPr>
          <w:b/>
          <w:bCs/>
          <w:sz w:val="28"/>
          <w:szCs w:val="28"/>
        </w:rPr>
        <w:t>How will DMID be using this repository?</w:t>
      </w:r>
    </w:p>
    <w:p w14:paraId="3B3034AF" w14:textId="77777777" w:rsidR="00E9650D" w:rsidRPr="00E9650D" w:rsidRDefault="00E9650D" w:rsidP="00E9650D">
      <w:pPr>
        <w:numPr>
          <w:ilvl w:val="1"/>
          <w:numId w:val="1"/>
        </w:numPr>
        <w:rPr>
          <w:sz w:val="28"/>
          <w:szCs w:val="28"/>
        </w:rPr>
      </w:pPr>
      <w:r w:rsidRPr="00E9650D">
        <w:rPr>
          <w:sz w:val="28"/>
          <w:szCs w:val="28"/>
        </w:rPr>
        <w:t>All TMF documentation will be finalized at the CRO and final documents for each protocol will be sent to DMID staff to store in the electronic repository</w:t>
      </w:r>
    </w:p>
    <w:p w14:paraId="43620234" w14:textId="5DD669CC" w:rsidR="00E9650D" w:rsidRPr="005F0385" w:rsidRDefault="00E9650D" w:rsidP="00E9650D">
      <w:pPr>
        <w:numPr>
          <w:ilvl w:val="2"/>
          <w:numId w:val="1"/>
        </w:numPr>
        <w:rPr>
          <w:b/>
          <w:bCs/>
          <w:sz w:val="28"/>
          <w:szCs w:val="28"/>
        </w:rPr>
      </w:pPr>
      <w:r w:rsidRPr="00E9650D">
        <w:rPr>
          <w:b/>
          <w:bCs/>
          <w:sz w:val="28"/>
          <w:szCs w:val="28"/>
        </w:rPr>
        <w:t>How are the final documents to be sent to DMID?</w:t>
      </w:r>
    </w:p>
    <w:p w14:paraId="05A59E70" w14:textId="2F97DE32" w:rsidR="00E9650D" w:rsidRPr="00E9650D" w:rsidRDefault="009762C8" w:rsidP="009762C8">
      <w:pPr>
        <w:numPr>
          <w:ilvl w:val="3"/>
          <w:numId w:val="1"/>
        </w:numPr>
        <w:rPr>
          <w:color w:val="0070C0"/>
          <w:sz w:val="28"/>
          <w:szCs w:val="28"/>
        </w:rPr>
      </w:pPr>
      <w:r w:rsidRPr="00421FAA">
        <w:rPr>
          <w:color w:val="0070C0"/>
          <w:sz w:val="28"/>
          <w:szCs w:val="28"/>
        </w:rPr>
        <w:t>The CRO has offered to send the final documents via physical export o</w:t>
      </w:r>
      <w:r w:rsidR="00421FAA">
        <w:rPr>
          <w:color w:val="0070C0"/>
          <w:sz w:val="28"/>
          <w:szCs w:val="28"/>
        </w:rPr>
        <w:t>n CD, DVD, or Flash drive with metadata and exported audit trail</w:t>
      </w:r>
      <w:r w:rsidR="00F33519">
        <w:rPr>
          <w:color w:val="0070C0"/>
          <w:sz w:val="28"/>
          <w:szCs w:val="28"/>
        </w:rPr>
        <w:t>,</w:t>
      </w:r>
      <w:r w:rsidR="00421FAA">
        <w:rPr>
          <w:color w:val="0070C0"/>
          <w:sz w:val="28"/>
          <w:szCs w:val="28"/>
        </w:rPr>
        <w:t xml:space="preserve"> OR through a secure File Transfer Platform (</w:t>
      </w:r>
      <w:proofErr w:type="spellStart"/>
      <w:r w:rsidR="00421FAA">
        <w:rPr>
          <w:color w:val="0070C0"/>
          <w:sz w:val="28"/>
          <w:szCs w:val="28"/>
        </w:rPr>
        <w:t>sFTP</w:t>
      </w:r>
      <w:proofErr w:type="spellEnd"/>
      <w:r w:rsidR="00421FAA">
        <w:rPr>
          <w:color w:val="0070C0"/>
          <w:sz w:val="28"/>
          <w:szCs w:val="28"/>
        </w:rPr>
        <w:t xml:space="preserve">) with metadata and audit trail.  Our preference is the </w:t>
      </w:r>
      <w:proofErr w:type="spellStart"/>
      <w:r w:rsidR="00421FAA">
        <w:rPr>
          <w:color w:val="0070C0"/>
          <w:sz w:val="28"/>
          <w:szCs w:val="28"/>
        </w:rPr>
        <w:t>sFTP</w:t>
      </w:r>
      <w:proofErr w:type="spellEnd"/>
      <w:r w:rsidR="00421FAA">
        <w:rPr>
          <w:color w:val="0070C0"/>
          <w:sz w:val="28"/>
          <w:szCs w:val="28"/>
        </w:rPr>
        <w:t xml:space="preserve"> method at this </w:t>
      </w:r>
      <w:proofErr w:type="gramStart"/>
      <w:r w:rsidR="00421FAA">
        <w:rPr>
          <w:color w:val="0070C0"/>
          <w:sz w:val="28"/>
          <w:szCs w:val="28"/>
        </w:rPr>
        <w:t>time, but</w:t>
      </w:r>
      <w:proofErr w:type="gramEnd"/>
      <w:r w:rsidR="00421FAA">
        <w:rPr>
          <w:color w:val="0070C0"/>
          <w:sz w:val="28"/>
          <w:szCs w:val="28"/>
        </w:rPr>
        <w:t xml:space="preserve"> will re-evaluate if necessary. </w:t>
      </w:r>
    </w:p>
    <w:p w14:paraId="21FB5C8F" w14:textId="2E39B275" w:rsidR="00E9650D" w:rsidRPr="005F0385" w:rsidRDefault="00E9650D" w:rsidP="00E9650D">
      <w:pPr>
        <w:numPr>
          <w:ilvl w:val="2"/>
          <w:numId w:val="1"/>
        </w:numPr>
        <w:rPr>
          <w:b/>
          <w:bCs/>
          <w:sz w:val="28"/>
          <w:szCs w:val="28"/>
        </w:rPr>
      </w:pPr>
      <w:r w:rsidRPr="00E9650D">
        <w:rPr>
          <w:b/>
          <w:bCs/>
          <w:sz w:val="28"/>
          <w:szCs w:val="28"/>
        </w:rPr>
        <w:t>Will the CRO be importing the documents directly into the repository or will DMID be managing the import?</w:t>
      </w:r>
    </w:p>
    <w:p w14:paraId="7680030C" w14:textId="280CE61E" w:rsidR="00E9650D" w:rsidRPr="00E9650D" w:rsidRDefault="00421FAA" w:rsidP="00421FAA">
      <w:pPr>
        <w:numPr>
          <w:ilvl w:val="3"/>
          <w:numId w:val="1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If the </w:t>
      </w:r>
      <w:proofErr w:type="spellStart"/>
      <w:r>
        <w:rPr>
          <w:color w:val="0070C0"/>
          <w:sz w:val="28"/>
          <w:szCs w:val="28"/>
        </w:rPr>
        <w:t>sFTP</w:t>
      </w:r>
      <w:proofErr w:type="spellEnd"/>
      <w:r>
        <w:rPr>
          <w:color w:val="0070C0"/>
          <w:sz w:val="28"/>
          <w:szCs w:val="28"/>
        </w:rPr>
        <w:t xml:space="preserve"> is used, this would be a system to system transfer, however, DMID will create a QC checklist to ensure that all data has been transferred properly.</w:t>
      </w:r>
    </w:p>
    <w:p w14:paraId="431AA15B" w14:textId="11E4C998" w:rsidR="00E9650D" w:rsidRPr="005F0385" w:rsidRDefault="00E9650D" w:rsidP="00E9650D">
      <w:pPr>
        <w:numPr>
          <w:ilvl w:val="2"/>
          <w:numId w:val="1"/>
        </w:numPr>
        <w:rPr>
          <w:b/>
          <w:bCs/>
          <w:sz w:val="28"/>
          <w:szCs w:val="28"/>
        </w:rPr>
      </w:pPr>
      <w:r w:rsidRPr="00E9650D">
        <w:rPr>
          <w:b/>
          <w:bCs/>
          <w:sz w:val="28"/>
          <w:szCs w:val="28"/>
        </w:rPr>
        <w:t>Will TMF documents only be uploaded through the import function? Or will there be manual document uploads as well?</w:t>
      </w:r>
    </w:p>
    <w:p w14:paraId="111684A5" w14:textId="52BD1F40" w:rsidR="00E9650D" w:rsidRPr="00E9650D" w:rsidRDefault="00421FAA" w:rsidP="00421FAA">
      <w:pPr>
        <w:numPr>
          <w:ilvl w:val="3"/>
          <w:numId w:val="1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Since this initial phase of the project entails developing just the repository for </w:t>
      </w:r>
      <w:proofErr w:type="spellStart"/>
      <w:r>
        <w:rPr>
          <w:color w:val="0070C0"/>
          <w:sz w:val="28"/>
          <w:szCs w:val="28"/>
        </w:rPr>
        <w:t>uploaded</w:t>
      </w:r>
      <w:r w:rsidR="00F33519">
        <w:rPr>
          <w:color w:val="0070C0"/>
          <w:sz w:val="28"/>
          <w:szCs w:val="28"/>
        </w:rPr>
        <w:t>ing</w:t>
      </w:r>
      <w:proofErr w:type="spellEnd"/>
      <w:r>
        <w:rPr>
          <w:color w:val="0070C0"/>
          <w:sz w:val="28"/>
          <w:szCs w:val="28"/>
        </w:rPr>
        <w:t xml:space="preserve"> final </w:t>
      </w:r>
      <w:proofErr w:type="spellStart"/>
      <w:r>
        <w:rPr>
          <w:color w:val="0070C0"/>
          <w:sz w:val="28"/>
          <w:szCs w:val="28"/>
        </w:rPr>
        <w:t>eTMFs</w:t>
      </w:r>
      <w:proofErr w:type="spellEnd"/>
      <w:r>
        <w:rPr>
          <w:color w:val="0070C0"/>
          <w:sz w:val="28"/>
          <w:szCs w:val="28"/>
        </w:rPr>
        <w:t xml:space="preserve"> developed by the CRO, we will only need to upload through the import function.</w:t>
      </w:r>
      <w:r w:rsidR="008E0447">
        <w:rPr>
          <w:color w:val="0070C0"/>
          <w:sz w:val="28"/>
          <w:szCs w:val="28"/>
        </w:rPr>
        <w:t xml:space="preserve"> However, we do understand there may be documents that trickle in after the eTMF is final and we need to have a contingency plan</w:t>
      </w:r>
      <w:r w:rsidR="00F33519">
        <w:rPr>
          <w:color w:val="0070C0"/>
          <w:sz w:val="28"/>
          <w:szCs w:val="28"/>
        </w:rPr>
        <w:t>;</w:t>
      </w:r>
      <w:r w:rsidR="008E0447">
        <w:rPr>
          <w:color w:val="0070C0"/>
          <w:sz w:val="28"/>
          <w:szCs w:val="28"/>
        </w:rPr>
        <w:t xml:space="preserve"> but we do not want to hold up this project for that purpose.  In the future when we move towards developing in-house TMFs for DMID studies, there will </w:t>
      </w:r>
      <w:proofErr w:type="gramStart"/>
      <w:r w:rsidR="008E0447">
        <w:rPr>
          <w:color w:val="0070C0"/>
          <w:sz w:val="28"/>
          <w:szCs w:val="28"/>
        </w:rPr>
        <w:t xml:space="preserve">definitely </w:t>
      </w:r>
      <w:r w:rsidR="00F33519">
        <w:rPr>
          <w:color w:val="0070C0"/>
          <w:sz w:val="28"/>
          <w:szCs w:val="28"/>
        </w:rPr>
        <w:t>be</w:t>
      </w:r>
      <w:proofErr w:type="gramEnd"/>
      <w:r w:rsidR="00F33519">
        <w:rPr>
          <w:color w:val="0070C0"/>
          <w:sz w:val="28"/>
          <w:szCs w:val="28"/>
        </w:rPr>
        <w:t xml:space="preserve"> a </w:t>
      </w:r>
      <w:r w:rsidR="008E0447">
        <w:rPr>
          <w:color w:val="0070C0"/>
          <w:sz w:val="28"/>
          <w:szCs w:val="28"/>
        </w:rPr>
        <w:t>need to upload manually.</w:t>
      </w:r>
    </w:p>
    <w:p w14:paraId="7C16F107" w14:textId="0D9230D5" w:rsidR="00E9650D" w:rsidRPr="005F0385" w:rsidRDefault="00E9650D" w:rsidP="00E9650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9650D">
        <w:rPr>
          <w:b/>
          <w:bCs/>
          <w:sz w:val="28"/>
          <w:szCs w:val="28"/>
        </w:rPr>
        <w:t>Will there be any branch or team-specific folders needed for storing protocols?</w:t>
      </w:r>
    </w:p>
    <w:p w14:paraId="3C680291" w14:textId="4F78A71A" w:rsidR="00E9650D" w:rsidRPr="00E9650D" w:rsidRDefault="008E0447" w:rsidP="008E0447">
      <w:pPr>
        <w:numPr>
          <w:ilvl w:val="1"/>
          <w:numId w:val="1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 xml:space="preserve">At this time, we will only be transferring final </w:t>
      </w:r>
      <w:proofErr w:type="spellStart"/>
      <w:r>
        <w:rPr>
          <w:color w:val="0070C0"/>
          <w:sz w:val="28"/>
          <w:szCs w:val="28"/>
        </w:rPr>
        <w:t>eTMFs</w:t>
      </w:r>
      <w:proofErr w:type="spellEnd"/>
      <w:r>
        <w:rPr>
          <w:color w:val="0070C0"/>
          <w:sz w:val="28"/>
          <w:szCs w:val="28"/>
        </w:rPr>
        <w:t xml:space="preserve"> into the repository and we will not need additional folders.</w:t>
      </w:r>
    </w:p>
    <w:p w14:paraId="17299C85" w14:textId="62AF7A9E" w:rsidR="00E9650D" w:rsidRPr="005F0385" w:rsidRDefault="00E9650D" w:rsidP="00E9650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9650D">
        <w:rPr>
          <w:b/>
          <w:bCs/>
          <w:sz w:val="28"/>
          <w:szCs w:val="28"/>
        </w:rPr>
        <w:t>Will all protocols be stored in the general repository with no additional organization needed?</w:t>
      </w:r>
    </w:p>
    <w:p w14:paraId="00FFE801" w14:textId="16023420" w:rsidR="00E9650D" w:rsidRPr="00E9650D" w:rsidRDefault="008E0447" w:rsidP="008E0447">
      <w:pPr>
        <w:numPr>
          <w:ilvl w:val="1"/>
          <w:numId w:val="1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>Yes, all protocols will be stored in the general repository.</w:t>
      </w:r>
    </w:p>
    <w:p w14:paraId="32666146" w14:textId="6D96772E" w:rsidR="00E9650D" w:rsidRPr="005F0385" w:rsidRDefault="00E9650D" w:rsidP="00E9650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9650D">
        <w:rPr>
          <w:b/>
          <w:bCs/>
          <w:sz w:val="28"/>
          <w:szCs w:val="28"/>
        </w:rPr>
        <w:t>Are any additional requirements for Division specific folder structure outside of the hierarchical DIA model?</w:t>
      </w:r>
    </w:p>
    <w:p w14:paraId="40670B75" w14:textId="16D1FB8D" w:rsidR="00E9650D" w:rsidRPr="00E9650D" w:rsidRDefault="008E0447" w:rsidP="008E0447">
      <w:pPr>
        <w:numPr>
          <w:ilvl w:val="1"/>
          <w:numId w:val="1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>No, there are no additional requirements needed at this time.</w:t>
      </w:r>
    </w:p>
    <w:p w14:paraId="6DE2045C" w14:textId="10AC18AE" w:rsidR="00E9650D" w:rsidRPr="005F0385" w:rsidRDefault="00E9650D" w:rsidP="00E9650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9650D">
        <w:rPr>
          <w:b/>
          <w:bCs/>
          <w:sz w:val="28"/>
          <w:szCs w:val="28"/>
        </w:rPr>
        <w:t>Who are the primary users that will need access to the eTMF Repository?</w:t>
      </w:r>
    </w:p>
    <w:p w14:paraId="353B977D" w14:textId="26B6DE35" w:rsidR="00E9650D" w:rsidRPr="00E9650D" w:rsidRDefault="00275175" w:rsidP="008E0447">
      <w:pPr>
        <w:numPr>
          <w:ilvl w:val="1"/>
          <w:numId w:val="1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>The primary users will be determined by the role of Editor and Read Only.</w:t>
      </w:r>
    </w:p>
    <w:p w14:paraId="12CE1FA8" w14:textId="4A2F6CCD" w:rsidR="00E9650D" w:rsidRPr="005F0385" w:rsidRDefault="00E9650D" w:rsidP="00E9650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9650D">
        <w:rPr>
          <w:b/>
          <w:bCs/>
          <w:sz w:val="28"/>
          <w:szCs w:val="28"/>
        </w:rPr>
        <w:t>Are there edit or read-only permissions that must be associated with each folder?</w:t>
      </w:r>
    </w:p>
    <w:p w14:paraId="186DDEE0" w14:textId="2C27C3BC" w:rsidR="00E9650D" w:rsidRPr="00E9650D" w:rsidRDefault="008E0447" w:rsidP="008E0447">
      <w:pPr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color w:val="0070C0"/>
          <w:sz w:val="28"/>
          <w:szCs w:val="28"/>
        </w:rPr>
        <w:t>Yes</w:t>
      </w:r>
      <w:proofErr w:type="gramEnd"/>
      <w:r w:rsidR="00275175">
        <w:rPr>
          <w:color w:val="0070C0"/>
          <w:sz w:val="28"/>
          <w:szCs w:val="28"/>
        </w:rPr>
        <w:t xml:space="preserve"> and those permissions will be determined by the roles created for the users.</w:t>
      </w:r>
    </w:p>
    <w:p w14:paraId="08A1289B" w14:textId="0C8CDB1E" w:rsidR="00E9650D" w:rsidRPr="005F0385" w:rsidRDefault="00E9650D" w:rsidP="00E9650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9650D">
        <w:rPr>
          <w:b/>
          <w:bCs/>
          <w:sz w:val="28"/>
          <w:szCs w:val="28"/>
        </w:rPr>
        <w:t>Who or which roles will be responsible for creating a new protocol folder?</w:t>
      </w:r>
    </w:p>
    <w:p w14:paraId="05829459" w14:textId="12A666A4" w:rsidR="00E9650D" w:rsidRPr="00E9650D" w:rsidRDefault="00275175" w:rsidP="005F0385">
      <w:pPr>
        <w:numPr>
          <w:ilvl w:val="1"/>
          <w:numId w:val="1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>The Editor role, once determined, will be responsible for creating a new protocol file.</w:t>
      </w:r>
    </w:p>
    <w:p w14:paraId="7D81CCAE" w14:textId="6C28EA17" w:rsidR="00E9650D" w:rsidRPr="005F0385" w:rsidRDefault="00E9650D" w:rsidP="00E9650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9650D">
        <w:rPr>
          <w:b/>
          <w:bCs/>
          <w:sz w:val="28"/>
          <w:szCs w:val="28"/>
        </w:rPr>
        <w:t>Of these metadata fields, what needs to be tagged with the documentation that is imported from the CRO?</w:t>
      </w:r>
    </w:p>
    <w:p w14:paraId="78A96186" w14:textId="74872140" w:rsidR="00E9650D" w:rsidRPr="00E9650D" w:rsidRDefault="00275175" w:rsidP="00275175">
      <w:pPr>
        <w:numPr>
          <w:ilvl w:val="1"/>
          <w:numId w:val="1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>Audria will compare the metadata used in the Veeva Vault system to see which ones stand out as required fields and will get back to the team on this.</w:t>
      </w:r>
    </w:p>
    <w:p w14:paraId="779631CF" w14:textId="7F1383BD" w:rsidR="00E9650D" w:rsidRPr="005F0385" w:rsidRDefault="00E9650D" w:rsidP="00E9650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9650D">
        <w:rPr>
          <w:b/>
          <w:bCs/>
          <w:sz w:val="28"/>
          <w:szCs w:val="28"/>
        </w:rPr>
        <w:t>Do the values remain the same?</w:t>
      </w:r>
    </w:p>
    <w:p w14:paraId="2AB1F4A7" w14:textId="74713987" w:rsidR="00E9650D" w:rsidRPr="00E9650D" w:rsidRDefault="00275175" w:rsidP="00275175">
      <w:pPr>
        <w:numPr>
          <w:ilvl w:val="1"/>
          <w:numId w:val="1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>To be determined</w:t>
      </w:r>
    </w:p>
    <w:p w14:paraId="5801C31D" w14:textId="36B8F68A" w:rsidR="00E9650D" w:rsidRPr="005F0385" w:rsidRDefault="00E9650D" w:rsidP="00E9650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9650D">
        <w:rPr>
          <w:b/>
          <w:bCs/>
          <w:sz w:val="28"/>
          <w:szCs w:val="28"/>
        </w:rPr>
        <w:t>Are there any manually entered or required fields?</w:t>
      </w:r>
    </w:p>
    <w:p w14:paraId="70D6E7C4" w14:textId="5E70B500" w:rsidR="00E9650D" w:rsidRPr="00E9650D" w:rsidRDefault="00275175" w:rsidP="00275175">
      <w:pPr>
        <w:numPr>
          <w:ilvl w:val="1"/>
          <w:numId w:val="1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Not </w:t>
      </w:r>
      <w:proofErr w:type="gramStart"/>
      <w:r>
        <w:rPr>
          <w:color w:val="0070C0"/>
          <w:sz w:val="28"/>
          <w:szCs w:val="28"/>
        </w:rPr>
        <w:t>at this time</w:t>
      </w:r>
      <w:proofErr w:type="gramEnd"/>
      <w:r>
        <w:rPr>
          <w:color w:val="0070C0"/>
          <w:sz w:val="28"/>
          <w:szCs w:val="28"/>
        </w:rPr>
        <w:t>.</w:t>
      </w:r>
    </w:p>
    <w:p w14:paraId="76E555BE" w14:textId="24DCAF99" w:rsidR="00E9650D" w:rsidRPr="005F0385" w:rsidRDefault="00E9650D" w:rsidP="00E9650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9650D">
        <w:rPr>
          <w:b/>
          <w:bCs/>
          <w:sz w:val="28"/>
          <w:szCs w:val="28"/>
        </w:rPr>
        <w:lastRenderedPageBreak/>
        <w:t>How will search functions be performed in DMID?</w:t>
      </w:r>
    </w:p>
    <w:p w14:paraId="414937F4" w14:textId="63B3D5CB" w:rsidR="00E9650D" w:rsidRPr="00E9650D" w:rsidRDefault="00275175" w:rsidP="00275175">
      <w:pPr>
        <w:numPr>
          <w:ilvl w:val="1"/>
          <w:numId w:val="1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>For the most part, we will use search</w:t>
      </w:r>
      <w:r w:rsidR="005F0385">
        <w:rPr>
          <w:color w:val="0070C0"/>
          <w:sz w:val="28"/>
          <w:szCs w:val="28"/>
        </w:rPr>
        <w:t xml:space="preserve"> for inspection purposes and for our own internal purposes.</w:t>
      </w:r>
    </w:p>
    <w:p w14:paraId="5717452B" w14:textId="051DC59C" w:rsidR="00E9650D" w:rsidRPr="005F0385" w:rsidRDefault="00E9650D" w:rsidP="00E9650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9650D">
        <w:rPr>
          <w:b/>
          <w:bCs/>
          <w:sz w:val="28"/>
          <w:szCs w:val="28"/>
        </w:rPr>
        <w:t>What search and filter capabilities are required?</w:t>
      </w:r>
    </w:p>
    <w:p w14:paraId="6232A49F" w14:textId="6F2ADFF1" w:rsidR="00E9650D" w:rsidRPr="00E9650D" w:rsidRDefault="005F0385" w:rsidP="005F0385">
      <w:pPr>
        <w:numPr>
          <w:ilvl w:val="1"/>
          <w:numId w:val="1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>We’d like the possibility of searching across protocol and across sites, but this is not an immediate need and we don’t want to hold up the project to build this out.</w:t>
      </w:r>
    </w:p>
    <w:p w14:paraId="32C5793C" w14:textId="5ADE01F5" w:rsidR="00E9650D" w:rsidRPr="005F0385" w:rsidRDefault="00E9650D" w:rsidP="00E9650D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E9650D">
        <w:rPr>
          <w:b/>
          <w:bCs/>
          <w:sz w:val="28"/>
          <w:szCs w:val="28"/>
        </w:rPr>
        <w:t>Which metadata attributes will be used to search/</w:t>
      </w:r>
      <w:proofErr w:type="gramStart"/>
      <w:r w:rsidRPr="00E9650D">
        <w:rPr>
          <w:b/>
          <w:bCs/>
          <w:sz w:val="28"/>
          <w:szCs w:val="28"/>
        </w:rPr>
        <w:t>filter</w:t>
      </w:r>
      <w:proofErr w:type="gramEnd"/>
    </w:p>
    <w:p w14:paraId="11FDF2F1" w14:textId="01CB63FA" w:rsidR="00E9650D" w:rsidRPr="00E9650D" w:rsidRDefault="005F0385" w:rsidP="005F0385">
      <w:pPr>
        <w:numPr>
          <w:ilvl w:val="2"/>
          <w:numId w:val="1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>Metadata attributes include the site, site number, site PI and a search for specific types of documents such as notes to file</w:t>
      </w:r>
      <w:r w:rsidR="00F33519">
        <w:rPr>
          <w:color w:val="0070C0"/>
          <w:sz w:val="28"/>
          <w:szCs w:val="28"/>
        </w:rPr>
        <w:t>/</w:t>
      </w:r>
      <w:proofErr w:type="spellStart"/>
      <w:r w:rsidR="00F33519">
        <w:rPr>
          <w:color w:val="0070C0"/>
          <w:sz w:val="28"/>
          <w:szCs w:val="28"/>
        </w:rPr>
        <w:t>filenotes</w:t>
      </w:r>
      <w:proofErr w:type="spellEnd"/>
      <w:r>
        <w:rPr>
          <w:color w:val="0070C0"/>
          <w:sz w:val="28"/>
          <w:szCs w:val="28"/>
        </w:rPr>
        <w:t>, agreements, relevant communications…just to name a few.</w:t>
      </w:r>
    </w:p>
    <w:p w14:paraId="5CC8BAE0" w14:textId="7492AF9C" w:rsidR="00E9650D" w:rsidRPr="005F0385" w:rsidRDefault="00E9650D" w:rsidP="00E9650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9650D">
        <w:rPr>
          <w:b/>
          <w:bCs/>
          <w:sz w:val="28"/>
          <w:szCs w:val="28"/>
        </w:rPr>
        <w:t>Will searches only be performed at the individual protocol level?</w:t>
      </w:r>
    </w:p>
    <w:p w14:paraId="3A67DC59" w14:textId="66FBAE26" w:rsidR="00E9650D" w:rsidRPr="00E9650D" w:rsidRDefault="005F0385" w:rsidP="005F0385">
      <w:pPr>
        <w:numPr>
          <w:ilvl w:val="1"/>
          <w:numId w:val="1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>As stated above, we’d like to be able to search across protocols, but this is not an immediate need.</w:t>
      </w:r>
    </w:p>
    <w:p w14:paraId="1BB6198A" w14:textId="6054D1E7" w:rsidR="00E9650D" w:rsidRPr="005F0385" w:rsidRDefault="00E9650D" w:rsidP="00E9650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9650D">
        <w:rPr>
          <w:b/>
          <w:bCs/>
          <w:sz w:val="28"/>
          <w:szCs w:val="28"/>
        </w:rPr>
        <w:t>Are any exporting features needed for the data?</w:t>
      </w:r>
    </w:p>
    <w:p w14:paraId="24BB34F4" w14:textId="282B84A5" w:rsidR="00E9650D" w:rsidRDefault="005F0385" w:rsidP="00125B7C">
      <w:pPr>
        <w:numPr>
          <w:ilvl w:val="1"/>
          <w:numId w:val="1"/>
        </w:numPr>
      </w:pPr>
      <w:r w:rsidRPr="007558A7">
        <w:rPr>
          <w:color w:val="0070C0"/>
          <w:sz w:val="28"/>
          <w:szCs w:val="28"/>
        </w:rPr>
        <w:t>Yes, we will need exporting features</w:t>
      </w:r>
      <w:r w:rsidR="007558A7">
        <w:rPr>
          <w:color w:val="0070C0"/>
          <w:sz w:val="28"/>
          <w:szCs w:val="28"/>
        </w:rPr>
        <w:t xml:space="preserve"> to export reports that have been generated and to download documents, etc.</w:t>
      </w:r>
    </w:p>
    <w:sectPr w:rsidR="00E9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46E03"/>
    <w:multiLevelType w:val="hybridMultilevel"/>
    <w:tmpl w:val="4DF40C8E"/>
    <w:lvl w:ilvl="0" w:tplc="2340CE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FA62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581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4203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8AAA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C8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A89A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CEDB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2806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A14A4"/>
    <w:multiLevelType w:val="hybridMultilevel"/>
    <w:tmpl w:val="19983946"/>
    <w:lvl w:ilvl="0" w:tplc="B89CD8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C34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01D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ACB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DE6B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3E9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4CBF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10C2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0AF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E63B1"/>
    <w:multiLevelType w:val="hybridMultilevel"/>
    <w:tmpl w:val="A31E5322"/>
    <w:lvl w:ilvl="0" w:tplc="8FA40C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A06F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624A08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70371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9609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BCC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1801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4C9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566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1779E"/>
    <w:multiLevelType w:val="hybridMultilevel"/>
    <w:tmpl w:val="76BC82E6"/>
    <w:lvl w:ilvl="0" w:tplc="50AC38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08B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CAD8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7EFE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C8C8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6F1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B6A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8B3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6C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55C6E"/>
    <w:multiLevelType w:val="hybridMultilevel"/>
    <w:tmpl w:val="7AC69322"/>
    <w:lvl w:ilvl="0" w:tplc="EB1C13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280E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4481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A0C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D6BD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EA1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448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A6F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013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0D"/>
    <w:rsid w:val="001B3603"/>
    <w:rsid w:val="00275175"/>
    <w:rsid w:val="00421FAA"/>
    <w:rsid w:val="005F0385"/>
    <w:rsid w:val="007558A7"/>
    <w:rsid w:val="008E0447"/>
    <w:rsid w:val="009762C8"/>
    <w:rsid w:val="00B95464"/>
    <w:rsid w:val="00E9650D"/>
    <w:rsid w:val="00F33519"/>
    <w:rsid w:val="00F70D6F"/>
    <w:rsid w:val="00FD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D74F"/>
  <w15:chartTrackingRefBased/>
  <w15:docId w15:val="{66D418EB-38DF-4DDB-924C-80CFE7A6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099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676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00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920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65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846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97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065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355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24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32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251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22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04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851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744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56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176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4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328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360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578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Crowder, Audria (NIH/NIAID) [E]</dc:creator>
  <cp:keywords/>
  <dc:description/>
  <cp:lastModifiedBy>Crowder, Audria (NIH/NIAID) [E]</cp:lastModifiedBy>
  <cp:revision>3</cp:revision>
  <dcterms:created xsi:type="dcterms:W3CDTF">2021-04-06T17:49:00Z</dcterms:created>
  <dcterms:modified xsi:type="dcterms:W3CDTF">2021-04-06T17:49:00Z</dcterms:modified>
</cp:coreProperties>
</file>