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72"/>
        </w:rPr>
        <w:t>CHARLIE</w:t>
      </w:r>
    </w:p>
    <w:p>
      <w:pPr>
        <w:jc w:val="center"/>
      </w:pPr>
      <w:r>
        <w:rPr>
          <w:color w:val="4A4A6A"/>
          <w:sz w:val="36"/>
        </w:rPr>
        <w:t>Autonomous Collections Decision Engine</w:t>
      </w:r>
    </w:p>
    <w:p/>
    <w:p>
      <w:pPr>
        <w:jc w:val="center"/>
      </w:pPr>
      <w:r>
        <w:rPr>
          <w:sz w:val="28"/>
        </w:rPr>
        <w:t>Technical Architecture Document</w:t>
        <w:br/>
      </w:r>
      <w:r>
        <w:rPr>
          <w:sz w:val="24"/>
        </w:rPr>
        <w:t>Qashivo Ltd</w:t>
        <w:br/>
        <w:br/>
      </w:r>
      <w:r>
        <w:rPr>
          <w:sz w:val="22"/>
        </w:rPr>
        <w:t>Version 1.1 — April 2026</w:t>
        <w:br/>
      </w:r>
      <w:r>
        <w:rPr>
          <w:sz w:val="20"/>
        </w:rPr>
        <w:t>Classification: Internal / Technical Leadership</w:t>
        <w:br/>
        <w:br/>
      </w:r>
      <w:r>
        <w:rPr>
          <w:sz w:val="20"/>
        </w:rPr>
        <w:t>Audience: CTO, Principal Engineers, Technical Due Diligence</w:t>
      </w:r>
    </w:p>
    <w:p>
      <w:r>
        <w:br w:type="page"/>
      </w:r>
    </w:p>
    <w:p>
      <w:pPr>
        <w:pStyle w:val="Heading1"/>
      </w:pPr>
      <w:r>
        <w:t>Table of Contents</w:t>
      </w:r>
    </w:p>
    <w:p>
      <w:pPr>
        <w:spacing w:after="40"/>
      </w:pPr>
      <w:r>
        <w:rPr>
          <w:b/>
        </w:rPr>
        <w:t>1. Executive Summary</w:t>
      </w:r>
    </w:p>
    <w:p>
      <w:pPr>
        <w:spacing w:after="40"/>
      </w:pPr>
      <w:r>
        <w:rPr>
          <w:b/>
        </w:rPr>
        <w:t>2. System Architecture Overview</w:t>
      </w:r>
    </w:p>
    <w:p>
      <w:pPr>
        <w:spacing w:after="40"/>
      </w:pPr>
      <w:r>
        <w:rPr>
          <w:b/>
        </w:rPr>
        <w:t>3. Decision Engine</w:t>
      </w:r>
    </w:p>
    <w:p>
      <w:pPr>
        <w:spacing w:after="40"/>
      </w:pPr>
      <w:r>
        <w:t xml:space="preserve">    3.1 Priority Scoring</w:t>
      </w:r>
    </w:p>
    <w:p>
      <w:pPr>
        <w:spacing w:after="40"/>
      </w:pPr>
      <w:r>
        <w:t xml:space="preserve">    3.2 Channel Selection</w:t>
      </w:r>
    </w:p>
    <w:p>
      <w:pPr>
        <w:spacing w:after="40"/>
      </w:pPr>
      <w:r>
        <w:t xml:space="preserve">    3.3 Tone Escalation</w:t>
      </w:r>
    </w:p>
    <w:p>
      <w:pPr>
        <w:spacing w:after="40"/>
      </w:pPr>
      <w:r>
        <w:t xml:space="preserve">    3.4 Timing &amp; Composite Scoring</w:t>
      </w:r>
    </w:p>
    <w:p>
      <w:pPr>
        <w:spacing w:after="40"/>
      </w:pPr>
      <w:r>
        <w:t xml:space="preserve">    3.5 Invoice Consolidation</w:t>
      </w:r>
    </w:p>
    <w:p>
      <w:pPr>
        <w:spacing w:after="40"/>
      </w:pPr>
      <w:r>
        <w:rPr>
          <w:b/>
        </w:rPr>
        <w:t>4. Learning &amp; Intelligence Systems</w:t>
      </w:r>
    </w:p>
    <w:p>
      <w:pPr>
        <w:spacing w:after="40"/>
      </w:pPr>
      <w:r>
        <w:t xml:space="preserve">    4.1 Promise Reliability Score (PRS)</w:t>
      </w:r>
    </w:p>
    <w:p>
      <w:pPr>
        <w:spacing w:after="40"/>
      </w:pPr>
      <w:r>
        <w:t xml:space="preserve">    4.2 Channel Effectiveness</w:t>
      </w:r>
    </w:p>
    <w:p>
      <w:pPr>
        <w:spacing w:after="40"/>
      </w:pPr>
      <w:r>
        <w:t xml:space="preserve">    4.3 Payment Attribution</w:t>
      </w:r>
    </w:p>
    <w:p>
      <w:pPr>
        <w:spacing w:after="40"/>
      </w:pPr>
      <w:r>
        <w:t xml:space="preserve">    4.4 Portfolio Urgency</w:t>
      </w:r>
    </w:p>
    <w:p>
      <w:pPr>
        <w:spacing w:after="40"/>
      </w:pPr>
      <w:r>
        <w:t xml:space="preserve">    4.5 P(Pay) Distribution Model</w:t>
      </w:r>
    </w:p>
    <w:p>
      <w:pPr>
        <w:spacing w:after="40"/>
      </w:pPr>
      <w:r>
        <w:t xml:space="preserve">    4.6 Debtor Enrichment</w:t>
      </w:r>
    </w:p>
    <w:p>
      <w:pPr>
        <w:spacing w:after="40"/>
      </w:pPr>
      <w:r>
        <w:t xml:space="preserve">    4.7 Cold Start &amp; Segment Priors</w:t>
      </w:r>
    </w:p>
    <w:p>
      <w:pPr>
        <w:spacing w:after="40"/>
      </w:pPr>
      <w:r>
        <w:t xml:space="preserve">    4.8 Seasonal Patterns</w:t>
      </w:r>
    </w:p>
    <w:p>
      <w:pPr>
        <w:spacing w:after="40"/>
      </w:pPr>
      <w:r>
        <w:t xml:space="preserve">    4.9 Debtor Grouping</w:t>
      </w:r>
    </w:p>
    <w:p>
      <w:pPr>
        <w:spacing w:after="40"/>
      </w:pPr>
      <w:r>
        <w:rPr>
          <w:b/>
        </w:rPr>
        <w:t>5. Message Generation Pipeline</w:t>
      </w:r>
    </w:p>
    <w:p>
      <w:pPr>
        <w:spacing w:after="40"/>
      </w:pPr>
      <w:r>
        <w:t xml:space="preserve">    5.1 LLM Generation</w:t>
      </w:r>
    </w:p>
    <w:p>
      <w:pPr>
        <w:spacing w:after="40"/>
      </w:pPr>
      <w:r>
        <w:t xml:space="preserve">    5.2 Output Validation</w:t>
      </w:r>
    </w:p>
    <w:p>
      <w:pPr>
        <w:spacing w:after="40"/>
      </w:pPr>
      <w:r>
        <w:t xml:space="preserve">    5.3 Circuit Breaker</w:t>
      </w:r>
    </w:p>
    <w:p>
      <w:pPr>
        <w:spacing w:after="40"/>
      </w:pPr>
      <w:r>
        <w:t xml:space="preserve">    5.4 Template Fallback</w:t>
      </w:r>
    </w:p>
    <w:p>
      <w:pPr>
        <w:spacing w:after="40"/>
      </w:pPr>
      <w:r>
        <w:t xml:space="preserve">    5.5 Compliance Engine</w:t>
      </w:r>
    </w:p>
    <w:p>
      <w:pPr>
        <w:spacing w:after="40"/>
      </w:pPr>
      <w:r>
        <w:rPr>
          <w:b/>
        </w:rPr>
        <w:t>6. Execution &amp; Delivery Pipeline</w:t>
      </w:r>
    </w:p>
    <w:p>
      <w:pPr>
        <w:spacing w:after="40"/>
      </w:pPr>
      <w:r>
        <w:t xml:space="preserve">    6.1 Scheduler Architecture</w:t>
      </w:r>
    </w:p>
    <w:p>
      <w:pPr>
        <w:spacing w:after="40"/>
      </w:pPr>
      <w:r>
        <w:t xml:space="preserve">    6.2 Execution-Time Validation Gate</w:t>
      </w:r>
    </w:p>
    <w:p>
      <w:pPr>
        <w:spacing w:after="40"/>
      </w:pPr>
      <w:r>
        <w:t xml:space="preserve">    6.3 Delivery Tracking</w:t>
      </w:r>
    </w:p>
    <w:p>
      <w:pPr>
        <w:spacing w:after="40"/>
      </w:pPr>
      <w:r>
        <w:t xml:space="preserve">    6.4 Retry Logic</w:t>
      </w:r>
    </w:p>
    <w:p>
      <w:pPr>
        <w:spacing w:after="40"/>
      </w:pPr>
      <w:r>
        <w:t xml:space="preserve">    6.5 Legal Evidence &amp; Voice Contact Records</w:t>
      </w:r>
    </w:p>
    <w:p>
      <w:pPr>
        <w:spacing w:after="40"/>
      </w:pPr>
      <w:r>
        <w:rPr>
          <w:b/>
        </w:rPr>
        <w:t>7. Compliance &amp; Safety Systems</w:t>
      </w:r>
    </w:p>
    <w:p>
      <w:pPr>
        <w:spacing w:after="40"/>
      </w:pPr>
      <w:r>
        <w:rPr>
          <w:b/>
        </w:rPr>
        <w:t>8. Data Architecture</w:t>
      </w:r>
    </w:p>
    <w:p>
      <w:pPr>
        <w:spacing w:after="40"/>
      </w:pPr>
      <w:r>
        <w:rPr>
          <w:b/>
        </w:rPr>
        <w:t>9. Integration Points</w:t>
      </w:r>
    </w:p>
    <w:p>
      <w:pPr>
        <w:spacing w:after="40"/>
      </w:pPr>
      <w:r>
        <w:rPr>
          <w:b/>
        </w:rPr>
        <w:t>10. What Makes This System Exceptional</w:t>
      </w:r>
    </w:p>
    <w:p>
      <w:r>
        <w:br w:type="page"/>
      </w:r>
    </w:p>
    <w:p>
      <w:pPr>
        <w:pStyle w:val="Heading1"/>
      </w:pPr>
      <w:r>
        <w:t>1. Executive Summary</w:t>
      </w:r>
    </w:p>
    <w:p>
      <w:r>
        <w:t>Charlie is Qashivo's autonomous collections decision engine. It is not a template mailer, not a scheduled reminder system, and not a rules engine with an AI label bolted on. Charlie is a closed-loop learning system that decides when to contact each debtor, through which channel, in what tone, and with what message — then learns from the outcome to make a better decision next time.</w:t>
      </w:r>
    </w:p>
    <w:p>
      <w:r>
        <w:t>The system operates a continuous learning cycle. Overdue invoices enter Charlie's priority scoring pipeline, which evaluates every invoice against a composite formula weighing payment probability, communication friction, compliance risk, and portfolio urgency. The highest-scoring candidates receive actions planned by the adaptive scheduler, which fits a log-normal distribution to each debtor's historical payment behaviour and evaluates six time horizons to find the optimal moment to make contact. Messages are generated by Claude (Anthropic's LLM) with full business context — debtor history, invoice details, prior conversations, tone level, and seasonal patterns — producing genuinely personalised communications that pass through a five-point output validator and six-rule compliance engine before delivery.</w:t>
      </w:r>
    </w:p>
    <w:p>
      <w:r>
        <w:t>After delivery, the feedback loop closes. SendGrid webhooks report delivery status, opens, clicks, and replies. Xero sync detects invoice payment transitions. These signals flow through a three-tier channel effectiveness model (delivery 0.2, engagement 0.2, payment 0.6) that updates each debtor's learning profile via adaptive exponential moving averages. The Promise Reliability Score tracks whether debtors keep their promises using Bayesian inference with recency weighting. Portfolio-level urgency recomputes nightly, adjusting pressure based on DSO trajectory. Every decision Charlie makes tomorrow is informed by what it learned today.</w:t>
      </w:r>
    </w:p>
    <w:p>
      <w:r>
        <w:t>What differentiates Charlie from every collections automation product on the market is this: the system has no templates. Every message is generated fresh by an LLM with full context. Every timing decision is backed by a statistical model fitted to that specific debtor. Every tone escalation is velocity-capped and compliance-checked. Every channel selection reflects learned effectiveness, not configuration. And the entire pipeline is legally defensible — every action is logged with reasoning, compliance checks are auditable, and a 30-day statutory response window is enforced before any legal escalation.</w:t>
      </w:r>
    </w:p>
    <w:p>
      <w:r>
        <w:br w:type="page"/>
      </w:r>
    </w:p>
    <w:p>
      <w:pPr>
        <w:pStyle w:val="Heading1"/>
      </w:pPr>
      <w:r>
        <w:t>2. System Architecture Overview</w:t>
      </w:r>
    </w:p>
    <w:p>
      <w:r>
        <w:t>The end-to-end data flow from "invoice becomes overdue" to "debtor pays" traverses seven distinct layers, each with a specific responsibility. Understanding this flow is essential to understanding Charlie.</w:t>
      </w:r>
    </w:p>
    <w:p>
      <w:pPr>
        <w:pStyle w:val="Heading2"/>
      </w:pPr>
      <w:r>
        <w:t>The Seven Layers</w:t>
      </w:r>
    </w:p>
    <w:p>
      <w:r>
        <w:t>Layer 1: Data Ingestion. Xero sync (server/services/xeroSync.ts) runs on a 4-hour background cadence, fetching invoices and contacts via the Xero API with 1.5-second rate limiting between pages. Invoices are written to both cached_xero_invoices (raw reference) and the main invoices table. Contacts are upserted, but AR overlay fields (arContactEmail, arContactPhone, arContactName, arNotes) are never overwritten — these are Qashivo-owned data. When an invoice transitions to PAID status during sync, the system fires payment attribution through the event bus, closing the feedback loop.</w:t>
      </w:r>
    </w:p>
    <w:p>
      <w:r>
        <w:t>Layer 2: Intelligence &amp; Scoring. The portfolio controller (server/services/portfolioController.ts) orchestrates nightly processing at 2 AM. It calls recomputeUrgency() in the Charlie decision engine to adjust tenant-level urgency based on DSO trajectory, then calculatePerDebtorUrgency() to weight individual debtors by their contribution to overdue and payment trend. The Promise Reliability Service recalculates PRS scores with Bayesian adjustment. Debtor enrichment runs quarterly via Companies House API integration.</w:t>
      </w:r>
    </w:p>
    <w:p>
      <w:r>
        <w:t>Layer 3: Decision Engine. The Charlie decision engine (server/services/charlieDecisionEngine.ts) evaluates each overdue invoice through priority scoring, channel selection, tone escalation, and timing optimisation. The output is a CharlieDecision object containing the recommended action: channel, tone, timing, confidence, and whether human review is required.</w:t>
      </w:r>
    </w:p>
    <w:p>
      <w:r>
        <w:t>Layer 4: Action Planning. The action planner (server/services/actionPlanner.ts) converts decisions into concrete actions. It consolidates multiple invoices per debtor into single communications, applies debtor group consistency (Gap 12), enforces channel preference overrides (Gap 11), and integrates seasonal adjustments (Gap 13). Actions enter the system as either pending_approval (semi-auto mode) or scheduled (full-auto mode).</w:t>
      </w:r>
    </w:p>
    <w:p>
      <w:r>
        <w:t>Layer 5: Message Generation. The AI message generator (server/services/aiMessageGenerator.ts) produces email, SMS, and voice content via Claude API calls. A three-state circuit breaker protects against LLM outages. Generated content passes through a five-point output validator checking length, debtor name, invoice references, system prompt leakage, and tone alignment. If the circuit breaker is open beyond 4 hours, the system falls back to 10 static templates (5 tones x 2 channels).</w:t>
      </w:r>
    </w:p>
    <w:p>
      <w:r>
        <w:t>Layer 6: Compliance &amp; Execution. The compliance engine (server/services/compliance/complianceEngine.ts) applies six rules before any message reaches the wire: frequency cap, channel cooldown, time-of-day, prohibited language, data isolation, and debtor vulnerability. The action executor (server/services/actionExecutor.ts) runs a validation gate at execution time — re-checking invoice status, legal windows, and probable payments — before routing to the appropriate delivery wrapper (SendGrid for email, Vonage for SMS, Retell AI for voice). All wrappers enforce communication mode (Off/Testing/Soft Live/Live) and fail closed on errors.</w:t>
      </w:r>
    </w:p>
    <w:p>
      <w:r>
        <w:t>Layer 7: Feedback &amp; Learning. SendGrid delivery webhooks flow through the event bus (server/services/event-bus.ts) to update action delivery status and trigger channel effectiveness recalculation. Payment detection during Xero sync triggers attribution analysis. The channel effectiveness service updates learning profiles via adaptive EMA. This closes the loop: tomorrow's decisions reflect today's outcomes.</w:t>
      </w:r>
    </w:p>
    <w:p>
      <w:pPr>
        <w:pStyle w:val="Heading2"/>
      </w:pPr>
      <w:r>
        <w:t>Service Map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File</w:t>
            </w:r>
          </w:p>
        </w:tc>
        <w:tc>
          <w:tcPr>
            <w:tcW w:type="dxa" w:w="2880"/>
          </w:tcPr>
          <w:p>
            <w:r>
              <w:rPr>
                <w:b/>
                <w:sz w:val="18"/>
              </w:rPr>
              <w:t>Role</w:t>
            </w:r>
          </w:p>
        </w:tc>
      </w:tr>
      <w:tr>
        <w:tc>
          <w:tcPr>
            <w:tcW w:type="dxa" w:w="2880"/>
          </w:tcPr>
          <w:p>
            <w:r>
              <w:rPr>
                <w:sz w:val="18"/>
              </w:rPr>
              <w:t>Charlie Decision Engine</w:t>
            </w:r>
          </w:p>
        </w:tc>
        <w:tc>
          <w:tcPr>
            <w:tcW w:type="dxa" w:w="2880"/>
          </w:tcPr>
          <w:p>
            <w:r>
              <w:rPr>
                <w:sz w:val="18"/>
              </w:rPr>
              <w:t>server/services/charlieDecisionEngine.ts</w:t>
            </w:r>
          </w:p>
        </w:tc>
        <w:tc>
          <w:tcPr>
            <w:tcW w:type="dxa" w:w="2880"/>
          </w:tcPr>
          <w:p>
            <w:r>
              <w:rPr>
                <w:sz w:val="18"/>
              </w:rPr>
              <w:t>Priority scoring, channel selection, segment determination, portfolio urgency</w:t>
            </w:r>
          </w:p>
        </w:tc>
      </w:tr>
      <w:tr>
        <w:tc>
          <w:tcPr>
            <w:tcW w:type="dxa" w:w="2880"/>
          </w:tcPr>
          <w:p>
            <w:r>
              <w:rPr>
                <w:sz w:val="18"/>
              </w:rPr>
              <w:t>Tone Escalation Engine</w:t>
            </w:r>
          </w:p>
        </w:tc>
        <w:tc>
          <w:tcPr>
            <w:tcW w:type="dxa" w:w="2880"/>
          </w:tcPr>
          <w:p>
            <w:r>
              <w:rPr>
                <w:sz w:val="18"/>
              </w:rPr>
              <w:t>server/services/toneEscalationEngine.ts</w:t>
            </w:r>
          </w:p>
        </w:tc>
        <w:tc>
          <w:tcPr>
            <w:tcW w:type="dxa" w:w="2880"/>
          </w:tcPr>
          <w:p>
            <w:r>
              <w:rPr>
                <w:sz w:val="18"/>
              </w:rPr>
              <w:t>Five-level tone with velocity cap, no-response escalation, vulnerable ceiling</w:t>
            </w:r>
          </w:p>
        </w:tc>
      </w:tr>
      <w:tr>
        <w:tc>
          <w:tcPr>
            <w:tcW w:type="dxa" w:w="2880"/>
          </w:tcPr>
          <w:p>
            <w:r>
              <w:rPr>
                <w:sz w:val="18"/>
              </w:rPr>
              <w:t>Action Planner</w:t>
            </w:r>
          </w:p>
        </w:tc>
        <w:tc>
          <w:tcPr>
            <w:tcW w:type="dxa" w:w="2880"/>
          </w:tcPr>
          <w:p>
            <w:r>
              <w:rPr>
                <w:sz w:val="18"/>
              </w:rPr>
              <w:t>server/services/actionPlanner.ts</w:t>
            </w:r>
          </w:p>
        </w:tc>
        <w:tc>
          <w:tcPr>
            <w:tcW w:type="dxa" w:w="2880"/>
          </w:tcPr>
          <w:p>
            <w:r>
              <w:rPr>
                <w:sz w:val="18"/>
              </w:rPr>
              <w:t>Action creation, consolidation, debtor group enforcement, AI optimisation</w:t>
            </w:r>
          </w:p>
        </w:tc>
      </w:tr>
      <w:tr>
        <w:tc>
          <w:tcPr>
            <w:tcW w:type="dxa" w:w="2880"/>
          </w:tcPr>
          <w:p>
            <w:r>
              <w:rPr>
                <w:sz w:val="18"/>
              </w:rPr>
              <w:t>Action Executor</w:t>
            </w:r>
          </w:p>
        </w:tc>
        <w:tc>
          <w:tcPr>
            <w:tcW w:type="dxa" w:w="2880"/>
          </w:tcPr>
          <w:p>
            <w:r>
              <w:rPr>
                <w:sz w:val="18"/>
              </w:rPr>
              <w:t>server/services/actionExecutor.ts</w:t>
            </w:r>
          </w:p>
        </w:tc>
        <w:tc>
          <w:tcPr>
            <w:tcW w:type="dxa" w:w="2880"/>
          </w:tcPr>
          <w:p>
            <w:r>
              <w:rPr>
                <w:sz w:val="18"/>
              </w:rPr>
              <w:t>Execution-time validation, delivery, retry logic, legal window</w:t>
            </w:r>
          </w:p>
        </w:tc>
      </w:tr>
      <w:tr>
        <w:tc>
          <w:tcPr>
            <w:tcW w:type="dxa" w:w="2880"/>
          </w:tcPr>
          <w:p>
            <w:r>
              <w:rPr>
                <w:sz w:val="18"/>
              </w:rPr>
              <w:t>Collections Scheduler</w:t>
            </w:r>
          </w:p>
        </w:tc>
        <w:tc>
          <w:tcPr>
            <w:tcW w:type="dxa" w:w="2880"/>
          </w:tcPr>
          <w:p>
            <w:r>
              <w:rPr>
                <w:sz w:val="18"/>
              </w:rPr>
              <w:t>server/services/collectionsScheduler.ts</w:t>
            </w:r>
          </w:p>
        </w:tc>
        <w:tc>
          <w:tcPr>
            <w:tcW w:type="dxa" w:w="2880"/>
          </w:tcPr>
          <w:p>
            <w:r>
              <w:rPr>
                <w:sz w:val="18"/>
              </w:rPr>
              <w:t>Two-phase orchestrator: hourly planner, 10-minute executor</w:t>
            </w:r>
          </w:p>
        </w:tc>
      </w:tr>
      <w:tr>
        <w:tc>
          <w:tcPr>
            <w:tcW w:type="dxa" w:w="2880"/>
          </w:tcPr>
          <w:p>
            <w:r>
              <w:rPr>
                <w:sz w:val="18"/>
              </w:rPr>
              <w:t>Portfolio Controller</w:t>
            </w:r>
          </w:p>
        </w:tc>
        <w:tc>
          <w:tcPr>
            <w:tcW w:type="dxa" w:w="2880"/>
          </w:tcPr>
          <w:p>
            <w:r>
              <w:rPr>
                <w:sz w:val="18"/>
              </w:rPr>
              <w:t>server/services/portfolioController.ts</w:t>
            </w:r>
          </w:p>
        </w:tc>
        <w:tc>
          <w:tcPr>
            <w:tcW w:type="dxa" w:w="2880"/>
          </w:tcPr>
          <w:p>
            <w:r>
              <w:rPr>
                <w:sz w:val="18"/>
              </w:rPr>
              <w:t>Nightly urgency, 6-hourly adaptive planning, daily plan</w:t>
            </w:r>
          </w:p>
        </w:tc>
      </w:tr>
      <w:tr>
        <w:tc>
          <w:tcPr>
            <w:tcW w:type="dxa" w:w="2880"/>
          </w:tcPr>
          <w:p>
            <w:r>
              <w:rPr>
                <w:sz w:val="18"/>
              </w:rPr>
              <w:t>Adaptive Scheduler</w:t>
            </w:r>
          </w:p>
        </w:tc>
        <w:tc>
          <w:tcPr>
            <w:tcW w:type="dxa" w:w="2880"/>
          </w:tcPr>
          <w:p>
            <w:r>
              <w:rPr>
                <w:sz w:val="18"/>
              </w:rPr>
              <w:t>server/lib/adaptive-scheduler.ts</w:t>
            </w:r>
          </w:p>
        </w:tc>
        <w:tc>
          <w:tcPr>
            <w:tcW w:type="dxa" w:w="2880"/>
          </w:tcPr>
          <w:p>
            <w:r>
              <w:rPr>
                <w:sz w:val="18"/>
              </w:rPr>
              <w:t>Composite scoring: P(Pay), friction, compliance risk, urgency</w:t>
            </w:r>
          </w:p>
        </w:tc>
      </w:tr>
      <w:tr>
        <w:tc>
          <w:tcPr>
            <w:tcW w:type="dxa" w:w="2880"/>
          </w:tcPr>
          <w:p>
            <w:r>
              <w:rPr>
                <w:sz w:val="18"/>
              </w:rPr>
              <w:t>AI Message Generator</w:t>
            </w:r>
          </w:p>
        </w:tc>
        <w:tc>
          <w:tcPr>
            <w:tcW w:type="dxa" w:w="2880"/>
          </w:tcPr>
          <w:p>
            <w:r>
              <w:rPr>
                <w:sz w:val="18"/>
              </w:rPr>
              <w:t>server/services/aiMessageGenerator.ts</w:t>
            </w:r>
          </w:p>
        </w:tc>
        <w:tc>
          <w:tcPr>
            <w:tcW w:type="dxa" w:w="2880"/>
          </w:tcPr>
          <w:p>
            <w:r>
              <w:rPr>
                <w:sz w:val="18"/>
              </w:rPr>
              <w:t>LLM generation with circuit breaker + validation + fallback</w:t>
            </w:r>
          </w:p>
        </w:tc>
      </w:tr>
      <w:tr>
        <w:tc>
          <w:tcPr>
            <w:tcW w:type="dxa" w:w="2880"/>
          </w:tcPr>
          <w:p>
            <w:r>
              <w:rPr>
                <w:sz w:val="18"/>
              </w:rPr>
              <w:t>LLM Circuit Breaker</w:t>
            </w:r>
          </w:p>
        </w:tc>
        <w:tc>
          <w:tcPr>
            <w:tcW w:type="dxa" w:w="2880"/>
          </w:tcPr>
          <w:p>
            <w:r>
              <w:rPr>
                <w:sz w:val="18"/>
              </w:rPr>
              <w:t>server/services/llmCircuitBreaker.ts</w:t>
            </w:r>
          </w:p>
        </w:tc>
        <w:tc>
          <w:tcPr>
            <w:tcW w:type="dxa" w:w="2880"/>
          </w:tcPr>
          <w:p>
            <w:r>
              <w:rPr>
                <w:sz w:val="18"/>
              </w:rPr>
              <w:t>Three-state machine: closed/open/half_open</w:t>
            </w:r>
          </w:p>
        </w:tc>
      </w:tr>
      <w:tr>
        <w:tc>
          <w:tcPr>
            <w:tcW w:type="dxa" w:w="2880"/>
          </w:tcPr>
          <w:p>
            <w:r>
              <w:rPr>
                <w:sz w:val="18"/>
              </w:rPr>
              <w:t>LLM Output Validator</w:t>
            </w:r>
          </w:p>
        </w:tc>
        <w:tc>
          <w:tcPr>
            <w:tcW w:type="dxa" w:w="2880"/>
          </w:tcPr>
          <w:p>
            <w:r>
              <w:rPr>
                <w:sz w:val="18"/>
              </w:rPr>
              <w:t>server/services/llmOutputValidator.ts</w:t>
            </w:r>
          </w:p>
        </w:tc>
        <w:tc>
          <w:tcPr>
            <w:tcW w:type="dxa" w:w="2880"/>
          </w:tcPr>
          <w:p>
            <w:r>
              <w:rPr>
                <w:sz w:val="18"/>
              </w:rPr>
              <w:t>Five-point quality check on generated content</w:t>
            </w:r>
          </w:p>
        </w:tc>
      </w:tr>
      <w:tr>
        <w:tc>
          <w:tcPr>
            <w:tcW w:type="dxa" w:w="2880"/>
          </w:tcPr>
          <w:p>
            <w:r>
              <w:rPr>
                <w:sz w:val="18"/>
              </w:rPr>
              <w:t>Template Fallback</w:t>
            </w:r>
          </w:p>
        </w:tc>
        <w:tc>
          <w:tcPr>
            <w:tcW w:type="dxa" w:w="2880"/>
          </w:tcPr>
          <w:p>
            <w:r>
              <w:rPr>
                <w:sz w:val="18"/>
              </w:rPr>
              <w:t>server/services/templateFallback.ts</w:t>
            </w:r>
          </w:p>
        </w:tc>
        <w:tc>
          <w:tcPr>
            <w:tcW w:type="dxa" w:w="2880"/>
          </w:tcPr>
          <w:p>
            <w:r>
              <w:rPr>
                <w:sz w:val="18"/>
              </w:rPr>
              <w:t>Ten static templates (5 tones x 2 channels) for circuit-open fallback</w:t>
            </w:r>
          </w:p>
        </w:tc>
      </w:tr>
      <w:tr>
        <w:tc>
          <w:tcPr>
            <w:tcW w:type="dxa" w:w="2880"/>
          </w:tcPr>
          <w:p>
            <w:r>
              <w:rPr>
                <w:sz w:val="18"/>
              </w:rPr>
              <w:t>Compliance Engine</w:t>
            </w:r>
          </w:p>
        </w:tc>
        <w:tc>
          <w:tcPr>
            <w:tcW w:type="dxa" w:w="2880"/>
          </w:tcPr>
          <w:p>
            <w:r>
              <w:rPr>
                <w:sz w:val="18"/>
              </w:rPr>
              <w:t>server/services/compliance/complianceEngine.ts</w:t>
            </w:r>
          </w:p>
        </w:tc>
        <w:tc>
          <w:tcPr>
            <w:tcW w:type="dxa" w:w="2880"/>
          </w:tcPr>
          <w:p>
            <w:r>
              <w:rPr>
                <w:sz w:val="18"/>
              </w:rPr>
              <w:t>Six-rule compliance gate with audit logging</w:t>
            </w:r>
          </w:p>
        </w:tc>
      </w:tr>
      <w:tr>
        <w:tc>
          <w:tcPr>
            <w:tcW w:type="dxa" w:w="2880"/>
          </w:tcPr>
          <w:p>
            <w:r>
              <w:rPr>
                <w:sz w:val="18"/>
              </w:rPr>
              <w:t>Promise Reliability</w:t>
            </w:r>
          </w:p>
        </w:tc>
        <w:tc>
          <w:tcPr>
            <w:tcW w:type="dxa" w:w="2880"/>
          </w:tcPr>
          <w:p>
            <w:r>
              <w:rPr>
                <w:sz w:val="18"/>
              </w:rPr>
              <w:t>server/services/promiseReliabilityService.ts</w:t>
            </w:r>
          </w:p>
        </w:tc>
        <w:tc>
          <w:tcPr>
            <w:tcW w:type="dxa" w:w="2880"/>
          </w:tcPr>
          <w:p>
            <w:r>
              <w:rPr>
                <w:sz w:val="18"/>
              </w:rPr>
              <w:t>Bayesian PRS with recency weighting</w:t>
            </w:r>
          </w:p>
        </w:tc>
      </w:tr>
      <w:tr>
        <w:tc>
          <w:tcPr>
            <w:tcW w:type="dxa" w:w="2880"/>
          </w:tcPr>
          <w:p>
            <w:r>
              <w:rPr>
                <w:sz w:val="18"/>
              </w:rPr>
              <w:t>Channel Effectiveness</w:t>
            </w:r>
          </w:p>
        </w:tc>
        <w:tc>
          <w:tcPr>
            <w:tcW w:type="dxa" w:w="2880"/>
          </w:tcPr>
          <w:p>
            <w:r>
              <w:rPr>
                <w:sz w:val="18"/>
              </w:rPr>
              <w:t>server/services/channelEffectivenessService.ts</w:t>
            </w:r>
          </w:p>
        </w:tc>
        <w:tc>
          <w:tcPr>
            <w:tcW w:type="dxa" w:w="2880"/>
          </w:tcPr>
          <w:p>
            <w:r>
              <w:rPr>
                <w:sz w:val="18"/>
              </w:rPr>
              <w:t>Three-tier model, adaptive EMA, payment attribution</w:t>
            </w:r>
          </w:p>
        </w:tc>
      </w:tr>
      <w:tr>
        <w:tc>
          <w:tcPr>
            <w:tcW w:type="dxa" w:w="2880"/>
          </w:tcPr>
          <w:p>
            <w:r>
              <w:rPr>
                <w:sz w:val="18"/>
              </w:rPr>
              <w:t>Payment Distribution</w:t>
            </w:r>
          </w:p>
        </w:tc>
        <w:tc>
          <w:tcPr>
            <w:tcW w:type="dxa" w:w="2880"/>
          </w:tcPr>
          <w:p>
            <w:r>
              <w:rPr>
                <w:sz w:val="18"/>
              </w:rPr>
              <w:t>server/services/paymentDistribution.ts</w:t>
            </w:r>
          </w:p>
        </w:tc>
        <w:tc>
          <w:tcPr>
            <w:tcW w:type="dxa" w:w="2880"/>
          </w:tcPr>
          <w:p>
            <w:r>
              <w:rPr>
                <w:sz w:val="18"/>
              </w:rPr>
              <w:t>Log-normal distribution, seasonal adjustments, forecasting</w:t>
            </w:r>
          </w:p>
        </w:tc>
      </w:tr>
      <w:tr>
        <w:tc>
          <w:tcPr>
            <w:tcW w:type="dxa" w:w="2880"/>
          </w:tcPr>
          <w:p>
            <w:r>
              <w:rPr>
                <w:sz w:val="18"/>
              </w:rPr>
              <w:t>Collection Learning</w:t>
            </w:r>
          </w:p>
        </w:tc>
        <w:tc>
          <w:tcPr>
            <w:tcW w:type="dxa" w:w="2880"/>
          </w:tcPr>
          <w:p>
            <w:r>
              <w:rPr>
                <w:sz w:val="18"/>
              </w:rPr>
              <w:t>server/services/collectionLearningService.ts</w:t>
            </w:r>
          </w:p>
        </w:tc>
        <w:tc>
          <w:tcPr>
            <w:tcW w:type="dxa" w:w="2880"/>
          </w:tcPr>
          <w:p>
            <w:r>
              <w:rPr>
                <w:sz w:val="18"/>
              </w:rPr>
              <w:t>Segment priors, cold start, A/B testing, profile management</w:t>
            </w:r>
          </w:p>
        </w:tc>
      </w:tr>
      <w:tr>
        <w:tc>
          <w:tcPr>
            <w:tcW w:type="dxa" w:w="2880"/>
          </w:tcPr>
          <w:p>
            <w:r>
              <w:rPr>
                <w:sz w:val="18"/>
              </w:rPr>
              <w:t>Debtor Enrichment</w:t>
            </w:r>
          </w:p>
        </w:tc>
        <w:tc>
          <w:tcPr>
            <w:tcW w:type="dxa" w:w="2880"/>
          </w:tcPr>
          <w:p>
            <w:r>
              <w:rPr>
                <w:sz w:val="18"/>
              </w:rPr>
              <w:t>server/services/debtorEnrichmentService.ts</w:t>
            </w:r>
          </w:p>
        </w:tc>
        <w:tc>
          <w:tcPr>
            <w:tcW w:type="dxa" w:w="2880"/>
          </w:tcPr>
          <w:p>
            <w:r>
              <w:rPr>
                <w:sz w:val="18"/>
              </w:rPr>
              <w:t>Companies House integration, credit risk scoring</w:t>
            </w:r>
          </w:p>
        </w:tc>
      </w:tr>
      <w:tr>
        <w:tc>
          <w:tcPr>
            <w:tcW w:type="dxa" w:w="2880"/>
          </w:tcPr>
          <w:p>
            <w:r>
              <w:rPr>
                <w:sz w:val="18"/>
              </w:rPr>
              <w:t>Legal Window Job</w:t>
            </w:r>
          </w:p>
        </w:tc>
        <w:tc>
          <w:tcPr>
            <w:tcW w:type="dxa" w:w="2880"/>
          </w:tcPr>
          <w:p>
            <w:r>
              <w:rPr>
                <w:sz w:val="18"/>
              </w:rPr>
              <w:t>server/jobs/legalWindowJob.ts</w:t>
            </w:r>
          </w:p>
        </w:tc>
        <w:tc>
          <w:tcPr>
            <w:tcW w:type="dxa" w:w="2880"/>
          </w:tcPr>
          <w:p>
            <w:r>
              <w:rPr>
                <w:sz w:val="18"/>
              </w:rPr>
              <w:t>30-day statutory window monitoring, expiry warnings</w:t>
            </w:r>
          </w:p>
        </w:tc>
      </w:tr>
    </w:tbl>
    <w:p/>
    <w:p>
      <w:r>
        <w:br w:type="page"/>
      </w:r>
    </w:p>
    <w:p>
      <w:pPr>
        <w:pStyle w:val="Heading1"/>
      </w:pPr>
      <w:r>
        <w:t>3. Decision Engine</w:t>
      </w:r>
    </w:p>
    <w:p>
      <w:r>
        <w:t>The decision engine is the core of Charlie. It answers four questions for every overdue invoice: how urgent is this (priority scoring), how should we reach the debtor (channel selection), what posture should the communication take (tone escalation), and when is the optimal moment to make contact (timing). The answers are synthesised into a CharlieDecision object that drives the entire downstream pipeline.</w:t>
      </w:r>
    </w:p>
    <w:p>
      <w:pPr>
        <w:pStyle w:val="Heading2"/>
      </w:pPr>
      <w:r>
        <w:t>3.1 Priority Scoring</w:t>
      </w:r>
    </w:p>
    <w:p>
      <w:r>
        <w:t>Priority scoring in charlieDecisionEngine.ts assigns each invoice a numeric score (0–100) and a tier (critical, high, medium, low, or excluded). The algorithm runs in five phases.</w:t>
      </w:r>
    </w:p>
    <w:p>
      <w:r>
        <w:rPr>
          <w:b/>
        </w:rPr>
        <w:t xml:space="preserve">Phase 1: Exclusion. </w:t>
      </w:r>
      <w:r>
        <w:t>Invoices in admin_blocked, disputed, or ptp (promise-to-pay active) states are immediately assigned to the excluded tier with a score of 0. Invoices on hold or in terminal states (ptp_met, debt_recovery) are also excluded. These never generate actions.</w:t>
      </w:r>
    </w:p>
    <w:p>
      <w:r>
        <w:rPr>
          <w:b/>
        </w:rPr>
        <w:t xml:space="preserve">Phase 2: Critical fast-track. </w:t>
      </w:r>
      <w:r>
        <w:t>A missed promise-to-pay is the highest-priority event in the system. Any invoice where the debtor made a promise and broke it receives a score of 95 and the critical tier. This bypasses all other scoring logic.</w:t>
      </w:r>
    </w:p>
    <w:p>
      <w:r>
        <w:rPr>
          <w:b/>
        </w:rPr>
        <w:t xml:space="preserve">Phase 3: High priority. </w:t>
      </w:r>
      <w:r>
        <w:t>Two conditions qualify for high priority: invoices 60+ days overdue with a value of £10,000 or more score 85; invoices 30–60 days overdue with a value of £5,000 or more score 75.</w:t>
      </w:r>
    </w:p>
    <w:p>
      <w:r>
        <w:rPr>
          <w:b/>
        </w:rPr>
        <w:t xml:space="preserve">Phase 4: Medium priority. </w:t>
      </w:r>
      <w:r>
        <w:t>Newly overdue invoices (0–7 days) that are either high value or belong to new customers score 65. Early intervention on significant amounts prevents them from ageing.</w:t>
      </w:r>
    </w:p>
    <w:p>
      <w:r>
        <w:rPr>
          <w:b/>
        </w:rPr>
        <w:t xml:space="preserve">Phase 5: Accumulated scoring. </w:t>
      </w:r>
      <w:r>
        <w:t>All remaining invoices are scored by accumulating points across four dimensions: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Condition</w:t>
            </w:r>
          </w:p>
        </w:tc>
        <w:tc>
          <w:tcPr>
            <w:tcW w:type="dxa" w:w="2880"/>
          </w:tcPr>
          <w:p>
            <w:r>
              <w:rPr>
                <w:b/>
                <w:sz w:val="18"/>
              </w:rPr>
              <w:t>Points</w:t>
            </w:r>
          </w:p>
        </w:tc>
      </w:tr>
      <w:tr>
        <w:tc>
          <w:tcPr>
            <w:tcW w:type="dxa" w:w="2880"/>
          </w:tcPr>
          <w:p>
            <w:r>
              <w:rPr>
                <w:sz w:val="18"/>
              </w:rPr>
              <w:t>Overdue severity</w:t>
            </w:r>
          </w:p>
        </w:tc>
        <w:tc>
          <w:tcPr>
            <w:tcW w:type="dxa" w:w="2880"/>
          </w:tcPr>
          <w:p>
            <w:r>
              <w:rPr>
                <w:sz w:val="18"/>
              </w:rPr>
              <w:t>60+ days</w:t>
            </w:r>
          </w:p>
        </w:tc>
        <w:tc>
          <w:tcPr>
            <w:tcW w:type="dxa" w:w="2880"/>
          </w:tcPr>
          <w:p>
            <w:r>
              <w:rPr>
                <w:sz w:val="18"/>
              </w:rPr>
              <w:t>+40</w:t>
            </w:r>
          </w:p>
        </w:tc>
      </w:tr>
      <w:tr>
        <w:tc>
          <w:tcPr>
            <w:tcW w:type="dxa" w:w="2880"/>
          </w:tcPr>
          <w:p>
            <w:r>
              <w:rPr>
                <w:sz w:val="18"/>
              </w:rPr>
            </w:r>
          </w:p>
        </w:tc>
        <w:tc>
          <w:tcPr>
            <w:tcW w:type="dxa" w:w="2880"/>
          </w:tcPr>
          <w:p>
            <w:r>
              <w:rPr>
                <w:sz w:val="18"/>
              </w:rPr>
              <w:t>30–60 days</w:t>
            </w:r>
          </w:p>
        </w:tc>
        <w:tc>
          <w:tcPr>
            <w:tcW w:type="dxa" w:w="2880"/>
          </w:tcPr>
          <w:p>
            <w:r>
              <w:rPr>
                <w:sz w:val="18"/>
              </w:rPr>
              <w:t>+30</w:t>
            </w:r>
          </w:p>
        </w:tc>
      </w:tr>
      <w:tr>
        <w:tc>
          <w:tcPr>
            <w:tcW w:type="dxa" w:w="2880"/>
          </w:tcPr>
          <w:p>
            <w:r>
              <w:rPr>
                <w:sz w:val="18"/>
              </w:rPr>
            </w:r>
          </w:p>
        </w:tc>
        <w:tc>
          <w:tcPr>
            <w:tcW w:type="dxa" w:w="2880"/>
          </w:tcPr>
          <w:p>
            <w:r>
              <w:rPr>
                <w:sz w:val="18"/>
              </w:rPr>
              <w:t>14–30 days</w:t>
            </w:r>
          </w:p>
        </w:tc>
        <w:tc>
          <w:tcPr>
            <w:tcW w:type="dxa" w:w="2880"/>
          </w:tcPr>
          <w:p>
            <w:r>
              <w:rPr>
                <w:sz w:val="18"/>
              </w:rPr>
              <w:t>+20</w:t>
            </w:r>
          </w:p>
        </w:tc>
      </w:tr>
      <w:tr>
        <w:tc>
          <w:tcPr>
            <w:tcW w:type="dxa" w:w="2880"/>
          </w:tcPr>
          <w:p>
            <w:r>
              <w:rPr>
                <w:sz w:val="18"/>
              </w:rPr>
            </w:r>
          </w:p>
        </w:tc>
        <w:tc>
          <w:tcPr>
            <w:tcW w:type="dxa" w:w="2880"/>
          </w:tcPr>
          <w:p>
            <w:r>
              <w:rPr>
                <w:sz w:val="18"/>
              </w:rPr>
              <w:t>7–14 days</w:t>
            </w:r>
          </w:p>
        </w:tc>
        <w:tc>
          <w:tcPr>
            <w:tcW w:type="dxa" w:w="2880"/>
          </w:tcPr>
          <w:p>
            <w:r>
              <w:rPr>
                <w:sz w:val="18"/>
              </w:rPr>
              <w:t>+10</w:t>
            </w:r>
          </w:p>
        </w:tc>
      </w:tr>
      <w:tr>
        <w:tc>
          <w:tcPr>
            <w:tcW w:type="dxa" w:w="2880"/>
          </w:tcPr>
          <w:p>
            <w:r>
              <w:rPr>
                <w:sz w:val="18"/>
              </w:rPr>
            </w:r>
          </w:p>
        </w:tc>
        <w:tc>
          <w:tcPr>
            <w:tcW w:type="dxa" w:w="2880"/>
          </w:tcPr>
          <w:p>
            <w:r>
              <w:rPr>
                <w:sz w:val="18"/>
              </w:rPr>
              <w:t>0–7 days</w:t>
            </w:r>
          </w:p>
        </w:tc>
        <w:tc>
          <w:tcPr>
            <w:tcW w:type="dxa" w:w="2880"/>
          </w:tcPr>
          <w:p>
            <w:r>
              <w:rPr>
                <w:sz w:val="18"/>
              </w:rPr>
              <w:t>+5</w:t>
            </w:r>
          </w:p>
        </w:tc>
      </w:tr>
      <w:tr>
        <w:tc>
          <w:tcPr>
            <w:tcW w:type="dxa" w:w="2880"/>
          </w:tcPr>
          <w:p>
            <w:r>
              <w:rPr>
                <w:sz w:val="18"/>
              </w:rPr>
              <w:t>Amount</w:t>
            </w:r>
          </w:p>
        </w:tc>
        <w:tc>
          <w:tcPr>
            <w:tcW w:type="dxa" w:w="2880"/>
          </w:tcPr>
          <w:p>
            <w:r>
              <w:rPr>
                <w:sz w:val="18"/>
              </w:rPr>
              <w:t>≥ £10,000</w:t>
            </w:r>
          </w:p>
        </w:tc>
        <w:tc>
          <w:tcPr>
            <w:tcW w:type="dxa" w:w="2880"/>
          </w:tcPr>
          <w:p>
            <w:r>
              <w:rPr>
                <w:sz w:val="18"/>
              </w:rPr>
              <w:t>+15</w:t>
            </w:r>
          </w:p>
        </w:tc>
      </w:tr>
      <w:tr>
        <w:tc>
          <w:tcPr>
            <w:tcW w:type="dxa" w:w="2880"/>
          </w:tcPr>
          <w:p>
            <w:r>
              <w:rPr>
                <w:sz w:val="18"/>
              </w:rPr>
            </w:r>
          </w:p>
        </w:tc>
        <w:tc>
          <w:tcPr>
            <w:tcW w:type="dxa" w:w="2880"/>
          </w:tcPr>
          <w:p>
            <w:r>
              <w:rPr>
                <w:sz w:val="18"/>
              </w:rPr>
              <w:t>≥ £5,000</w:t>
            </w:r>
          </w:p>
        </w:tc>
        <w:tc>
          <w:tcPr>
            <w:tcW w:type="dxa" w:w="2880"/>
          </w:tcPr>
          <w:p>
            <w:r>
              <w:rPr>
                <w:sz w:val="18"/>
              </w:rPr>
              <w:t>+10</w:t>
            </w:r>
          </w:p>
        </w:tc>
      </w:tr>
      <w:tr>
        <w:tc>
          <w:tcPr>
            <w:tcW w:type="dxa" w:w="2880"/>
          </w:tcPr>
          <w:p>
            <w:r>
              <w:rPr>
                <w:sz w:val="18"/>
              </w:rPr>
              <w:t>Contact recency</w:t>
            </w:r>
          </w:p>
        </w:tc>
        <w:tc>
          <w:tcPr>
            <w:tcW w:type="dxa" w:w="2880"/>
          </w:tcPr>
          <w:p>
            <w:r>
              <w:rPr>
                <w:sz w:val="18"/>
              </w:rPr>
              <w:t>14+ days since last contact (overdue)</w:t>
            </w:r>
          </w:p>
        </w:tc>
        <w:tc>
          <w:tcPr>
            <w:tcW w:type="dxa" w:w="2880"/>
          </w:tcPr>
          <w:p>
            <w:r>
              <w:rPr>
                <w:sz w:val="18"/>
              </w:rPr>
              <w:t>+15</w:t>
            </w:r>
          </w:p>
        </w:tc>
      </w:tr>
      <w:tr>
        <w:tc>
          <w:tcPr>
            <w:tcW w:type="dxa" w:w="2880"/>
          </w:tcPr>
          <w:p>
            <w:r>
              <w:rPr>
                <w:sz w:val="18"/>
              </w:rPr>
            </w:r>
          </w:p>
        </w:tc>
        <w:tc>
          <w:tcPr>
            <w:tcW w:type="dxa" w:w="2880"/>
          </w:tcPr>
          <w:p>
            <w:r>
              <w:rPr>
                <w:sz w:val="18"/>
              </w:rPr>
              <w:t>Never contacted (overdue)</w:t>
            </w:r>
          </w:p>
        </w:tc>
        <w:tc>
          <w:tcPr>
            <w:tcW w:type="dxa" w:w="2880"/>
          </w:tcPr>
          <w:p>
            <w:r>
              <w:rPr>
                <w:sz w:val="18"/>
              </w:rPr>
              <w:t>+10</w:t>
            </w:r>
          </w:p>
        </w:tc>
      </w:tr>
      <w:tr>
        <w:tc>
          <w:tcPr>
            <w:tcW w:type="dxa" w:w="2880"/>
          </w:tcPr>
          <w:p>
            <w:r>
              <w:rPr>
                <w:sz w:val="18"/>
              </w:rPr>
            </w:r>
          </w:p>
        </w:tc>
        <w:tc>
          <w:tcPr>
            <w:tcW w:type="dxa" w:w="2880"/>
          </w:tcPr>
          <w:p>
            <w:r>
              <w:rPr>
                <w:sz w:val="18"/>
              </w:rPr>
              <w:t>7+ days since last contact</w:t>
            </w:r>
          </w:p>
        </w:tc>
        <w:tc>
          <w:tcPr>
            <w:tcW w:type="dxa" w:w="2880"/>
          </w:tcPr>
          <w:p>
            <w:r>
              <w:rPr>
                <w:sz w:val="18"/>
              </w:rPr>
              <w:t>+5</w:t>
            </w:r>
          </w:p>
        </w:tc>
      </w:tr>
      <w:tr>
        <w:tc>
          <w:tcPr>
            <w:tcW w:type="dxa" w:w="2880"/>
          </w:tcPr>
          <w:p>
            <w:r>
              <w:rPr>
                <w:sz w:val="18"/>
              </w:rPr>
              <w:t>State escalation</w:t>
            </w:r>
          </w:p>
        </w:tc>
        <w:tc>
          <w:tcPr>
            <w:tcW w:type="dxa" w:w="2880"/>
          </w:tcPr>
          <w:p>
            <w:r>
              <w:rPr>
                <w:sz w:val="18"/>
              </w:rPr>
              <w:t>final_demand state</w:t>
            </w:r>
          </w:p>
        </w:tc>
        <w:tc>
          <w:tcPr>
            <w:tcW w:type="dxa" w:w="2880"/>
          </w:tcPr>
          <w:p>
            <w:r>
              <w:rPr>
                <w:sz w:val="18"/>
              </w:rPr>
              <w:t>+20</w:t>
            </w:r>
          </w:p>
        </w:tc>
      </w:tr>
    </w:tbl>
    <w:p/>
    <w:p>
      <w:r>
        <w:t>The accumulated score maps to tiers: 80+ is high, 50–79 is medium, below 50 is low. The tier determines how aggressively the action planner schedules follow-up.</w:t>
      </w:r>
    </w:p>
    <w:p>
      <w:pPr>
        <w:pStyle w:val="Heading2"/>
      </w:pPr>
      <w:r>
        <w:t>3.2 Channel Selection</w:t>
      </w:r>
    </w:p>
    <w:p>
      <w:r>
        <w:t>Channel selection follows a mandated progression: email first, then SMS, then voice. This progression is not arbitrary — email creates a written audit trail (essential for legal escalation), SMS has higher open rates for short notices, and voice is reserved for high-value or persistently unresponsive debtors where a direct conversation may break a deadlock.</w:t>
      </w:r>
    </w:p>
    <w:p>
      <w:r>
        <w:t>The algorithm tracks prior attempts through the invoice's reminderCount field. First touch (reminderCount 0 or no prior contact date) always uses email if an email address is available, falling back to SMS if only a phone number exists. After 48–72 hours with no response and at least one prior email, the system escalates to SMS. After 5+ days with no response and at least one prior SMS, voice becomes available — but only for invoices that are either high value (≥£10,000) or 30+ days overdue. Enterprise-segment debtors always prefer email throughout the cycle (formal communication norms). Final demand actions always use email (written notice requirement).</w:t>
      </w:r>
    </w:p>
    <w:p>
      <w:r>
        <w:t>Channel preference hard overrides (Gap 11) are applied after the algorithmic selection. The system reads emailEnabled, smsEnabled, and voiceEnabled flags from the customerPreferences table. A null or undefined value defaults to true (backwards compatible). If the selected channel is disabled, the system falls back in order: email, then SMS, then voice. If all channels are disabled, the action is skipped entirely. These overrides can be set manually by users or extracted automatically by Riley from debtor conversations ("don't call me", "email only"). The applyChannelPreferenceOverride() method in charlieDecisionEngine.ts handles this logic.</w:t>
      </w:r>
    </w:p>
    <w:p>
      <w:pPr>
        <w:pStyle w:val="Heading2"/>
      </w:pPr>
      <w:r>
        <w:t>3.3 Tone Escalation</w:t>
      </w:r>
    </w:p>
    <w:p>
      <w:r>
        <w:t>The tone escalation engine (server/services/toneEscalationEngine.ts) manages a five-level tone scale: friendly, professional, firm, formal, and legal. The determineTone() function takes a ToneEscalationInput (tenantId, contactId, daysOverdue, touchCount) and returns a ToneEscalationResult containing the resolved tone level, reasoning chain, and detailed signals.</w:t>
      </w:r>
    </w:p>
    <w:p>
      <w:pPr>
        <w:pStyle w:val="Heading3"/>
      </w:pPr>
      <w:r>
        <w:t>Baseline Determination</w:t>
      </w:r>
    </w:p>
    <w:p>
      <w:r>
        <w:t>The baseline tone is determined by mapping days overdue against escalation thresholds, which vary by tenant style (GENTLE, STANDARD, or FIRM). Under the STANDARD profile, invoices stay at friendly for the first 7 days overdue, professional from 7–14 days, firm from 14–30 days, formal from 30–60 days, and legal beyond 60 days. The GENTLE profile extends each window (friendly to 14 days, professional to 21), while FIRM compresses them (friendly to 4 days, professional to 11).</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Tone Level</w:t>
            </w:r>
          </w:p>
        </w:tc>
        <w:tc>
          <w:tcPr>
            <w:tcW w:type="dxa" w:w="2160"/>
          </w:tcPr>
          <w:p>
            <w:r>
              <w:rPr>
                <w:b/>
                <w:sz w:val="18"/>
              </w:rPr>
              <w:t>GENTLE (days)</w:t>
            </w:r>
          </w:p>
        </w:tc>
        <w:tc>
          <w:tcPr>
            <w:tcW w:type="dxa" w:w="2160"/>
          </w:tcPr>
          <w:p>
            <w:r>
              <w:rPr>
                <w:b/>
                <w:sz w:val="18"/>
              </w:rPr>
              <w:t>STANDARD (days)</w:t>
            </w:r>
          </w:p>
        </w:tc>
        <w:tc>
          <w:tcPr>
            <w:tcW w:type="dxa" w:w="2160"/>
          </w:tcPr>
          <w:p>
            <w:r>
              <w:rPr>
                <w:b/>
                <w:sz w:val="18"/>
              </w:rPr>
              <w:t>FIRM (days)</w:t>
            </w:r>
          </w:p>
        </w:tc>
      </w:tr>
      <w:tr>
        <w:tc>
          <w:tcPr>
            <w:tcW w:type="dxa" w:w="2160"/>
          </w:tcPr>
          <w:p>
            <w:r>
              <w:rPr>
                <w:sz w:val="18"/>
              </w:rPr>
              <w:t>Friendly</w:t>
            </w:r>
          </w:p>
        </w:tc>
        <w:tc>
          <w:tcPr>
            <w:tcW w:type="dxa" w:w="2160"/>
          </w:tcPr>
          <w:p>
            <w:r>
              <w:rPr>
                <w:sz w:val="18"/>
              </w:rPr>
              <w:t>0–14</w:t>
            </w:r>
          </w:p>
        </w:tc>
        <w:tc>
          <w:tcPr>
            <w:tcW w:type="dxa" w:w="2160"/>
          </w:tcPr>
          <w:p>
            <w:r>
              <w:rPr>
                <w:sz w:val="18"/>
              </w:rPr>
              <w:t>0–7</w:t>
            </w:r>
          </w:p>
        </w:tc>
        <w:tc>
          <w:tcPr>
            <w:tcW w:type="dxa" w:w="2160"/>
          </w:tcPr>
          <w:p>
            <w:r>
              <w:rPr>
                <w:sz w:val="18"/>
              </w:rPr>
              <w:t>0–4</w:t>
            </w:r>
          </w:p>
        </w:tc>
      </w:tr>
      <w:tr>
        <w:tc>
          <w:tcPr>
            <w:tcW w:type="dxa" w:w="2160"/>
          </w:tcPr>
          <w:p>
            <w:r>
              <w:rPr>
                <w:sz w:val="18"/>
              </w:rPr>
              <w:t>Professional</w:t>
            </w:r>
          </w:p>
        </w:tc>
        <w:tc>
          <w:tcPr>
            <w:tcW w:type="dxa" w:w="2160"/>
          </w:tcPr>
          <w:p>
            <w:r>
              <w:rPr>
                <w:sz w:val="18"/>
              </w:rPr>
              <w:t>14–21</w:t>
            </w:r>
          </w:p>
        </w:tc>
        <w:tc>
          <w:tcPr>
            <w:tcW w:type="dxa" w:w="2160"/>
          </w:tcPr>
          <w:p>
            <w:r>
              <w:rPr>
                <w:sz w:val="18"/>
              </w:rPr>
              <w:t>7–14</w:t>
            </w:r>
          </w:p>
        </w:tc>
        <w:tc>
          <w:tcPr>
            <w:tcW w:type="dxa" w:w="2160"/>
          </w:tcPr>
          <w:p>
            <w:r>
              <w:rPr>
                <w:sz w:val="18"/>
              </w:rPr>
              <w:t>4–11</w:t>
            </w:r>
          </w:p>
        </w:tc>
      </w:tr>
      <w:tr>
        <w:tc>
          <w:tcPr>
            <w:tcW w:type="dxa" w:w="2160"/>
          </w:tcPr>
          <w:p>
            <w:r>
              <w:rPr>
                <w:sz w:val="18"/>
              </w:rPr>
              <w:t>Firm</w:t>
            </w:r>
          </w:p>
        </w:tc>
        <w:tc>
          <w:tcPr>
            <w:tcW w:type="dxa" w:w="2160"/>
          </w:tcPr>
          <w:p>
            <w:r>
              <w:rPr>
                <w:sz w:val="18"/>
              </w:rPr>
              <w:t>21–37</w:t>
            </w:r>
          </w:p>
        </w:tc>
        <w:tc>
          <w:tcPr>
            <w:tcW w:type="dxa" w:w="2160"/>
          </w:tcPr>
          <w:p>
            <w:r>
              <w:rPr>
                <w:sz w:val="18"/>
              </w:rPr>
              <w:t>14–30</w:t>
            </w:r>
          </w:p>
        </w:tc>
        <w:tc>
          <w:tcPr>
            <w:tcW w:type="dxa" w:w="2160"/>
          </w:tcPr>
          <w:p>
            <w:r>
              <w:rPr>
                <w:sz w:val="18"/>
              </w:rPr>
              <w:t>11–27</w:t>
            </w:r>
          </w:p>
        </w:tc>
      </w:tr>
      <w:tr>
        <w:tc>
          <w:tcPr>
            <w:tcW w:type="dxa" w:w="2160"/>
          </w:tcPr>
          <w:p>
            <w:r>
              <w:rPr>
                <w:sz w:val="18"/>
              </w:rPr>
              <w:t>Formal</w:t>
            </w:r>
          </w:p>
        </w:tc>
        <w:tc>
          <w:tcPr>
            <w:tcW w:type="dxa" w:w="2160"/>
          </w:tcPr>
          <w:p>
            <w:r>
              <w:rPr>
                <w:sz w:val="18"/>
              </w:rPr>
              <w:t>37–67</w:t>
            </w:r>
          </w:p>
        </w:tc>
        <w:tc>
          <w:tcPr>
            <w:tcW w:type="dxa" w:w="2160"/>
          </w:tcPr>
          <w:p>
            <w:r>
              <w:rPr>
                <w:sz w:val="18"/>
              </w:rPr>
              <w:t>30–60</w:t>
            </w:r>
          </w:p>
        </w:tc>
        <w:tc>
          <w:tcPr>
            <w:tcW w:type="dxa" w:w="2160"/>
          </w:tcPr>
          <w:p>
            <w:r>
              <w:rPr>
                <w:sz w:val="18"/>
              </w:rPr>
              <w:t>27–57</w:t>
            </w:r>
          </w:p>
        </w:tc>
      </w:tr>
      <w:tr>
        <w:tc>
          <w:tcPr>
            <w:tcW w:type="dxa" w:w="2160"/>
          </w:tcPr>
          <w:p>
            <w:r>
              <w:rPr>
                <w:sz w:val="18"/>
              </w:rPr>
              <w:t>Legal</w:t>
            </w:r>
          </w:p>
        </w:tc>
        <w:tc>
          <w:tcPr>
            <w:tcW w:type="dxa" w:w="2160"/>
          </w:tcPr>
          <w:p>
            <w:r>
              <w:rPr>
                <w:sz w:val="18"/>
              </w:rPr>
              <w:t>67+</w:t>
            </w:r>
          </w:p>
        </w:tc>
        <w:tc>
          <w:tcPr>
            <w:tcW w:type="dxa" w:w="2160"/>
          </w:tcPr>
          <w:p>
            <w:r>
              <w:rPr>
                <w:sz w:val="18"/>
              </w:rPr>
              <w:t>60+</w:t>
            </w:r>
          </w:p>
        </w:tc>
        <w:tc>
          <w:tcPr>
            <w:tcW w:type="dxa" w:w="2160"/>
          </w:tcPr>
          <w:p>
            <w:r>
              <w:rPr>
                <w:sz w:val="18"/>
              </w:rPr>
              <w:t>57+</w:t>
            </w:r>
          </w:p>
        </w:tc>
      </w:tr>
    </w:tbl>
    <w:p/>
    <w:p>
      <w:pPr>
        <w:pStyle w:val="Heading3"/>
      </w:pPr>
      <w:r>
        <w:t>Signal-Based Adjustments</w:t>
      </w:r>
    </w:p>
    <w:p>
      <w:r>
        <w:t>Six adjustments modify the baseline, each capable of stepping the tone up or down by one level. A recently engaged debtor (inbound message within 7 days, per RECENT_ENGAGEMENT_DAYS) steps down one level — there is no point escalating when the debtor is actively communicating. A serial promiser (flagged by the PRS service when promiseSequence ≥ 3 and PRS &lt; 60) steps up one level. A previously good payer (PRS ≥ 70, per GOOD_PAYER_PRS_THRESHOLD) with low touch count (≤2) who is not a serial promiser is held at friendly — these debtors deserve patience. New customers (created &lt; 90 days ago) with one or fewer touches are capped at professional. A deteriorating relationship (PRS trend shows 15+ point drop over 90 days) steps up one level. Finally, no-response escalation pressure (Gap 5) steps up one level when the debtor has ignored 4+ consecutive contacts (DEFAULT_NO_RESPONSE_THRESHOLD = 4), counted by getConsecutiveNoResponseCount() which checks the last 10 completed actions for inbound email responses.</w:t>
      </w:r>
    </w:p>
    <w:p>
      <w:pPr>
        <w:pStyle w:val="Heading3"/>
      </w:pPr>
      <w:r>
        <w:t>Velocity Cap</w:t>
      </w:r>
    </w:p>
    <w:p>
      <w:r>
        <w:t>The velocity cap (Gap 5) prevents tone from jumping more than one level between contact cycles. The engine reads agentToneLevel from the most recent completed action via getLastSentAction() (filtering out failed and bounced deliveries). The calculated tone cannot exceed lastTone + 1 or fall below lastTone − 1. On first contact, no velocity cap is applied.</w:t>
      </w:r>
    </w:p>
    <w:p>
      <w:r>
        <w:t>One exception bypasses the downward velocity cap: the significant payment override. If the debtor has paid 50% or more of their outstanding balance since the last action (DEFAULT_SIGNIFICANT_PAYMENT_THRESHOLD = 0.50), the baseline resets to professional regardless of where tone was previously. This prevents a debtor who has just made a substantial payment from receiving a firm or formal follow-up on the remaining balance.</w:t>
      </w:r>
    </w:p>
    <w:p>
      <w:pPr>
        <w:pStyle w:val="Heading3"/>
      </w:pPr>
      <w:r>
        <w:t>Hard Caps</w:t>
      </w:r>
    </w:p>
    <w:p>
      <w:r>
        <w:t>Two hard caps override all other logic. Vulnerable debtors (contacts with isPotentiallyVulnerable = true) are capped at professional (VULNERABLE_CEILING). GENTLE-style tenants cannot use the legal tone — it is capped to formal. The ToneEscalationResult includes wasCapped and uncappedTone fields for audit transparency.</w:t>
      </w:r>
    </w:p>
    <w:p>
      <w:pPr>
        <w:pStyle w:val="Heading2"/>
      </w:pPr>
      <w:r>
        <w:t>3.4 Timing &amp; Composite Scoring</w:t>
      </w:r>
    </w:p>
    <w:p>
      <w:r>
        <w:t>The adaptive scheduler (server/lib/adaptive-scheduler.ts) determines when to contact each debtor by evaluating six time horizons (12h, 24h, 36h, 48h, 72h, 96h from now) across all allowed channels. For each (time, channel) candidate, it computes a composite score using four weighted components.</w:t>
      </w:r>
    </w:p>
    <w:p>
      <w:r>
        <w:t>The composite scoring formula is:</w:t>
      </w:r>
    </w:p>
    <w:p>
      <w:pPr>
        <w:pStyle w:val="CodeBlock"/>
      </w:pPr>
      <w:r>
        <w:t>Score = 1.0 * P(Pay) - 0.35 * Friction - 0.6 * Risk + (0.4 + urgencyFactor) * Urgency</w:t>
      </w:r>
    </w:p>
    <w:p/>
    <w:p>
      <w:r>
        <w:t>The weights are fixed: alpha = 1.0 for payment probability, beta = 0.35 for friction cost, gamma = 0.6 for compliance risk, and delta = 0.4 + urgencyFactor for urgency (where urgencyFactor is the per-debtor urgency from the portfolio controller, typically 0.1–1.0). The candidate with the highest composite score wins.</w:t>
      </w:r>
    </w:p>
    <w:p>
      <w:pPr>
        <w:pStyle w:val="Heading3"/>
      </w:pPr>
      <w:r>
        <w:t>P(Pay) Estimation</w:t>
      </w:r>
    </w:p>
    <w:p>
      <w:r>
        <w:t>P(Pay) is the probability that the debtor will pay within the given time horizon, conditional on not having paid yet. The estimateProbabilityOfPayment() function in adaptive-scheduler.ts first fits a log-normal distribution to the debtor's historical payment data via fitDistribution() in paymentDistribution.ts. The distribution's mu (location) parameter comes from the trend-adjusted median days-to-pay, and sigma (spread) comes from the p75/median ratio or volatility fallback. Seasonal adjustments shift mu for the current month. The base probability uses the conditional CDF: P(pay in horizon | not paid yet) = (CDF(currentDay + horizon) − CDF(currentDay)) / (1 − CDF(currentDay)).</w:t>
      </w:r>
    </w:p>
    <w:p>
      <w:r>
        <w:t>Five additive modifiers refine the base probability. Channel effectiveness boost adds up to 60% of the channel's historical reply rate. An amount sensitivity penalty (log10(amount)/20, capped at 0.25) reduces probability for larger invoices. A weekday effect uses learned day-of-week payment patterns from customerBehaviorSignals. A promise-to-pay boost of 0.15 applies when the contact time falls before the promised payment date. The final probability is clamped to [0, 1].</w:t>
      </w:r>
    </w:p>
    <w:p>
      <w:pPr>
        <w:pStyle w:val="Heading3"/>
      </w:pPr>
      <w:r>
        <w:t>Friction Cost</w:t>
      </w:r>
    </w:p>
    <w:p>
      <w:r>
        <w:t>Friction measures how annoying this contact will be to the debtor. The base friction is 0.7 minus the channel's reply rate (new customers default to 0.7 — maximum friction). A repeat penalty of 0.1 applies if the proposed channel is the same as the last channel used. High friction reduces the composite score, steering the system toward channels the debtor has historically engaged with.</w:t>
      </w:r>
    </w:p>
    <w:p>
      <w:pPr>
        <w:pStyle w:val="Heading3"/>
      </w:pPr>
      <w:r>
        <w:t>Compliance Risk</w:t>
      </w:r>
    </w:p>
    <w:p>
      <w:r>
        <w:t>Compliance risk scores the legal and reputational danger of contacting at this time. Disputed invoices carry 0.8 risk (nearly blocking). Calling before an invoice is due scores 0.15. Contacting during an active promise-to-pay window scores 0.3. The baseline risk for standard contacts is 0.05.</w:t>
      </w:r>
    </w:p>
    <w:p>
      <w:pPr>
        <w:pStyle w:val="Heading3"/>
      </w:pPr>
      <w:r>
        <w:t>Urgency Boost</w:t>
      </w:r>
    </w:p>
    <w:p>
      <w:r>
        <w:t>Urgency applies portfolio-level pressure. The formula urgencyFactor / sqrt(hoursUntilTouch) favours earlier contact times when urgency is high. The delta weight (0.4 + urgencyFactor) means that a debtor with urgencyFactor 0.8 gets an urgency weight of 1.2, while a low-priority debtor at 0.2 gets only 0.6. This ensures high-urgency debtors are contacted sooner without overwhelming the system.</w:t>
      </w:r>
    </w:p>
    <w:p>
      <w:pPr>
        <w:pStyle w:val="Heading3"/>
      </w:pPr>
      <w:r>
        <w:t>Guard Conditions</w:t>
      </w:r>
    </w:p>
    <w:p>
      <w:r>
        <w:t>The scheduler returns null (no scheduling) if: a manual override exists, the invoice is disputed, the daily touch limit for the workflow or customer has been reached, or no channels are available after preference filtering. All candidate times must pass quiet hours validation (respecting tenant timezone) and minimum gap checks (configurable hours between touches for the same debtor).</w:t>
      </w:r>
    </w:p>
    <w:p>
      <w:pPr>
        <w:pStyle w:val="Heading2"/>
      </w:pPr>
      <w:r>
        <w:t>3.5 Invoice Consolidation</w:t>
      </w:r>
    </w:p>
    <w:p>
      <w:r>
        <w:t>The action planner's planAdaptiveActions() function consolidates multiple invoices per contact into single communications. After scoring all invoices individually, it groups them by contact and creates one bundled action per contact using the highest-priority recommendation. Only invoices that pass all exclusion checks (not disputed, not on hold, not paid, not paused) enter the consolidated action. If the consolidated total falls below the tenant's minimum chase threshold, the action is skipped entirely. This prevents sending a collections email for a trivial outstanding balance.</w:t>
      </w:r>
    </w:p>
    <w:p>
      <w:r>
        <w:br w:type="page"/>
      </w:r>
    </w:p>
    <w:p>
      <w:pPr>
        <w:pStyle w:val="Heading1"/>
      </w:pPr>
      <w:r>
        <w:t>4. Learning &amp; Intelligence Systems</w:t>
      </w:r>
    </w:p>
    <w:p>
      <w:r>
        <w:t>Charlie's learning systems are what elevate it from a decision engine to an adaptive intelligence. Nine subsystems work together to build an increasingly accurate model of each debtor's behaviour, payment patterns, and communication preferences.</w:t>
      </w:r>
    </w:p>
    <w:p>
      <w:pPr>
        <w:pStyle w:val="Heading2"/>
      </w:pPr>
      <w:r>
        <w:t>4.1 Promise Reliability Score (PRS)</w:t>
      </w:r>
    </w:p>
    <w:p>
      <w:r>
        <w:t>The Promise Reliability Service (server/services/promiseReliabilityService.ts) tracks whether debtors keep their promises. When a debtor makes a promise to pay (via agent conversation, Riley extraction, or manual entry), createPromise() records it. When the promise is evaluated (kept, broken, partially_kept, or cancelled), evaluatePromise() updates the record and triggers PRS recalculation.</w:t>
      </w:r>
    </w:p>
    <w:p>
      <w:r>
        <w:t>The PRS calculation uses Bayesian inference with recency weighting. Each resolved promise is scored (kept = 100, partially_kept = 50, broken = 0) and weighted by a 90-day half-life decay: weight = 1 / (1 + daysSinceResolution / 90). A promise resolved today has weight 1.0; a promise resolved 90 days ago has weight 0.5; a promise from 6 months ago has weight 0.25. The raw PRS is the weighted average: sum(weight * score) / sum(weight).</w:t>
      </w:r>
    </w:p>
    <w:p>
      <w:r>
        <w:t>Bayesian adjustment prevents thin-data debtors from receiving extreme scores. With BAYESIAN_K = 3 (equivalent to three promises of evidence), the adjusted PRS is (totalWeight * rawPRS + K * prior) / (totalWeight + K). The prior is the tenant population mean PRS if the tenant has 10+ scored debtors (MIN_TENANT_DEBTORS_FOR_MEAN), otherwise the system default of 60 (SYSTEM_DEFAULT_PRIOR). This means a debtor who has kept one promise scores approximately 70 (not 100), while a debtor with zero history starts at 60. Confidence is calculated as totalWeight / (totalWeight + K), approaching 1.0 as evidence accumulates.</w:t>
      </w:r>
    </w:p>
    <w:p>
      <w:r>
        <w:t>The service also derives four behavioural flags from the PRS data. isSerialPromiser triggers when a debtor has a promise sequence of 3+ and adjusted PRS below 60. isReliableLatePayer flags debtors with PRS between 40 and 70 who have payment history (they pay, just slowly). isRelationshipDeteriorating fires when the 30-day PRS is 15+ points below the 90-day PRS. isNewCustomer flags debtors with fewer than 3 total promises. These flags feed into tone escalation and channel selection decisions.</w:t>
      </w:r>
    </w:p>
    <w:p>
      <w:pPr>
        <w:pStyle w:val="Heading2"/>
      </w:pPr>
      <w:r>
        <w:t>4.2 Channel Effectiveness</w:t>
      </w:r>
    </w:p>
    <w:p>
      <w:r>
        <w:t>The channel effectiveness service (server/services/channelEffectivenessService.ts) maintains a three-tier model that scores how effective each channel (email, SMS, voice) is for each debtor. The three tiers, weighted by importance, are: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Tier</w:t>
            </w:r>
          </w:p>
        </w:tc>
        <w:tc>
          <w:tcPr>
            <w:tcW w:type="dxa" w:w="2160"/>
          </w:tcPr>
          <w:p>
            <w:r>
              <w:rPr>
                <w:b/>
                <w:sz w:val="18"/>
              </w:rPr>
              <w:t>Weight</w:t>
            </w:r>
          </w:p>
        </w:tc>
        <w:tc>
          <w:tcPr>
            <w:tcW w:type="dxa" w:w="2160"/>
          </w:tcPr>
          <w:p>
            <w:r>
              <w:rPr>
                <w:b/>
                <w:sz w:val="18"/>
              </w:rPr>
              <w:t>Signals</w:t>
            </w:r>
          </w:p>
        </w:tc>
        <w:tc>
          <w:tcPr>
            <w:tcW w:type="dxa" w:w="2160"/>
          </w:tcPr>
          <w:p>
            <w:r>
              <w:rPr>
                <w:b/>
                <w:sz w:val="18"/>
              </w:rPr>
              <w:t>Score Range</w:t>
            </w:r>
          </w:p>
        </w:tc>
      </w:tr>
      <w:tr>
        <w:tc>
          <w:tcPr>
            <w:tcW w:type="dxa" w:w="2160"/>
          </w:tcPr>
          <w:p>
            <w:r>
              <w:rPr>
                <w:sz w:val="18"/>
              </w:rPr>
              <w:t>Delivery</w:t>
            </w:r>
          </w:p>
        </w:tc>
        <w:tc>
          <w:tcPr>
            <w:tcW w:type="dxa" w:w="2160"/>
          </w:tcPr>
          <w:p>
            <w:r>
              <w:rPr>
                <w:sz w:val="18"/>
              </w:rPr>
              <w:t>0.2</w:t>
            </w:r>
          </w:p>
        </w:tc>
        <w:tc>
          <w:tcPr>
            <w:tcW w:type="dxa" w:w="2160"/>
          </w:tcPr>
          <w:p>
            <w:r>
              <w:rPr>
                <w:sz w:val="18"/>
              </w:rPr>
              <w:t>delivered=1.0, bounced=0.0, unknown=0.5</w:t>
            </w:r>
          </w:p>
        </w:tc>
        <w:tc>
          <w:tcPr>
            <w:tcW w:type="dxa" w:w="2160"/>
          </w:tcPr>
          <w:p>
            <w:r>
              <w:rPr>
                <w:sz w:val="18"/>
              </w:rPr>
              <w:t>0–1.0</w:t>
            </w:r>
          </w:p>
        </w:tc>
      </w:tr>
      <w:tr>
        <w:tc>
          <w:tcPr>
            <w:tcW w:type="dxa" w:w="2160"/>
          </w:tcPr>
          <w:p>
            <w:r>
              <w:rPr>
                <w:sz w:val="18"/>
              </w:rPr>
              <w:t>Engagement</w:t>
            </w:r>
          </w:p>
        </w:tc>
        <w:tc>
          <w:tcPr>
            <w:tcW w:type="dxa" w:w="2160"/>
          </w:tcPr>
          <w:p>
            <w:r>
              <w:rPr>
                <w:sz w:val="18"/>
              </w:rPr>
              <w:t>0.2</w:t>
            </w:r>
          </w:p>
        </w:tc>
        <w:tc>
          <w:tcPr>
            <w:tcW w:type="dxa" w:w="2160"/>
          </w:tcPr>
          <w:p>
            <w:r>
              <w:rPr>
                <w:sz w:val="18"/>
              </w:rPr>
              <w:t>replied=0.9, clicked=0.5, opened=0.3 (max, not sum)</w:t>
            </w:r>
          </w:p>
        </w:tc>
        <w:tc>
          <w:tcPr>
            <w:tcW w:type="dxa" w:w="2160"/>
          </w:tcPr>
          <w:p>
            <w:r>
              <w:rPr>
                <w:sz w:val="18"/>
              </w:rPr>
              <w:t>0–1.0</w:t>
            </w:r>
          </w:p>
        </w:tc>
      </w:tr>
      <w:tr>
        <w:tc>
          <w:tcPr>
            <w:tcW w:type="dxa" w:w="2160"/>
          </w:tcPr>
          <w:p>
            <w:r>
              <w:rPr>
                <w:sz w:val="18"/>
              </w:rPr>
              <w:t>Payment</w:t>
            </w:r>
          </w:p>
        </w:tc>
        <w:tc>
          <w:tcPr>
            <w:tcW w:type="dxa" w:w="2160"/>
          </w:tcPr>
          <w:p>
            <w:r>
              <w:rPr>
                <w:sz w:val="18"/>
              </w:rPr>
              <w:t>0.6</w:t>
            </w:r>
          </w:p>
        </w:tc>
        <w:tc>
          <w:tcPr>
            <w:tcW w:type="dxa" w:w="2160"/>
          </w:tcPr>
          <w:p>
            <w:r>
              <w:rPr>
                <w:sz w:val="18"/>
              </w:rPr>
              <w:t>Attribution score from payment analysis</w:t>
            </w:r>
          </w:p>
        </w:tc>
        <w:tc>
          <w:tcPr>
            <w:tcW w:type="dxa" w:w="2160"/>
          </w:tcPr>
          <w:p>
            <w:r>
              <w:rPr>
                <w:sz w:val="18"/>
              </w:rPr>
              <w:t>0–1.0</w:t>
            </w:r>
          </w:p>
        </w:tc>
      </w:tr>
    </w:tbl>
    <w:p/>
    <w:p>
      <w:r>
        <w:t>The combined effectiveness = (delivery * 0.2) + (engagement * 0.2) + (payment * 0.6). Payment outcome dominates because the ultimate measure of a collection channel's effectiveness is whether the debtor pays.</w:t>
      </w:r>
    </w:p>
    <w:p>
      <w:r>
        <w:t>Scores are updated via adaptive exponential moving average (EMA). The EMA retention factor is tied to confidence: retention = 0.5 + (0.3 * confidence), ranging from 0.53 at low confidence to 0.77 at high confidence. This means new debtors' scores change quickly (low retention, high responsiveness to new data), while established profiles change gradually (high retention, stable scores). Confidence itself grows by 0.1 * (1 - confidence) per update, capped at 0.95.</w:t>
      </w:r>
    </w:p>
    <w:p>
      <w:r>
        <w:t>Hard bounces bypass the EMA entirely. When a hard bounce is detected (via SendGrid webhook), handleHardBounceEffectiveness() immediately sets email effectiveness to 0.1. This is a definitive signal that the email address is invalid — no amount of averaging should dilute it.</w:t>
      </w:r>
    </w:p>
    <w:p>
      <w:pPr>
        <w:pStyle w:val="Heading2"/>
      </w:pPr>
      <w:r>
        <w:t>4.3 Payment Attribution</w:t>
      </w:r>
    </w:p>
    <w:p>
      <w:r>
        <w:t>When Xero sync detects an invoice has transitioned to PAID, the system must attribute that payment to the collection actions that influenced it. calculatePaymentAttribution() in channelEffectivenessService.ts implements a time-windowed attribution model with three configurable parameters (stored as tenant settings): paymentAttributionSameDayExcluded (default true), paymentAttributionFullCreditHours (default 48), and paymentAttributionPartialCreditDays (default 7).</w:t>
      </w:r>
    </w:p>
    <w:p>
      <w:r>
        <w:t>Same-day exclusion recognises that if a debtor pays the same day they receive a collection message, the payment was likely already in flight — the message did not cause it. Within the full credit window (48 hours), the most recent action receives full attribution (1.0). Between 48 hours and 7 days, the most recent action receives partial credit (0.5). Beyond 7 days, no attribution is assigned.</w:t>
      </w:r>
    </w:p>
    <w:p>
      <w:r>
        <w:t>Multi-channel attribution handles the common case where a debtor receives an email, then an SMS, then pays. processMultiChannelAttribution() gives the primary (most recent) action full or partial credit as above, and awards 0.3 credit to earlier actions within the same attribution window. This recognises that the email may have planted the seed, even though the SMS was the final nudge.</w:t>
      </w:r>
    </w:p>
    <w:p>
      <w:pPr>
        <w:pStyle w:val="Heading2"/>
      </w:pPr>
      <w:r>
        <w:t>4.4 Portfolio Urgency</w:t>
      </w:r>
    </w:p>
    <w:p>
      <w:r>
        <w:t>The portfolio controller manages urgency at two levels: tenant-wide and per-debtor.</w:t>
      </w:r>
    </w:p>
    <w:p>
      <w:r>
        <w:t>Tenant-wide urgency is recomputed nightly by recomputeUrgency() in charlieDecisionEngine.ts. It compares the tenant's projected DSO (from server/lib/dso.ts) against the target DSO (configurable, default 45 days). If projected DSO exceeds the target by more than 1 day, urgency increases by 0.1 (up to a maximum of 1.0). If projected DSO is below target by more than 1 day, urgency decreases by 0.1 (down to a minimum of 0.1). This creates a self-regulating feedback loop: when collections are effective, pressure eases; when DSO creeps up, pressure increases.</w:t>
      </w:r>
    </w:p>
    <w:p>
      <w:r>
        <w:t>Per-debtor urgency (Gap 3) adds granularity. calculatePerDebtorUrgency() computes each debtor's contribution to the total overdue balance, normalised so the average contribution weight is 1.0. A debtor responsible for 20% of overdue in a portfolio of 10 debtors has a contribution weight of 2.0. This is multiplied by a trend multiplier: debtors with deteriorating payment trends (trend &gt; 0) get multiplied by 1.0 to 1.5, while improving debtors (trend &lt; 0) get multiplied by 0.5 to 1.0. The final per-debtor urgency = baseUrgency * contributionWeight * trendMultiplier, written to customerLearningProfiles for the action planner to read.</w:t>
      </w:r>
    </w:p>
    <w:p>
      <w:r>
        <w:t>The effect: a small-balance debtor with improving payment trends gets near-zero urgency and may not be contacted at all, while a large-balance debtor dragging DSO upward receives maximum pressure. This prevents the common collections antipattern of treating all debtors equally regardless of their impact on the portfolio.</w:t>
      </w:r>
    </w:p>
    <w:p>
      <w:pPr>
        <w:pStyle w:val="Heading2"/>
      </w:pPr>
      <w:r>
        <w:t>4.5 P(Pay) Distribution Model</w:t>
      </w:r>
    </w:p>
    <w:p>
      <w:r>
        <w:t>Charlie models each debtor's payment behaviour as a log-normal distribution (server/services/paymentDistribution.ts). The log-normal is the correct distribution for payment timing: it is always positive (you cannot pay in negative days), right-skewed (most payments cluster near the median with a long tail of late payments), and its parameters have intuitive interpretations.</w:t>
      </w:r>
    </w:p>
    <w:p>
      <w:r>
        <w:t>The fitDistribution() function derives distribution parameters from four signals in customerBehaviorSignals. Mu (location) is ln(adjustedMedian) where adjustedMedian = max(1, medianDaysToPay + trend * TREND_WEIGHT). TREND_WEIGHT = 3 means each unit of trend shifts the expected payment date by approximately 3 days. Sigma (spread) is derived from p75DaysToPay when available: sigma = ln(p75/median) / 0.6745. If p75 is unavailable, volatility is used as a fallback: sigma = volatility * 0.3. Sigma is clamped to [0.1, 1.5] to prevent degenerate distributions.</w:t>
      </w:r>
    </w:p>
    <w:p>
      <w:r>
        <w:t>Three-scenario forecasting via getPaymentForecast() extracts the 25th, 50th, and 75th percentiles as optimistic, expected, and pessimistic payment dates. These feed directly into the Weekly CFO Review's cashflow projections, replacing the previous hardcoded multiplier approach (which used due date for optimistic, average for expected, and 1.5x average for pessimistic).</w:t>
      </w:r>
    </w:p>
    <w:p>
      <w:pPr>
        <w:pStyle w:val="Heading2"/>
      </w:pPr>
      <w:r>
        <w:t>4.6 Debtor Enrichment</w:t>
      </w:r>
    </w:p>
    <w:p>
      <w:r>
        <w:t>The debtor enrichment service (server/services/debtorEnrichmentService.ts) augments debtor profiles with external intelligence from Companies House. When new contacts are synced from Xero, enrichNewContacts() fires non-blocking enrichment for each contact. The pipeline: search Companies House by company name, fetch the company profile and filing history, calculate a credit risk score, generate a Claude AI risk summary, and store everything in the debtorIntelligence table.</w:t>
      </w:r>
    </w:p>
    <w:p>
      <w:r>
        <w:t>Credit risk scoring starts at a baseline of 50 and adjusts based on signals. Positive signals: company age &gt; 10 years (+15), age &gt; 5 years (+10), zero late filings (+10), medium or large company size (+5). Negative signals: late filing count (minus 3 per filing, capped at −15), insolvency risk (−50), dissolved status (−50), dormant status (−20), company age &lt; 2 years (−10). The final score is clamped to [0, 100] and written to both debtorIntelligence.creditRiskScore and contacts.riskScore for Charlie to read.</w:t>
      </w:r>
    </w:p>
    <w:p>
      <w:r>
        <w:t>A 90-day freshness check prevents re-enrichment of recently scored debtors. Quarterly re-enrichment (runQuarterlyEnrichment) processes up to 50 debtors per run, targeting those with outstanding balances whose enrichment is missing or stale. The Companies House API client (server/services/companiesHouse.ts) uses Basic authentication, respects the 600 requests per 5 minutes rate limit, and handles 429 responses with a 60-second wait and single retry.</w:t>
      </w:r>
    </w:p>
    <w:p>
      <w:pPr>
        <w:pStyle w:val="Heading2"/>
      </w:pPr>
      <w:r>
        <w:t>4.7 Cold Start &amp; Segment Priors</w:t>
      </w:r>
    </w:p>
    <w:p>
      <w:r>
        <w:t>New debtors present a cold-start problem: with no historical data, how does Charlie make informed decisions? The collection learning service (server/services/collectionLearningService.ts) solves this through a four-level fallback chain of segment priors.</w:t>
      </w:r>
    </w:p>
    <w:p>
      <w:r>
        <w:t>When getOrCreateCustomerProfile() creates a new learning profile, it calls getSegmentPriors() to inherit channel effectiveness scores from similar debtors. The fallback chain tries: (1) same segment and same size band within the tenant (confidence 0.20), (2) same segment across all sizes (confidence 0.15), (3) same size band across all segments (confidence 0.15), (4) system defaults of email=0.6, sms=0.5, voice=0.4 (confidence 0.10). Each level requires at least 5 mature profiles (learningConfidence &gt; 0.5) to form a cohort. Size bands are determined by credit limit: small (&lt;£10k), medium (£10k–£50k), large (≥£50k).</w:t>
      </w:r>
    </w:p>
    <w:p>
      <w:r>
        <w:t>For payment timing, the P(Pay) distribution model uses segment-specific log-normal priors: small_business has mu = ln(40) with sigma = 0.5 (40-day typical payment), enterprise has mu = ln(50) with sigma = 0.4 (slower but more consistent), freelancer has mu = ln(30) with sigma = 0.6 (faster but more variable). These priors are used by fitDistribution() when no historical payment data exists for the debtor.</w:t>
      </w:r>
    </w:p>
    <w:p>
      <w:pPr>
        <w:pStyle w:val="Heading2"/>
      </w:pPr>
      <w:r>
        <w:t>4.8 Seasonal Patterns</w:t>
      </w:r>
    </w:p>
    <w:p>
      <w:r>
        <w:t>Seasonal payment pattern integration (Gap 13) adjusts the P(Pay) distribution for known monthly variations. Patterns come from two sources. Riley extracts seasonal intelligence from user conversations (e.g., "construction companies slow down in December") and stores them as aiFacts with category='seasonal_pattern'. The system also learns patterns from payment history via calculateLearnedSeasonalPatterns(), which requires 12+ months of data and 2+ data points per month, identifying months that deviate more than 20% from the overall average.</w:t>
      </w:r>
    </w:p>
    <w:p>
      <w:r>
        <w:t>Three adjustment types shift the distribution's mu parameter: slow months (+0.15, approximately 15% later payment), fast months (−0.15, 15% earlier), and year-end months (−0.20, the strongest pull-forward reflecting year-end payment runs). getEffectiveSeasonalAdjustments() merges Riley-captured and learned patterns, with learned patterns overriding Riley when learning confidence exceeds 0.7. All four callers of fitDistribution() — the adaptive scheduler, action planner, weekly review service, and Riley assistant — pass seasonal adjustments through.</w:t>
      </w:r>
    </w:p>
    <w:p>
      <w:pPr>
        <w:pStyle w:val="Heading2"/>
      </w:pPr>
      <w:r>
        <w:t>4.9 Debtor Grouping</w:t>
      </w:r>
    </w:p>
    <w:p>
      <w:r>
        <w:t>Debtor grouping (Gap 12) handles the real-world situation where multiple contacts at the same company share an accounts payable department. Sending a friendly email to one contact and a firm email to another on the same day is contradictory and undermines credibility. The debtorGroups table links contacts, and the action planner's enforceDebtorGroupConsistency() function runs as a post-planning sweep.</w:t>
      </w:r>
    </w:p>
    <w:p>
      <w:r>
        <w:t>The sweep queries all same-day scheduled actions for contacts in the same group. It aligns all actions to the highest tone level in the group (tone only escalates, never de-escalates within a group day). It then cancels duplicate actions, keeping the highest-priority action and marking others with cancellationReason = 'debtor_group_same_day_conflict'. Riley's detectPotentialGroups() function suggests groups automatically by matching email domains (excluding 14 known generic providers like gmail.com, outlook.com, etc.).</w:t>
      </w:r>
    </w:p>
    <w:p>
      <w:r>
        <w:br w:type="page"/>
      </w:r>
    </w:p>
    <w:p>
      <w:pPr>
        <w:pStyle w:val="Heading1"/>
      </w:pPr>
      <w:r>
        <w:t>5. Message Generation Pipeline</w:t>
      </w:r>
    </w:p>
    <w:p>
      <w:r>
        <w:t>Charlie does not use templates for normal operations. Every email, SMS, and voice script is generated fresh by an LLM (Claude, via server/services/llm/claude.ts) with full business context. Templates exist only as a fallback when the LLM is unavailable. This section describes the generation pipeline end to end.</w:t>
      </w:r>
    </w:p>
    <w:p>
      <w:pPr>
        <w:pStyle w:val="Heading2"/>
      </w:pPr>
      <w:r>
        <w:t>5.1 LLM Generation</w:t>
      </w:r>
    </w:p>
    <w:p>
      <w:r>
        <w:t>The AI message generator (server/services/aiMessageGenerator.ts) exposes three methods: generateEmail(), generateSMS(), and generateVoiceScript(). Each takes a MessageContext (customer name, invoice details, outstanding amounts, prior contact history, promise-to-pay status, VIP flags, dispute status, tenant details, and payment link) and ToneSettings (playbook stage, tone profile, reason code, template ID, tenant style, and late payment legislation flag).</w:t>
      </w:r>
    </w:p>
    <w:p>
      <w:r>
        <w:t>Each method follows the same flow. First, canAttemptGeneration() queries the circuit breaker. If the circuit is closed (healthy), the generator builds a system prompt and user prompt specific to the channel, then calls callLLMWithRetry() which makes two attempts with a 10-second delay between failures. The LLM is asked to return structured JSON (subject, body, callToAction for email; body for SMS; voiceScript for voice). If generation succeeds, the output passes through validation. If both attempts fail, recordFailure() updates the circuit breaker.</w:t>
      </w:r>
    </w:p>
    <w:p>
      <w:r>
        <w:t>System prompts encode the tone rules. For email, the prompt specifies the sender persona (agent name and title from the tenant's agent persona configuration), the tone level with behavioural guidelines, and strict formatting rules (HTML paragraph tags, no signatures for SMS, no mentioning AI identity). The user prompt provides all invoice details, payment history, and context signals. For consolidated invoices with multiple line items, the email system prompt instructs the LLM to include an HTML table.</w:t>
      </w:r>
    </w:p>
    <w:p>
      <w:pPr>
        <w:pStyle w:val="Heading2"/>
      </w:pPr>
      <w:r>
        <w:t>5.2 Output Validation</w:t>
      </w:r>
    </w:p>
    <w:p>
      <w:r>
        <w:t>Every generated message passes through validateGeneratedMessage() in server/services/llmOutputValidator.ts, which applies five checks.</w:t>
      </w:r>
    </w:p>
    <w:p>
      <w:r>
        <w:rPr>
          <w:b/>
        </w:rPr>
        <w:t xml:space="preserve">Rule 1: Length bounds. </w:t>
      </w:r>
      <w:r>
        <w:t>Email content must be 200–5,000 characters (after HTML tag stripping). SMS must be 50–160 characters. Voice scripts must be 100–2,000 characters. Messages outside these bounds are rejected.</w:t>
      </w:r>
    </w:p>
    <w:p>
      <w:r>
        <w:rPr>
          <w:b/>
        </w:rPr>
        <w:t xml:space="preserve">Rule 2: Debtor name presence. </w:t>
      </w:r>
      <w:r>
        <w:t>The message must contain either the debtor's full name or at least the first word of their name (minimum 2 characters). This check is case-insensitive and skipped if the debtor name is the generic "Customer".</w:t>
      </w:r>
    </w:p>
    <w:p>
      <w:r>
        <w:rPr>
          <w:b/>
        </w:rPr>
        <w:t xml:space="preserve">Rule 3: Invoice reference or currency amount. </w:t>
      </w:r>
      <w:r>
        <w:t>The message must contain at least one invoice reference (case-insensitive match) or a currency amount matching the pattern £[digits]. This ensures every collections message is specific enough for the debtor to identify what they owe.</w:t>
      </w:r>
    </w:p>
    <w:p>
      <w:r>
        <w:rPr>
          <w:b/>
        </w:rPr>
        <w:t xml:space="preserve">Rule 4: System prompt leakage. </w:t>
      </w:r>
      <w:r>
        <w:t>Eight regex patterns detect AI identity exposure: "as an ai", "language model", "i'm claude", "i am claude", "anthropic", "system prompt", and format markers from other LLMs ([INST], &lt;|im_start|&gt;). Any match fails validation immediately.</w:t>
      </w:r>
    </w:p>
    <w:p>
      <w:r>
        <w:rPr>
          <w:b/>
        </w:rPr>
        <w:t xml:space="preserve">Rule 5: Tone alignment. </w:t>
      </w:r>
      <w:r>
        <w:t>Friendly-tone messages are rejected if they contain "legal proceedings", "consequences", or "failure to". Professional-tone messages are rejected for "legal proceedings". Legal-tone messages must contain at least one of "pre-action", "proceedings", "statutory interest", or "civil procedure". Firm and formal tones generate warnings but do not fail validation.</w:t>
      </w:r>
    </w:p>
    <w:p>
      <w:r>
        <w:t>If validation fails, the generator retries the LLM once. If the retry also fails validation, the system falls back to template content (for email and SMS) or returns an error (for voice, which has no template fallback).</w:t>
      </w:r>
    </w:p>
    <w:p>
      <w:pPr>
        <w:pStyle w:val="Heading2"/>
      </w:pPr>
      <w:r>
        <w:t>5.3 Circuit Breaker</w:t>
      </w:r>
    </w:p>
    <w:p>
      <w:r>
        <w:t>The LLM circuit breaker (server/services/llmCircuitBreaker.ts) implements a three-state machine per tenant to protect the system against sustained LLM outages. The states are closed (healthy), open (LLM unavailable), and half_open (recovery probe in progress).</w:t>
      </w:r>
    </w:p>
    <w:p>
      <w:r>
        <w:t>In the closed state, all generation attempts are allowed. When FAILURE_THRESHOLD (3) failures occur within FAILURE_WINDOW_MS (30 minutes), the circuit transitions to open. In the open state, generation is blocked. Every PROBE_INTERVAL_MS (5 minutes), a single probe request is allowed, transitioning the circuit to half_open. If the probe succeeds, the circuit returns to closed and admin notifications are sent. If the probe fails, the circuit returns to open.</w:t>
      </w:r>
    </w:p>
    <w:p>
      <w:r>
        <w:t>After TEMPLATE_ACTIVATION_MS (4 hours) in the open state, canAttemptGeneration() returns useTemplate = true, signalling the message generator to use static template fallbacks rather than queuing actions indefinitely. Admin notifications are sent via email when the circuit opens or closes. SMS notifications are defined but non-functional (the users table lacks a phone column).</w:t>
      </w:r>
    </w:p>
    <w:p>
      <w:pPr>
        <w:pStyle w:val="Heading2"/>
      </w:pPr>
      <w:r>
        <w:t>5.4 Template Fallback</w:t>
      </w:r>
    </w:p>
    <w:p>
      <w:r>
        <w:t>The template fallback library (server/services/templateFallback.ts) provides 10 static templates: 5 tones (friendly, professional, firm, formal, legal) across 2 channels (email and SMS). Voice has no template fallback — voice scripts require the nuance and context-awareness that only LLM generation can provide.</w:t>
      </w:r>
    </w:p>
    <w:p>
      <w:r>
        <w:t>Templates use {{variable}} placeholders substituted by the substitute() function. Variables include contactName, companyName, totalOutstanding, oldestInvoiceRef, oldestInvoiceDays, creditorName, agentName, agentTitle, agentEmail, and agentPhone. The buildTemplateContext() function assembles these from the message context and the tenant's active agent persona (fetched via storage.getActiveAgentPersona()). SMS templates are truncated to 160 characters and use first names only; tenant names are abbreviated (removing Ltd, PLC, Inc suffixes). Email templates use HTML paragraph tags for formatting.</w:t>
      </w:r>
    </w:p>
    <w:p>
      <w:r>
        <w:t>The legal-tone email template is marked as "LETTER BEFORE ACTION" — the formal pre-action notice required under UK debt collection practice. All template-generated messages are flagged with generationMethod = 'template_fallback' so they can be distinguished from LLM-generated content in analytics and audit.</w:t>
      </w:r>
    </w:p>
    <w:p>
      <w:pPr>
        <w:pStyle w:val="Heading2"/>
      </w:pPr>
      <w:r>
        <w:t>5.5 Compliance Engine</w:t>
      </w:r>
    </w:p>
    <w:p>
      <w:r>
        <w:t>The compliance engine (server/services/compliance/complianceEngine.ts) is the final gate before any message reaches the delivery pipeline. checkCompliance() applies six rules and returns a ComplianceResult with an action directive: send, block, regenerate, or queue_for_approval.</w:t>
      </w:r>
    </w:p>
    <w:p>
      <w:r>
        <w:rPr>
          <w:b/>
        </w:rPr>
        <w:t xml:space="preserve">Rule 1: Frequency cap. </w:t>
      </w:r>
      <w:r>
        <w:t>Counts outbound actions (email, SMS, call with status completed/sent/delivered, excluding failed and bounced deliveries) within the contact window (tenant setting, default 14 days). If the count meets or exceeds maxTouchesPerWindow (default 3), the action is queued for approval.</w:t>
      </w:r>
    </w:p>
    <w:p>
      <w:r>
        <w:rPr>
          <w:b/>
        </w:rPr>
        <w:t xml:space="preserve">Rule 2: Channel cooldown. </w:t>
      </w:r>
      <w:r>
        <w:t>Checks whether an email was sent to this contact within the email cooldown period (tenant setting, default 3 days). If so, the action is queued for approval.</w:t>
      </w:r>
    </w:p>
    <w:p>
      <w:r>
        <w:rPr>
          <w:b/>
        </w:rPr>
        <w:t xml:space="preserve">Rule 3: Time-of-day. </w:t>
      </w:r>
      <w:r>
        <w:t>Checks whether the current time falls within the tenant's configured business hours (default 08:00–18:00). If outside business hours, the action is queued for approval.</w:t>
      </w:r>
    </w:p>
    <w:p>
      <w:r>
        <w:rPr>
          <w:b/>
        </w:rPr>
        <w:t xml:space="preserve">Rule 4: Prohibited language. </w:t>
      </w:r>
      <w:r>
        <w:t>Scans the email subject and body against three pattern groups. Legal threat patterns (court action, legal proceedings, solicitor, CCJ, statutory demand, winding up, bailiff, enforcement agent) are only allowed at formal tone level — at any other tone, they trigger a block. Harassment patterns (pay immediately or, failure to pay will result, no choice but, final warning, last chance) are always blocked. Profanity patterns are always blocked.</w:t>
      </w:r>
    </w:p>
    <w:p>
      <w:r>
        <w:rPr>
          <w:b/>
        </w:rPr>
        <w:t xml:space="preserve">Rule 5: Data isolation. </w:t>
      </w:r>
      <w:r>
        <w:t>checkDataIsolation() queries all invoices for the tenant and checks whether the email content references any invoice belonging to a different contact. Invoice numbers shorter than 3 characters are skipped to avoid false positives. Word-boundary regex matching prevents substring matches. A violation triggers an immediate block — cross-debtor data leakage is a multi-tenancy breach.</w:t>
      </w:r>
    </w:p>
    <w:p>
      <w:r>
        <w:rPr>
          <w:b/>
        </w:rPr>
        <w:t xml:space="preserve">Rule 6: Debtor vulnerability. </w:t>
      </w:r>
      <w:r>
        <w:t>If the contact is flagged as isPotentiallyVulnerable and the tone level exceeds professional, the action is sent for regeneration at a lower tone. This aligns with the tone escalation engine's VULNERABLE_CEILING.</w:t>
      </w:r>
    </w:p>
    <w:p>
      <w:r>
        <w:t>Action determination follows a priority order. If prohibited language or data isolation is violated, the action is blocked. If vulnerability is violated, the message is regenerated. If only time-of-day is violated, the action is queued for approval (can be sent during next business hours). Frequency cap and cooldown violations also queue for approval. Every compliance check is logged to the complianceChecks table with the result, rules checked, violations, and agent reasoning — creating a full audit trail.</w:t>
      </w:r>
    </w:p>
    <w:p>
      <w:r>
        <w:br w:type="page"/>
      </w:r>
    </w:p>
    <w:p>
      <w:pPr>
        <w:pStyle w:val="Heading1"/>
      </w:pPr>
      <w:r>
        <w:t>6. Execution &amp; Delivery Pipeline</w:t>
      </w:r>
    </w:p>
    <w:p>
      <w:pPr>
        <w:pStyle w:val="Heading2"/>
      </w:pPr>
      <w:r>
        <w:t>6.1 Scheduler Architecture</w:t>
      </w:r>
    </w:p>
    <w:p>
      <w:r>
        <w:t>The collections scheduler (server/services/collectionsScheduler.ts) implements a two-phase architecture. Phase 1 (the planner) runs every 60 minutes, calling actionPlanner.planActionsForAllTenants() to scan all enabled tenants, evaluate overdue invoices, and create scheduled actions. Phase 2 (the executor) runs every 10 minutes, calling actionExecutor.executeScheduledActions() to process up to 50 actions per run that have reached their scheduled time and have been approved.</w:t>
      </w:r>
    </w:p>
    <w:p>
      <w:r>
        <w:t>The portfolio controller (server/services/portfolioController.ts) adds a higher-level orchestration layer using cron scheduling. The nightly urgency task runs at 2 AM daily, calling runNightly() to recompute urgency and per-debtor weights. The adaptive planning task runs every 6 hours, calling planAdaptiveActions() for each active workflow. The daily plan generation task also runs at 2 AM (Europe/London timezone), creating a daily plan for each tenant with collections automation enabled. Both the scheduler and portfolio controller start from the server's bootstrap sequence in server/startup/orchestrator.ts.</w:t>
      </w:r>
    </w:p>
    <w:p>
      <w:pPr>
        <w:pStyle w:val="Heading2"/>
      </w:pPr>
      <w:r>
        <w:t>6.2 Execution-Time Validation Gate</w:t>
      </w:r>
    </w:p>
    <w:p>
      <w:r>
        <w:t>The validation gate in actionExecutor.ts is critical. Actions may be planned hours or days before execution, and the world changes in the interim. validateActionBeforeExecution() re-checks every assumption before spending resources on message generation and delivery.</w:t>
      </w:r>
    </w:p>
    <w:p>
      <w:r>
        <w:t>The gate performs five checks in order. First, it checks the legal response window (Gap 10): if the contact has a legalResponseWindowEnd date that is still in the future, the action is cancelled with reason 'legal_response_window_active'. If the window has expired but hasn't been explicitly resolved by a manager, the action is cancelled with 'legal_response_window_expired_pending_resolution'. Second, it checks for probable payments (Gap 14): if a bank transaction has been matched to this debtor with high or medium confidence, the action is cancelled with 'probable_payment_detected'. Third, it re-reads all invoices in the action's bundle from the database, filtering out any that have become paid, void, deleted, disputed, on hold, or paused since planning. If all invoices are excluded, the action is cancelled. If the bundle has changed (fewer valid invoices), it is cancelled with 'bundle_modified_requires_replan'. Fourth, if the remaining total falls below the tenant's minimum chase threshold, the action is cancelled.</w:t>
      </w:r>
    </w:p>
    <w:p>
      <w:pPr>
        <w:pStyle w:val="Heading2"/>
      </w:pPr>
      <w:r>
        <w:t>6.3 Delivery Tracking</w:t>
      </w:r>
    </w:p>
    <w:p>
      <w:r>
        <w:t>Gap 8 implemented end-to-end delivery tracking for SendGrid emails. When the action executor sends an email via the SendGrid wrapper, it attaches custom arguments (tenant_id, action_id, contact_id, invoice_id) to the API call. When SendGrid fires delivery webhooks (delivered, bounced, dropped, opened, clicked), the webhook handler extracts these custom args and publishes events through the event bus. processDeliveryOutcome() updates the action's delivery status. processEffectivenessUpdate() in the channel effectiveness service recalculates the debtor's channel scores.</w:t>
      </w:r>
    </w:p>
    <w:p>
      <w:r>
        <w:t>Two delivery tracking gaps remain. Connected email (Gmail/Outlook OAuth path) has no equivalent to SendGrid custom args or webhooks — delivery tracking is SendGrid-only. Several SendGrid event types (processed, unsubscribe, spamreport, group_unsubscribe, group_resubscribe) are recorded in contactOutcomes but not processed by the delivery event pipeline.</w:t>
      </w:r>
    </w:p>
    <w:p>
      <w:pPr>
        <w:pStyle w:val="Heading2"/>
      </w:pPr>
      <w:r>
        <w:t>6.4 Retry Logic</w:t>
      </w:r>
    </w:p>
    <w:p>
      <w:r>
        <w:t>When email delivery fails, handleSendFailure() in the action executor implements a two-retry strategy with increasing delays. The first retry is scheduled 5 minutes after the failure; the second retry 30 minutes after. Each retry creates a new action record with retryOf pointing to the original action ID and an incremented retryCount. The original action is marked as status='failed' with deliveryStatus='failed'.</w:t>
      </w:r>
    </w:p>
    <w:p>
      <w:r>
        <w:t>If both retries fail, the action is marked status='failed_permanent' with deliveryStatus='failed_permanent'. A hard bounce event is published through the event bus, which triggers a timeline event for Data Health visibility and updates the channel effectiveness score. The maximum retry count of 2 prevents the system from hammering a permanently invalid email address.</w:t>
      </w:r>
    </w:p>
    <w:p>
      <w:pPr>
        <w:pStyle w:val="Heading2"/>
      </w:pPr>
      <w:r>
        <w:t>6.5 Legal Evidence &amp; Voice Contact Records</w:t>
      </w:r>
    </w:p>
    <w:p>
      <w:r>
        <w:t>Every action in the actions table includes the complete context used to generate it: the message content, the tone level (agentToneLevel), the scheduling reasoning, and the invoices covered. This creates a legally defensible audit trail showing exactly what was communicated, when, why, and to whom. The compliance checks table adds a parallel audit trail of every rule that was evaluated.</w:t>
      </w:r>
    </w:p>
    <w:p>
      <w:r>
        <w:t>For voice calls, the action executor calls sendVoiceCall() in server/services/communications/sendVoiceCall.ts, which wraps the Retell AI API. The voiceContactRecord (JSONB column on the actions table) stores the call outcome metadata. Voice calls require an agentId (Retell AI agent configuration) and are subject to the same communication mode enforcement as email and SMS.</w:t>
      </w:r>
    </w:p>
    <w:p>
      <w:r>
        <w:t>The legal response window (Gap 10) is set by setLegalResponseWindowIfNeeded() after any legal-tone action completes. It writes legalResponseWindowEnd = now + 30 days on the contact record and creates a timeline event. The daily legalWindowJob.ts monitors these windows: at day 25, it creates an expiry warning event (deduped against the previous 7 days). At day 30+, it creates an expired event. Both events are flagged as outcomeRequiresReview = true. Three resolution paths are available via API: resume_collections (clear the window), refer_debt_recovery (keep the window, log handoff), or extend_window (new 30-day window).</w:t>
      </w:r>
    </w:p>
    <w:p>
      <w:r>
        <w:br w:type="page"/>
      </w:r>
    </w:p>
    <w:p>
      <w:pPr>
        <w:pStyle w:val="Heading1"/>
      </w:pPr>
      <w:r>
        <w:t>7. Compliance &amp; Safety Systems</w:t>
      </w:r>
    </w:p>
    <w:p>
      <w:r>
        <w:t>Charlie operates in a heavily regulated domain. UK debt collection is governed by the Financial Conduct Authority, the "Time to Pay Up" legislation (effective 24 March 2026), and industry codes of practice. Every safety mechanism in Charlie exists because a specific legal or ethical risk demanded it.</w:t>
      </w:r>
    </w:p>
    <w:p>
      <w:pPr>
        <w:pStyle w:val="Heading2"/>
      </w:pPr>
      <w:r>
        <w:t>Communication Mode Enforcement</w:t>
      </w:r>
    </w:p>
    <w:p>
      <w:r>
        <w:t>All outbound communications pass through central enforcement wrappers that check the tenant's communication mode before anything reaches the wire. Four modes exist: Off (all sends blocked), Testing (sends redirected to test addresses with [TEST] prefix), Soft Live (currently identical to Testing until contact-level opt-in is built), and Live (full production delivery). The wrappers are in server/services/sendgrid.ts (enforceCommunicationMode), server/services/vonage.ts, and server/services/communications/sendVoiceCall.ts. Critically, all wrappers fail closed: if the database is unreachable during the mode check, sends are blocked, not allowed through. New tenants default to Testing mode.</w:t>
      </w:r>
    </w:p>
    <w:p>
      <w:pPr>
        <w:pStyle w:val="Heading2"/>
      </w:pPr>
      <w:r>
        <w:t>30-Day Statutory Response Window</w:t>
      </w:r>
    </w:p>
    <w:p>
      <w:r>
        <w:t>After any legal-tone action is delivered, a 30-day statutory response window is automatically set on the contact. During this window, the execution-time validation gate blocks all further collection actions for that debtor. When the window expires without resolution, it continues to block actions — a manager must explicitly resolve the window via the API (choosing to resume collections, refer to debt recovery, or extend for another 30 days). This prevents the system from inadvertently sending informal follow-ups after a formal pre-action notice, which would undermine the legal position.</w:t>
      </w:r>
    </w:p>
    <w:p>
      <w:pPr>
        <w:pStyle w:val="Heading2"/>
      </w:pPr>
      <w:r>
        <w:t>Channel Preference Overrides</w:t>
      </w:r>
    </w:p>
    <w:p>
      <w:r>
        <w:t>Debtor channel preferences are hard overrides that cannot be bypassed by algorithmic channel selection. If a debtor says "don't call me", voiceEnabled is set to false in customerPreferences, and Charlie will never select voice for that debtor regardless of what the channel selection algorithm recommends. Preferences can be set manually by users, or extracted automatically by Riley from conversation analysis. The system respects null as enabled (backwards compatible) and falls back through email, SMS, and voice in order when the preferred channel is disabled.</w:t>
      </w:r>
    </w:p>
    <w:p>
      <w:pPr>
        <w:pStyle w:val="Heading2"/>
      </w:pPr>
      <w:r>
        <w:t>Tone Velocity Cap</w:t>
      </w:r>
    </w:p>
    <w:p>
      <w:r>
        <w:t>The tone velocity cap prevents aggressive escalation by limiting tone changes to plus or minus one level per contact cycle. A debtor cannot go from friendly to firm in a single step — they must pass through professional first. This creates a graduated, defensible escalation path. The significant payment override (50%+ of outstanding paid) is the only exception, and it only works downward (resetting to professional).</w:t>
      </w:r>
    </w:p>
    <w:p>
      <w:pPr>
        <w:pStyle w:val="Heading2"/>
      </w:pPr>
      <w:r>
        <w:t>Cadence Limits</w:t>
      </w:r>
    </w:p>
    <w:p>
      <w:r>
        <w:t>The compliance engine enforces a maximum of 3 touches per 14-day window (both configurable per tenant) and a 3-day cooldown between emails to the same contact. Failed deliveries (bounced, dropped) are excluded from the touch count — they should not consume the debtor's contact allowance. Time-of-day enforcement ensures contacts are only made during business hours (default 08:00–18:00).</w:t>
      </w:r>
    </w:p>
    <w:p>
      <w:pPr>
        <w:pStyle w:val="Heading2"/>
      </w:pPr>
      <w:r>
        <w:t>Minimum Chase Threshold</w:t>
      </w:r>
    </w:p>
    <w:p>
      <w:r>
        <w:t>If the consolidated outstanding amount for a debtor falls below the tenant's minimum chase threshold, the action is skipped. This prevents sending collection communications for trivially small amounts, which damages the creditor's reputation more than the amount is worth recovering.</w:t>
      </w:r>
    </w:p>
    <w:p>
      <w:pPr>
        <w:pStyle w:val="Heading2"/>
      </w:pPr>
      <w:r>
        <w:t>Vulnerable Debtor Protection</w:t>
      </w:r>
    </w:p>
    <w:p>
      <w:r>
        <w:t>Debtors flagged as potentially vulnerable (via the isPotentiallyVulnerable field on contacts) receive two layers of protection. The tone escalation engine caps their tone at professional (VULNERABLE_CEILING), and the compliance engine rejects any message at firm or formal tone for vulnerable debtors, sending it for regeneration at a lower tone. These protections cannot be overridden by algorithmic decisions.</w:t>
      </w:r>
    </w:p>
    <w:p>
      <w:pPr>
        <w:pStyle w:val="Heading2"/>
      </w:pPr>
      <w:r>
        <w:t>Circuit Breaker &amp; Admin Alerts</w:t>
      </w:r>
    </w:p>
    <w:p>
      <w:r>
        <w:t>When the LLM circuit breaker opens (3 failures within 30 minutes), admin users receive email notifications. The system queues actions for the first 4 hours, then falls back to templates. When the circuit closes (successful probe), admins are notified again. This ensures human oversight of AI capability degradation without requiring manual monitoring.</w:t>
      </w:r>
    </w:p>
    <w:p>
      <w:r>
        <w:br w:type="page"/>
      </w:r>
    </w:p>
    <w:p>
      <w:pPr>
        <w:pStyle w:val="Heading1"/>
      </w:pPr>
      <w:r>
        <w:t>8. Data Architecture</w:t>
      </w:r>
    </w:p>
    <w:p>
      <w:r>
        <w:t>Charlie's data model spans approximately 15 key tables in a PostgreSQL database (Neon serverless), managed by Drizzle ORM with the full schema defined in shared/schema.ts. Every table includes a tenantId foreign key for multi-tenant data isolation.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Table</w:t>
            </w:r>
          </w:p>
        </w:tc>
        <w:tc>
          <w:tcPr>
            <w:tcW w:type="dxa" w:w="2880"/>
          </w:tcPr>
          <w:p>
            <w:r>
              <w:rPr>
                <w:b/>
                <w:sz w:val="18"/>
              </w:rPr>
              <w:t>Purpose</w:t>
            </w:r>
          </w:p>
        </w:tc>
        <w:tc>
          <w:tcPr>
            <w:tcW w:type="dxa" w:w="2880"/>
          </w:tcPr>
          <w:p>
            <w:r>
              <w:rPr>
                <w:b/>
                <w:sz w:val="18"/>
              </w:rPr>
              <w:t>Key Columns</w:t>
            </w:r>
          </w:p>
        </w:tc>
      </w:tr>
      <w:tr>
        <w:tc>
          <w:tcPr>
            <w:tcW w:type="dxa" w:w="2880"/>
          </w:tcPr>
          <w:p>
            <w:r>
              <w:rPr>
                <w:sz w:val="18"/>
              </w:rPr>
              <w:t>actions</w:t>
            </w:r>
          </w:p>
        </w:tc>
        <w:tc>
          <w:tcPr>
            <w:tcW w:type="dxa" w:w="2880"/>
          </w:tcPr>
          <w:p>
            <w:r>
              <w:rPr>
                <w:sz w:val="18"/>
              </w:rPr>
              <w:t>Every collection action (planned, executed, completed, failed)</w:t>
            </w:r>
          </w:p>
        </w:tc>
        <w:tc>
          <w:tcPr>
            <w:tcW w:type="dxa" w:w="2880"/>
          </w:tcPr>
          <w:p>
            <w:r>
              <w:rPr>
                <w:sz w:val="18"/>
              </w:rPr>
              <w:t>id, tenantId, contactId, invoiceId, actionType, status, scheduledFor, agentToneLevel, deliveryStatus, retryCount, retryOf, voiceContactRecord, cancellationReason</w:t>
            </w:r>
          </w:p>
        </w:tc>
      </w:tr>
      <w:tr>
        <w:tc>
          <w:tcPr>
            <w:tcW w:type="dxa" w:w="2880"/>
          </w:tcPr>
          <w:p>
            <w:r>
              <w:rPr>
                <w:sz w:val="18"/>
              </w:rPr>
              <w:t>customerLearningProfiles</w:t>
            </w:r>
          </w:p>
        </w:tc>
        <w:tc>
          <w:tcPr>
            <w:tcW w:type="dxa" w:w="2880"/>
          </w:tcPr>
          <w:p>
            <w:r>
              <w:rPr>
                <w:sz w:val="18"/>
              </w:rPr>
              <w:t>Per-debtor learning state</w:t>
            </w:r>
          </w:p>
        </w:tc>
        <w:tc>
          <w:tcPr>
            <w:tcW w:type="dxa" w:w="2880"/>
          </w:tcPr>
          <w:p>
            <w:r>
              <w:rPr>
                <w:sz w:val="18"/>
              </w:rPr>
              <w:t>tenantId, contactId, emailEffectiveness, smsEffectiveness, voiceEffectiveness, learningConfidence, preferredChannel, totalInteractions, prsRaw, prsConfidence, debtorUrgency, contributionWeight, trendMultiplier, urgencyUpdatedAt</w:t>
            </w:r>
          </w:p>
        </w:tc>
      </w:tr>
      <w:tr>
        <w:tc>
          <w:tcPr>
            <w:tcW w:type="dxa" w:w="2880"/>
          </w:tcPr>
          <w:p>
            <w:r>
              <w:rPr>
                <w:sz w:val="18"/>
              </w:rPr>
              <w:t>customerBehaviorSignals</w:t>
            </w:r>
          </w:p>
        </w:tc>
        <w:tc>
          <w:tcPr>
            <w:tcW w:type="dxa" w:w="2880"/>
          </w:tcPr>
          <w:p>
            <w:r>
              <w:rPr>
                <w:sz w:val="18"/>
              </w:rPr>
              <w:t>Historical payment behaviour metrics</w:t>
            </w:r>
          </w:p>
        </w:tc>
        <w:tc>
          <w:tcPr>
            <w:tcW w:type="dxa" w:w="2880"/>
          </w:tcPr>
          <w:p>
            <w:r>
              <w:rPr>
                <w:sz w:val="18"/>
              </w:rPr>
              <w:t>tenantId, contactId, medianDaysToPay, p75DaysToPay, volatility, trend, emailReplyRate, smsReplyRate, weekdayEffect, promiseBreachCount</w:t>
            </w:r>
          </w:p>
        </w:tc>
      </w:tr>
      <w:tr>
        <w:tc>
          <w:tcPr>
            <w:tcW w:type="dxa" w:w="2880"/>
          </w:tcPr>
          <w:p>
            <w:r>
              <w:rPr>
                <w:sz w:val="18"/>
              </w:rPr>
              <w:t>debtorIntelligence</w:t>
            </w:r>
          </w:p>
        </w:tc>
        <w:tc>
          <w:tcPr>
            <w:tcW w:type="dxa" w:w="2880"/>
          </w:tcPr>
          <w:p>
            <w:r>
              <w:rPr>
                <w:sz w:val="18"/>
              </w:rPr>
              <w:t>Companies House enrichment + credit risk</w:t>
            </w:r>
          </w:p>
        </w:tc>
        <w:tc>
          <w:tcPr>
            <w:tcW w:type="dxa" w:w="2880"/>
          </w:tcPr>
          <w:p>
            <w:r>
              <w:rPr>
                <w:sz w:val="18"/>
              </w:rPr>
              <w:t>tenantId, contactId (unique), companyNumber, companyStatus, sicCodes, companyAge, companySize, filingHealth, lateFilings, insolvencyRisk, creditRiskScore, aiRiskSummary, enrichedAt, enrichmentSources</w:t>
            </w:r>
          </w:p>
        </w:tc>
      </w:tr>
      <w:tr>
        <w:tc>
          <w:tcPr>
            <w:tcW w:type="dxa" w:w="2880"/>
          </w:tcPr>
          <w:p>
            <w:r>
              <w:rPr>
                <w:sz w:val="18"/>
              </w:rPr>
              <w:t>debtorGroups</w:t>
            </w:r>
          </w:p>
        </w:tc>
        <w:tc>
          <w:tcPr>
            <w:tcW w:type="dxa" w:w="2880"/>
          </w:tcPr>
          <w:p>
            <w:r>
              <w:rPr>
                <w:sz w:val="18"/>
              </w:rPr>
              <w:t>Linked debtor entities (shared AP department)</w:t>
            </w:r>
          </w:p>
        </w:tc>
        <w:tc>
          <w:tcPr>
            <w:tcW w:type="dxa" w:w="2880"/>
          </w:tcPr>
          <w:p>
            <w:r>
              <w:rPr>
                <w:sz w:val="18"/>
              </w:rPr>
              <w:t>id, tenantId, name, members (contactIds), createdAt</w:t>
            </w:r>
          </w:p>
        </w:tc>
      </w:tr>
      <w:tr>
        <w:tc>
          <w:tcPr>
            <w:tcW w:type="dxa" w:w="2880"/>
          </w:tcPr>
          <w:p>
            <w:r>
              <w:rPr>
                <w:sz w:val="18"/>
              </w:rPr>
              <w:t>aiFacts</w:t>
            </w:r>
          </w:p>
        </w:tc>
        <w:tc>
          <w:tcPr>
            <w:tcW w:type="dxa" w:w="2880"/>
          </w:tcPr>
          <w:p>
            <w:r>
              <w:rPr>
                <w:sz w:val="18"/>
              </w:rPr>
              <w:t>Business intelligence from Riley conversations</w:t>
            </w:r>
          </w:p>
        </w:tc>
        <w:tc>
          <w:tcPr>
            <w:tcW w:type="dxa" w:w="2880"/>
          </w:tcPr>
          <w:p>
            <w:r>
              <w:rPr>
                <w:sz w:val="18"/>
              </w:rPr>
              <w:t>tenantId, entityId, category, factKey, factValue, confidence, source, sourceConversationId, expiresAt, isActive</w:t>
            </w:r>
          </w:p>
        </w:tc>
      </w:tr>
      <w:tr>
        <w:tc>
          <w:tcPr>
            <w:tcW w:type="dxa" w:w="2880"/>
          </w:tcPr>
          <w:p>
            <w:r>
              <w:rPr>
                <w:sz w:val="18"/>
              </w:rPr>
              <w:t>contactOutcomes</w:t>
            </w:r>
          </w:p>
        </w:tc>
        <w:tc>
          <w:tcPr>
            <w:tcW w:type="dxa" w:w="2880"/>
          </w:tcPr>
          <w:p>
            <w:r>
              <w:rPr>
                <w:sz w:val="18"/>
              </w:rPr>
              <w:t>Raw delivery events from webhooks</w:t>
            </w:r>
          </w:p>
        </w:tc>
        <w:tc>
          <w:tcPr>
            <w:tcW w:type="dxa" w:w="2880"/>
          </w:tcPr>
          <w:p>
            <w:r>
              <w:rPr>
                <w:sz w:val="18"/>
              </w:rPr>
              <w:t>tenantId, contactId, actionId, eventType, channel, metadata, occurredAt</w:t>
            </w:r>
          </w:p>
        </w:tc>
      </w:tr>
      <w:tr>
        <w:tc>
          <w:tcPr>
            <w:tcW w:type="dxa" w:w="2880"/>
          </w:tcPr>
          <w:p>
            <w:r>
              <w:rPr>
                <w:sz w:val="18"/>
              </w:rPr>
              <w:t>paymentPromises</w:t>
            </w:r>
          </w:p>
        </w:tc>
        <w:tc>
          <w:tcPr>
            <w:tcW w:type="dxa" w:w="2880"/>
          </w:tcPr>
          <w:p>
            <w:r>
              <w:rPr>
                <w:sz w:val="18"/>
              </w:rPr>
              <w:t>PTP records for reliability tracking</w:t>
            </w:r>
          </w:p>
        </w:tc>
        <w:tc>
          <w:tcPr>
            <w:tcW w:type="dxa" w:w="2880"/>
          </w:tcPr>
          <w:p>
            <w:r>
              <w:rPr>
                <w:sz w:val="18"/>
              </w:rPr>
              <w:t>tenantId, contactId, invoiceId, promiseType, promisedDate, promisedAmount, status, evaluatedAt, sourceType, channel</w:t>
            </w:r>
          </w:p>
        </w:tc>
      </w:tr>
      <w:tr>
        <w:tc>
          <w:tcPr>
            <w:tcW w:type="dxa" w:w="2880"/>
          </w:tcPr>
          <w:p>
            <w:r>
              <w:rPr>
                <w:sz w:val="18"/>
              </w:rPr>
              <w:t>contacts</w:t>
            </w:r>
          </w:p>
        </w:tc>
        <w:tc>
          <w:tcPr>
            <w:tcW w:type="dxa" w:w="2880"/>
          </w:tcPr>
          <w:p>
            <w:r>
              <w:rPr>
                <w:sz w:val="18"/>
              </w:rPr>
              <w:t>Debtor/customer records with AR overlay</w:t>
            </w:r>
          </w:p>
        </w:tc>
        <w:tc>
          <w:tcPr>
            <w:tcW w:type="dxa" w:w="2880"/>
          </w:tcPr>
          <w:p>
            <w:r>
              <w:rPr>
                <w:sz w:val="18"/>
              </w:rPr>
              <w:t>tenantId, name, email, phone, arContactEmail, arContactPhone, arContactName, arNotes, riskScore, isPotentiallyVulnerable, legalResponseWindowEnd, debtorGroupId, creditLimit</w:t>
            </w:r>
          </w:p>
        </w:tc>
      </w:tr>
      <w:tr>
        <w:tc>
          <w:tcPr>
            <w:tcW w:type="dxa" w:w="2880"/>
          </w:tcPr>
          <w:p>
            <w:r>
              <w:rPr>
                <w:sz w:val="18"/>
              </w:rPr>
              <w:t>customerPreferences</w:t>
            </w:r>
          </w:p>
        </w:tc>
        <w:tc>
          <w:tcPr>
            <w:tcW w:type="dxa" w:w="2880"/>
          </w:tcPr>
          <w:p>
            <w:r>
              <w:rPr>
                <w:sz w:val="18"/>
              </w:rPr>
              <w:t>Channel opt-outs and contact windows</w:t>
            </w:r>
          </w:p>
        </w:tc>
        <w:tc>
          <w:tcPr>
            <w:tcW w:type="dxa" w:w="2880"/>
          </w:tcPr>
          <w:p>
            <w:r>
              <w:rPr>
                <w:sz w:val="18"/>
              </w:rPr>
              <w:t>tenantId, contactId, emailEnabled, smsEnabled, voiceEnabled, channelPreferenceSource, channelPreferenceNotes, tradingName</w:t>
            </w:r>
          </w:p>
        </w:tc>
      </w:tr>
      <w:tr>
        <w:tc>
          <w:tcPr>
            <w:tcW w:type="dxa" w:w="2880"/>
          </w:tcPr>
          <w:p>
            <w:r>
              <w:rPr>
                <w:sz w:val="18"/>
              </w:rPr>
              <w:t>invoices</w:t>
            </w:r>
          </w:p>
        </w:tc>
        <w:tc>
          <w:tcPr>
            <w:tcW w:type="dxa" w:w="2880"/>
          </w:tcPr>
          <w:p>
            <w:r>
              <w:rPr>
                <w:sz w:val="18"/>
              </w:rPr>
              <w:t>Main invoice data</w:t>
            </w:r>
          </w:p>
        </w:tc>
        <w:tc>
          <w:tcPr>
            <w:tcW w:type="dxa" w:w="2880"/>
          </w:tcPr>
          <w:p>
            <w:r>
              <w:rPr>
                <w:sz w:val="18"/>
              </w:rPr>
              <w:t>tenantId, contactId, invoiceNumber, amount, dueDate, status, reminderCount, pauseState, xeroInvoiceId</w:t>
            </w:r>
          </w:p>
        </w:tc>
      </w:tr>
      <w:tr>
        <w:tc>
          <w:tcPr>
            <w:tcW w:type="dxa" w:w="2880"/>
          </w:tcPr>
          <w:p>
            <w:r>
              <w:rPr>
                <w:sz w:val="18"/>
              </w:rPr>
              <w:t>complianceChecks</w:t>
            </w:r>
          </w:p>
        </w:tc>
        <w:tc>
          <w:tcPr>
            <w:tcW w:type="dxa" w:w="2880"/>
          </w:tcPr>
          <w:p>
            <w:r>
              <w:rPr>
                <w:sz w:val="18"/>
              </w:rPr>
              <w:t>Audit log of every compliance evaluation</w:t>
            </w:r>
          </w:p>
        </w:tc>
        <w:tc>
          <w:tcPr>
            <w:tcW w:type="dxa" w:w="2880"/>
          </w:tcPr>
          <w:p>
            <w:r>
              <w:rPr>
                <w:sz w:val="18"/>
              </w:rPr>
              <w:t>tenantId, contactId, actionId, checkResult, rulesChecked, violations, agentReasoning, reviewedBy, reviewedAt</w:t>
            </w:r>
          </w:p>
        </w:tc>
      </w:tr>
      <w:tr>
        <w:tc>
          <w:tcPr>
            <w:tcW w:type="dxa" w:w="2880"/>
          </w:tcPr>
          <w:p>
            <w:r>
              <w:rPr>
                <w:sz w:val="18"/>
              </w:rPr>
              <w:t>timelineEvents</w:t>
            </w:r>
          </w:p>
        </w:tc>
        <w:tc>
          <w:tcPr>
            <w:tcW w:type="dxa" w:w="2880"/>
          </w:tcPr>
          <w:p>
            <w:r>
              <w:rPr>
                <w:sz w:val="18"/>
              </w:rPr>
              <w:t>Chronological record of all debtor interactions</w:t>
            </w:r>
          </w:p>
        </w:tc>
        <w:tc>
          <w:tcPr>
            <w:tcW w:type="dxa" w:w="2880"/>
          </w:tcPr>
          <w:p>
            <w:r>
              <w:rPr>
                <w:sz w:val="18"/>
              </w:rPr>
              <w:t>tenantId, customerId, occurredAt, direction, channel, summary, preview, createdByType, outcomeRequiresReview</w:t>
            </w:r>
          </w:p>
        </w:tc>
      </w:tr>
      <w:tr>
        <w:tc>
          <w:tcPr>
            <w:tcW w:type="dxa" w:w="2880"/>
          </w:tcPr>
          <w:p>
            <w:r>
              <w:rPr>
                <w:sz w:val="18"/>
              </w:rPr>
              <w:t>agentPersonas</w:t>
            </w:r>
          </w:p>
        </w:tc>
        <w:tc>
          <w:tcPr>
            <w:tcW w:type="dxa" w:w="2880"/>
          </w:tcPr>
          <w:p>
            <w:r>
              <w:rPr>
                <w:sz w:val="18"/>
              </w:rPr>
              <w:t>AI persona configuration per tenant</w:t>
            </w:r>
          </w:p>
        </w:tc>
        <w:tc>
          <w:tcPr>
            <w:tcW w:type="dxa" w:w="2880"/>
          </w:tcPr>
          <w:p>
            <w:r>
              <w:rPr>
                <w:sz w:val="18"/>
              </w:rPr>
              <w:t>tenantId, name, title, email, phone, style, isActive</w:t>
            </w:r>
          </w:p>
        </w:tc>
      </w:tr>
      <w:tr>
        <w:tc>
          <w:tcPr>
            <w:tcW w:type="dxa" w:w="2880"/>
          </w:tcPr>
          <w:p>
            <w:r>
              <w:rPr>
                <w:sz w:val="18"/>
              </w:rPr>
              <w:t>probablePayments</w:t>
            </w:r>
          </w:p>
        </w:tc>
        <w:tc>
          <w:tcPr>
            <w:tcW w:type="dxa" w:w="2880"/>
          </w:tcPr>
          <w:p>
            <w:r>
              <w:rPr>
                <w:sz w:val="18"/>
              </w:rPr>
              <w:t>Unreconciled bank transaction matches</w:t>
            </w:r>
          </w:p>
        </w:tc>
        <w:tc>
          <w:tcPr>
            <w:tcW w:type="dxa" w:w="2880"/>
          </w:tcPr>
          <w:p>
            <w:r>
              <w:rPr>
                <w:sz w:val="18"/>
              </w:rPr>
              <w:t>tenantId, contactId, invoiceId, transactionId, confidence, amount, matchedAt</w:t>
            </w:r>
          </w:p>
        </w:tc>
      </w:tr>
    </w:tbl>
    <w:p/>
    <w:p>
      <w:r>
        <w:t>The data flow between these tables forms Charlie's learning loop. Invoices and contacts flow in from Xero sync. The decision engine reads invoices, contacts, customerBehaviorSignals, and customerLearningProfiles to make decisions. Actions are written with full context. Delivery webhooks update contactOutcomes. Payment detection triggers attribution analysis that updates customerLearningProfiles. The nightly job recalculates PRS, urgency, and enrichment scores. Tomorrow, the decision engine reads the updated profiles and makes better decisions.</w:t>
      </w:r>
    </w:p>
    <w:p>
      <w:r>
        <w:br w:type="page"/>
      </w:r>
    </w:p>
    <w:p>
      <w:pPr>
        <w:pStyle w:val="Heading1"/>
      </w:pPr>
      <w:r>
        <w:t>9. Integration Points</w:t>
      </w:r>
    </w:p>
    <w:p>
      <w:pPr>
        <w:pStyle w:val="Heading2"/>
      </w:pPr>
      <w:r>
        <w:t>Xero (Accounting Platform)</w:t>
      </w:r>
    </w:p>
    <w:p>
      <w:r>
        <w:t>Xero is Charlie's primary data source for invoices and contacts. The integration (server/services/xeroSync.ts) uses OAuth 2.0 with offline_access scope for token refresh. Sync runs on a 4-hour background cadence with two modes: INITIAL (clean sweep for first connection) and ONGOING (upsert, never delete, never overwrite AR overlay fields). Rate limiting enforces 1.5-second delays between paginated API calls and 60-second waits on 429 responses. Token refresh is proactive (2-minute buffer check before API calls) with reactive 401 retry fallback. Failed refresh marks the connection as "expired" and prompts the user to reconnect. Invoice PAID transitions detected during sync trigger payment attribution through the event bus. Bank transaction sync methods exist in the API client but are not yet wired into the sync pipeline (Gap 14).</w:t>
      </w:r>
    </w:p>
    <w:p>
      <w:pPr>
        <w:pStyle w:val="Heading2"/>
      </w:pPr>
      <w:r>
        <w:t>SendGrid (Email Delivery)</w:t>
      </w:r>
    </w:p>
    <w:p>
      <w:r>
        <w:t>SendGrid handles all transactional email delivery. Outbound emails pass through enforceCommunicationMode() in server/services/sendgrid.ts, which checks the tenant's communication mode before calling the SendGrid API. Custom arguments (tenant_id, action_id, contact_id, invoice_id) are attached to every outbound email for webhook correlation. Inbound email parsing via SendGrid webhooks (/api/webhooks/sendgrid/inbound) matches replies to debtors via reply tokens or email addresses, triggers intent extraction via Claude, and creates behavioural signals. Delivery webhooks flow through the event bus to update action delivery status and channel effectiveness scores.</w:t>
      </w:r>
    </w:p>
    <w:p>
      <w:pPr>
        <w:pStyle w:val="Heading2"/>
      </w:pPr>
      <w:r>
        <w:t>Vonage (SMS)</w:t>
      </w:r>
    </w:p>
    <w:p>
      <w:r>
        <w:t>Vonage provides SMS delivery with communication mode enforcement in server/services/vonage.ts. SMS messages are constrained to 160 characters. The integration supports both standard SMS and WhatsApp messaging channels.</w:t>
      </w:r>
    </w:p>
    <w:p>
      <w:pPr>
        <w:pStyle w:val="Heading2"/>
      </w:pPr>
      <w:r>
        <w:t>Retell AI (Voice)</w:t>
      </w:r>
    </w:p>
    <w:p>
      <w:r>
        <w:t>Retell AI powers voice calls through server/services/communications/sendVoiceCall.ts. Voice calls require an agent configuration (agentId) in Retell and pass dynamic variables (customer name, invoice details) to the voice AI. Communication mode enforcement is applied. Voice scripts are LLM-generated with no template fallback — the nuance required for a natural conversation cannot be captured in static text.</w:t>
      </w:r>
    </w:p>
    <w:p>
      <w:pPr>
        <w:pStyle w:val="Heading2"/>
      </w:pPr>
      <w:r>
        <w:t>Claude API (LLM)</w:t>
      </w:r>
    </w:p>
    <w:p>
      <w:r>
        <w:t>All AI generation uses Anthropic's Claude API via server/services/llm/claude.ts, which provides generateText() and generateJSON() abstractions. Claude is used for: collections email/SMS/voice generation (aiMessageGenerator.ts), intent extraction from debtor replies (intentAnalyst.ts), Riley assistant conversations (rileyAssistant.ts), AI risk summaries in debtor enrichment (debtorEnrichmentService.ts), and action plan optimisation (actionPlanner.ts). The circuit breaker protects against API outages. All Claude usage is inference on customer-owned data — Xero API data is never used for model training per Xero's March 2026 developer terms.</w:t>
      </w:r>
    </w:p>
    <w:p>
      <w:pPr>
        <w:pStyle w:val="Heading2"/>
      </w:pPr>
      <w:r>
        <w:t>Companies House (Enrichment)</w:t>
      </w:r>
    </w:p>
    <w:p>
      <w:r>
        <w:t>The Companies House API (server/services/companiesHouse.ts) provides company registration data, filing history, and incorporation details for UK companies. Authentication uses HTTP Basic with the API key as username. Three endpoints are used: company search (/search/companies), company profile (/company/{number}), and filing history (/company/{number}/filing-history). Rate limit is 600 requests per 5 minutes. The API is free (register at developer.company-information.service.gov.uk). The service degrades gracefully if the API key is not configured.</w:t>
      </w:r>
    </w:p>
    <w:p>
      <w:pPr>
        <w:pStyle w:val="Heading2"/>
      </w:pPr>
      <w:r>
        <w:t>Open Banking (Future)</w:t>
      </w:r>
    </w:p>
    <w:p>
      <w:r>
        <w:t>Open Banking integration via TrueLayer or Yapily is planned for Gap 14 (unreconciled payment detection). Bank transaction data has no AI/ML training restrictions (unlike Xero data) and will be the primary source for model training. The two-source architecture is a hard architectural boundary: Open Banking data trains models, Xero API data is used for operational inference only.</w:t>
      </w:r>
    </w:p>
    <w:p>
      <w:r>
        <w:br w:type="page"/>
      </w:r>
    </w:p>
    <w:p>
      <w:pPr>
        <w:pStyle w:val="Heading1"/>
      </w:pPr>
      <w:r>
        <w:t>10. What Makes This System Exceptional</w:t>
      </w:r>
    </w:p>
    <w:p>
      <w:pPr>
        <w:pStyle w:val="Heading2"/>
      </w:pPr>
      <w:r>
        <w:t>Closed-Loop Learning</w:t>
      </w:r>
    </w:p>
    <w:p>
      <w:r>
        <w:t>Most collections systems are open-loop: they send messages based on rules and never learn whether those messages worked. Charlie closes the loop. Every delivery event, every engagement signal, every payment outcome feeds back into the debtor's learning profile. Channel effectiveness scores update via adaptive EMA. Payment attribution credits the right channels. PRS tracks promise reliability. The system that runs today is measurably different from the system that ran last month — and measurably better.</w:t>
      </w:r>
    </w:p>
    <w:p>
      <w:pPr>
        <w:pStyle w:val="Heading2"/>
      </w:pPr>
      <w:r>
        <w:t>Statistical Modelling</w:t>
      </w:r>
    </w:p>
    <w:p>
      <w:r>
        <w:t>Charlie does not guess when debtors will pay. It fits a log-normal distribution to each debtor's historical payment data, incorporating trend, volatility, p75 spread, and seasonal adjustments. The conditional CDF gives a mathematically grounded probability of payment within any time horizon. Three-scenario forecasting (25th/50th/75th percentiles) feeds directly into cashflow projections. This is not a heuristic — it is a proper statistical model that improves as data accumulates.</w:t>
      </w:r>
    </w:p>
    <w:p>
      <w:pPr>
        <w:pStyle w:val="Heading2"/>
      </w:pPr>
      <w:r>
        <w:t>Bayesian Reasoning</w:t>
      </w:r>
    </w:p>
    <w:p>
      <w:r>
        <w:t>The Promise Reliability Score uses Bayesian inference to handle the thin-data problem that plagues every scoring system. A debtor who has kept one promise out of one does not get a perfect score — the Bayesian prior (k=3, prior=60) regresses them toward the population mean. As evidence accumulates, the prior's influence diminishes and the score converges on reality. Recency weighting ensures that a debtor's score today reflects their behaviour today, not their behaviour two years ago.</w:t>
      </w:r>
    </w:p>
    <w:p>
      <w:pPr>
        <w:pStyle w:val="Heading2"/>
      </w:pPr>
      <w:r>
        <w:t>Graduated Autonomy</w:t>
      </w:r>
    </w:p>
    <w:p>
      <w:r>
        <w:t>Charlie operates on a spectrum from full human control to full autonomy. Communication modes (Off, Testing, Soft Live, Live) control whether messages actually reach debtors. Semi-auto mode requires human approval for every action. Full-auto mode lets Charlie execute independently. Human review flags trigger on low confidence, high-value first contacts, and VIP customers. The minimum chase threshold, velocity cap, and vulnerable debtor ceiling all constrain autonomy. The system is designed to earn trust incrementally.</w:t>
      </w:r>
    </w:p>
    <w:p>
      <w:pPr>
        <w:pStyle w:val="Heading2"/>
      </w:pPr>
      <w:r>
        <w:t>Legal Defensibility</w:t>
      </w:r>
    </w:p>
    <w:p>
      <w:r>
        <w:t>Every action Charlie takes is auditable. The actions table records the full context, tone level, and reasoning. The complianceChecks table records every rule evaluation. Timeline events create a chronological narrative. The 30-day statutory response window enforces the prescribed response period after legal communications. Prohibited language scanning prevents threats at inappropriate tone levels. Data isolation checks prevent cross-debtor information leakage. If challenged in court, the creditor can demonstrate that every communication followed a defensible, documented process.</w:t>
      </w:r>
    </w:p>
    <w:p>
      <w:pPr>
        <w:pStyle w:val="Heading2"/>
      </w:pPr>
      <w:r>
        <w:t>Two-Source Architecture</w:t>
      </w:r>
    </w:p>
    <w:p>
      <w:r>
        <w:t>Charlie enforces a hard boundary between data sources. Xero API data (invoices, contacts, bank transactions) is used for operational inference — matching payments, calculating overdue amounts, enriching debtor profiles. It is never used for AI/ML model training, in compliance with Xero's March 2026 developer terms. Open Banking data (via TrueLayer/Yapily) has no such restriction and will be the exclusive source for model training. This architectural separation is not just a policy — it is enforced at the code level.</w:t>
      </w:r>
    </w:p>
    <w:p>
      <w:pPr>
        <w:pStyle w:val="Heading2"/>
      </w:pPr>
      <w:r>
        <w:t>Resilience</w:t>
      </w:r>
    </w:p>
    <w:p>
      <w:r>
        <w:t>Charlie is designed to degrade gracefully, not fail catastrophically. If the LLM is unavailable, the circuit breaker activates and the system falls back to templates after 4 hours. If Xero sync fails, existing data continues to drive decisions. If Companies House is unreachable, enrichment is skipped and credit risk scoring uses available data. If the database is unreachable during communication mode checks, all sends are blocked (fail closed, not fail open). Communication wrappers, validation gates, and compliance checks all use non-fatal error handling — a failure in one subsystem does not cascade to crash the server. The unhandledRejection handler logs but does not exit, ensuring background task failures are visible but not destructive.</w:t>
      </w:r>
    </w:p>
    <w:p>
      <w:r>
        <w:t>Charlie is not a finished product. The architecture described in this document represents version 1.1, with 14 engineering gaps identified and implemented during the Charlie hardening sprint. The next phase brings Open Banking integration (Gap 14), connected email delivery tracking, Data Health bounce integration, and the evolution from a single decision engine to a five-agent architecture with shared state and inter-agent orchestration. The foundation is solid. The ceiling is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