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6"/>
          <w:szCs w:val="56"/>
        </w:rPr>
        <w:t xml:space="preserve">QASHIVO</w:t>
      </w:r>
    </w:p>
    <w:p>
      <w:pPr>
        <w:spacing w:after="400" w:before="200"/>
        <w:jc w:val="center"/>
      </w:pPr>
      <w:r>
        <w:rPr>
          <w:rFonts w:ascii="Arial" w:cs="Arial" w:eastAsia="Arial" w:hAnsi="Arial"/>
          <w:color w:val="666666"/>
          <w:sz w:val="36"/>
          <w:szCs w:val="36"/>
        </w:rPr>
        <w:t xml:space="preserve">Codebase &amp; MVP Assessment</w:t>
      </w:r>
    </w:p>
    <w:p>
      <w:pPr>
        <w:spacing w:before="600"/>
        <w:jc w:val="center"/>
      </w:pPr>
      <w:r>
        <w:rPr>
          <w:rFonts w:ascii="Arial" w:cs="Arial" w:eastAsia="Arial" w:hAnsi="Arial"/>
          <w:i/>
          <w:iCs/>
          <w:color w:val="999999"/>
          <w:sz w:val="24"/>
          <w:szCs w:val="24"/>
        </w:rPr>
        <w:t xml:space="preserve">Confidential</w:t>
      </w:r>
    </w:p>
    <w:p>
      <w:pPr>
        <w:spacing w:before="200"/>
        <w:jc w:val="center"/>
      </w:pPr>
      <w:r>
        <w:rPr>
          <w:rFonts w:ascii="Arial" w:cs="Arial" w:eastAsia="Arial" w:hAnsi="Arial"/>
          <w:color w:val="999999"/>
          <w:sz w:val="24"/>
          <w:szCs w:val="24"/>
        </w:rPr>
        <w:t xml:space="preserve">April 2026</w:t>
      </w:r>
    </w:p>
    <w:p>
      <w:pPr>
        <w:spacing w:before="200"/>
        <w:jc w:val="center"/>
      </w:pPr>
      <w:r>
        <w:rPr>
          <w:rFonts w:ascii="Arial" w:cs="Arial" w:eastAsia="Arial" w:hAnsi="Arial"/>
          <w:color w:val="999999"/>
          <w:sz w:val="24"/>
          <w:szCs w:val="24"/>
        </w:rPr>
        <w:t xml:space="preserve">Nexus KPI Limited</w:t>
      </w:r>
    </w:p>
    <w:p>
      <w:r>
        <w:br w:type="page"/>
      </w:r>
    </w:p>
    <w:p>
      <w:pPr>
        <w:pStyle w:val="Heading1"/>
        <w:spacing w:after="200" w:before="360"/>
      </w:pPr>
      <w:r>
        <w:rPr>
          <w:rFonts w:ascii="Arial" w:cs="Arial" w:eastAsia="Arial" w:hAnsi="Arial"/>
          <w:b/>
          <w:bCs/>
          <w:color w:val="1F4E79"/>
          <w:sz w:val="32"/>
          <w:szCs w:val="32"/>
        </w:rPr>
        <w:t xml:space="preserve">Assessment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Architecture</w:t>
            </w:r>
          </w:p>
          <w:p>
            <w:pPr>
              <w:spacing w:before="80"/>
              <w:jc w:val="center"/>
            </w:pPr>
            <w:r>
              <w:rPr>
                <w:rFonts w:ascii="Arial" w:cs="Arial" w:eastAsia="Arial" w:hAnsi="Arial"/>
                <w:b/>
                <w:bCs/>
                <w:color w:val="1F4E79"/>
                <w:sz w:val="36"/>
                <w:szCs w:val="36"/>
              </w:rPr>
              <w:t xml:space="preserve">8 / 10</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MVP Readiness</w:t>
            </w:r>
          </w:p>
          <w:p>
            <w:pPr>
              <w:spacing w:before="80"/>
              <w:jc w:val="center"/>
            </w:pPr>
            <w:r>
              <w:rPr>
                <w:rFonts w:ascii="Arial" w:cs="Arial" w:eastAsia="Arial" w:hAnsi="Arial"/>
                <w:b/>
                <w:bCs/>
                <w:color w:val="1F4E79"/>
                <w:sz w:val="36"/>
                <w:szCs w:val="36"/>
              </w:rPr>
              <w:t xml:space="preserve">7.5 / 10</w:t>
            </w:r>
          </w:p>
        </w:tc>
      </w:tr>
    </w:tbl>
    <w:p>
      <w:pPr>
        <w:spacing w:after="120" w:before="120"/>
      </w:pPr>
      <w:r>
        <w:rPr>
          <w:rFonts w:ascii="Arial" w:cs="Arial" w:eastAsia="Arial" w:hAnsi="Arial"/>
          <w:b/>
          <w:bCs/>
          <w:sz w:val="22"/>
          <w:szCs w:val="22"/>
        </w:rPr>
        <w:t xml:space="preserve">Complexity Rating: </w:t>
      </w:r>
      <w:r>
        <w:rPr>
          <w:rFonts w:ascii="Arial" w:cs="Arial" w:eastAsia="Arial" w:hAnsi="Arial"/>
          <w:b/>
          <w:bCs/>
          <w:color w:val="CC6600"/>
          <w:sz w:val="22"/>
          <w:szCs w:val="22"/>
        </w:rPr>
        <w:t xml:space="preserve">High</w:t>
      </w:r>
    </w:p>
    <w:p>
      <w:pPr>
        <w:spacing w:after="180"/>
      </w:pPr>
      <w:r>
        <w:rPr>
          <w:rFonts w:ascii="Arial" w:cs="Arial" w:eastAsia="Arial" w:hAnsi="Arial"/>
          <w:sz w:val="22"/>
          <w:szCs w:val="22"/>
        </w:rPr>
        <w:t xml:space="preserve">This is not a simple CRUD application. The domain complexity is substantial: UK debt collection law, multi-channel communication orchestration, probabilistic models, two-phase scheduling, accounting platform integration with API compliance constraints, and real-time features.</w:t>
      </w:r>
    </w:p>
    <w:p>
      <w:r>
        <w:br w:type="page"/>
      </w:r>
    </w:p>
    <w:p>
      <w:pPr>
        <w:pStyle w:val="Heading1"/>
        <w:spacing w:after="200" w:before="360"/>
      </w:pPr>
      <w:r>
        <w:rPr>
          <w:rFonts w:ascii="Arial" w:cs="Arial" w:eastAsia="Arial" w:hAnsi="Arial"/>
          <w:b/>
          <w:bCs/>
          <w:color w:val="1F4E79"/>
          <w:sz w:val="32"/>
          <w:szCs w:val="32"/>
        </w:rPr>
        <w:t xml:space="preserve">Architecture Assessment: 8/10</w:t>
      </w:r>
    </w:p>
    <w:p>
      <w:pPr>
        <w:spacing w:after="180"/>
      </w:pPr>
      <w:r>
        <w:rPr>
          <w:rFonts w:ascii="Arial" w:cs="Arial" w:eastAsia="Arial" w:hAnsi="Arial"/>
          <w:sz w:val="22"/>
          <w:szCs w:val="22"/>
        </w:rPr>
        <w:t xml:space="preserve">This is a genuinely well-structured monolith for its stage. The architecture demonstrates production-grade thinking across multi-tenancy, data isolation, communication safety, and AI decision-making.</w:t>
      </w:r>
    </w:p>
    <w:p>
      <w:pPr>
        <w:pStyle w:val="Heading2"/>
        <w:spacing w:after="200" w:before="240"/>
      </w:pPr>
      <w:r>
        <w:rPr>
          <w:rFonts w:ascii="Arial" w:cs="Arial" w:eastAsia="Arial" w:hAnsi="Arial"/>
          <w:b/>
          <w:bCs/>
          <w:color w:val="1F4E79"/>
          <w:sz w:val="28"/>
          <w:szCs w:val="28"/>
        </w:rPr>
        <w:t xml:space="preserve">What Is Done Well</w:t>
      </w:r>
    </w:p>
    <w:p>
      <w:pPr>
        <w:spacing w:after="180"/>
      </w:pPr>
      <w:r>
        <w:rPr>
          <w:rFonts w:ascii="Arial" w:cs="Arial" w:eastAsia="Arial" w:hAnsi="Arial"/>
          <w:b/>
          <w:bCs/>
          <w:sz w:val="22"/>
          <w:szCs w:val="22"/>
        </w:rPr>
        <w:t xml:space="preserve">Multi-tenancy is real. </w:t>
      </w:r>
      <w:r>
        <w:rPr>
          <w:rFonts w:ascii="Arial" w:cs="Arial" w:eastAsia="Arial" w:hAnsi="Arial"/>
          <w:sz w:val="22"/>
          <w:szCs w:val="22"/>
        </w:rPr>
        <w:t xml:space="preserve">Every table has tenantId, RBAC is six-tier with middleware factories, data isolation is enforced at the query layer. Most early-stage products fake this or defer it.</w:t>
      </w:r>
    </w:p>
    <w:p>
      <w:pPr>
        <w:spacing w:after="180"/>
      </w:pPr>
      <w:r>
        <w:rPr>
          <w:rFonts w:ascii="Arial" w:cs="Arial" w:eastAsia="Arial" w:hAnsi="Arial"/>
          <w:b/>
          <w:bCs/>
          <w:sz w:val="22"/>
          <w:szCs w:val="22"/>
        </w:rPr>
        <w:t xml:space="preserve">Schema discipline. </w:t>
      </w:r>
      <w:r>
        <w:rPr>
          <w:rFonts w:ascii="Arial" w:cs="Arial" w:eastAsia="Arial" w:hAnsi="Arial"/>
          <w:sz w:val="22"/>
          <w:szCs w:val="22"/>
        </w:rPr>
        <w:t xml:space="preserve">Approximately 92 Drizzle tables with proper foreign keys, Zod validation, and a single source of truth in shared/schema.ts. The schema reads like a product specification.</w:t>
      </w:r>
    </w:p>
    <w:p>
      <w:pPr>
        <w:spacing w:after="180"/>
      </w:pPr>
      <w:r>
        <w:rPr>
          <w:rFonts w:ascii="Arial" w:cs="Arial" w:eastAsia="Arial" w:hAnsi="Arial"/>
          <w:b/>
          <w:bCs/>
          <w:sz w:val="22"/>
          <w:szCs w:val="22"/>
        </w:rPr>
        <w:t xml:space="preserve">Communication safety architecture. </w:t>
      </w:r>
      <w:r>
        <w:rPr>
          <w:rFonts w:ascii="Arial" w:cs="Arial" w:eastAsia="Arial" w:hAnsi="Arial"/>
          <w:sz w:val="22"/>
          <w:szCs w:val="22"/>
        </w:rPr>
        <w:t xml:space="preserve">Three-layer wrapper system (SendGrid, Vonage, Retell) with enforceCommunicationMode(), fail-closed on errors, Off/Testing/Soft Live/Live modes. Production-grade safety thinking.</w:t>
      </w:r>
    </w:p>
    <w:p>
      <w:pPr>
        <w:spacing w:after="180"/>
      </w:pPr>
      <w:r>
        <w:rPr>
          <w:rFonts w:ascii="Arial" w:cs="Arial" w:eastAsia="Arial" w:hAnsi="Arial"/>
          <w:b/>
          <w:bCs/>
          <w:sz w:val="22"/>
          <w:szCs w:val="22"/>
        </w:rPr>
        <w:t xml:space="preserve">Provider abstraction. </w:t>
      </w:r>
      <w:r>
        <w:rPr>
          <w:rFonts w:ascii="Arial" w:cs="Arial" w:eastAsia="Arial" w:hAnsi="Arial"/>
          <w:sz w:val="22"/>
          <w:szCs w:val="22"/>
        </w:rPr>
        <w:t xml:space="preserve">Accounting provider registry (Xero, QuickBooks, Sage) means adding a provider does not require rewiring the sync pipeline. The Xero integration specifically is thorough: rate limiting, token refresh (proactive and reactive), invoice-first sync, AR overlay preservation.</w:t>
      </w:r>
    </w:p>
    <w:p>
      <w:pPr>
        <w:spacing w:after="180"/>
      </w:pPr>
      <w:r>
        <w:rPr>
          <w:rFonts w:ascii="Arial" w:cs="Arial" w:eastAsia="Arial" w:hAnsi="Arial"/>
          <w:b/>
          <w:bCs/>
          <w:sz w:val="22"/>
          <w:szCs w:val="22"/>
        </w:rPr>
        <w:t xml:space="preserve">Charlie decision engine. </w:t>
      </w:r>
      <w:r>
        <w:rPr>
          <w:rFonts w:ascii="Arial" w:cs="Arial" w:eastAsia="Arial" w:hAnsi="Arial"/>
          <w:sz w:val="22"/>
          <w:szCs w:val="22"/>
        </w:rPr>
        <w:t xml:space="preserve">14 engineering gaps identified, audited, and implemented. P(Pay) log-normal distribution, Bayesian PRS, channel effectiveness EMA, portfolio urgency weighting. This is genuine applied ML, not toy demos. The mathematics is correct and cold-start handling is thoughtful.</w:t>
      </w:r>
    </w:p>
    <w:p>
      <w:pPr>
        <w:pStyle w:val="Heading2"/>
        <w:spacing w:after="200" w:before="240"/>
      </w:pPr>
      <w:r>
        <w:rPr>
          <w:rFonts w:ascii="Arial" w:cs="Arial" w:eastAsia="Arial" w:hAnsi="Arial"/>
          <w:b/>
          <w:bCs/>
          <w:color w:val="1F4E79"/>
          <w:sz w:val="28"/>
          <w:szCs w:val="28"/>
        </w:rPr>
        <w:t xml:space="preserve">Where It Shows Speed of Development</w:t>
      </w:r>
    </w:p>
    <w:p>
      <w:pPr>
        <w:spacing w:after="180"/>
      </w:pPr>
      <w:r>
        <w:rPr>
          <w:rFonts w:ascii="Arial" w:cs="Arial" w:eastAsia="Arial" w:hAnsi="Arial"/>
          <w:b/>
          <w:bCs/>
          <w:sz w:val="22"/>
          <w:szCs w:val="22"/>
        </w:rPr>
        <w:t xml:space="preserve">Type safety is inconsistent. </w:t>
      </w:r>
      <w:r>
        <w:rPr>
          <w:rFonts w:ascii="Arial" w:cs="Arial" w:eastAsia="Arial" w:hAnsi="Arial"/>
          <w:sz w:val="22"/>
          <w:szCs w:val="22"/>
        </w:rPr>
        <w:t xml:space="preserve">Many services use 'any' types. 600+ pre-existing TypeScript errors (mostly client-side) indicate the frontend was built faster than types could keep up.</w:t>
      </w:r>
    </w:p>
    <w:p>
      <w:pPr>
        <w:spacing w:after="180"/>
      </w:pPr>
      <w:r>
        <w:rPr>
          <w:rFonts w:ascii="Arial" w:cs="Arial" w:eastAsia="Arial" w:hAnsi="Arial"/>
          <w:b/>
          <w:bCs/>
          <w:sz w:val="22"/>
          <w:szCs w:val="22"/>
        </w:rPr>
        <w:t xml:space="preserve">Half-built pipelines. </w:t>
      </w:r>
      <w:r>
        <w:rPr>
          <w:rFonts w:ascii="Arial" w:cs="Arial" w:eastAsia="Arial" w:hAnsi="Arial"/>
          <w:sz w:val="22"/>
          <w:szCs w:val="22"/>
        </w:rPr>
        <w:t xml:space="preserve">Infrastructure exists (tables, interfaces, methods) but is not always wired into runtime. The project documentation records this honestly. New contributors need to trace data flows end-to-end.</w:t>
      </w:r>
    </w:p>
    <w:p>
      <w:pPr>
        <w:spacing w:after="180"/>
      </w:pPr>
      <w:r>
        <w:rPr>
          <w:rFonts w:ascii="Arial" w:cs="Arial" w:eastAsia="Arial" w:hAnsi="Arial"/>
          <w:b/>
          <w:bCs/>
          <w:sz w:val="22"/>
          <w:szCs w:val="22"/>
        </w:rPr>
        <w:t xml:space="preserve">Silent error swallowing. </w:t>
      </w:r>
      <w:r>
        <w:rPr>
          <w:rFonts w:ascii="Arial" w:cs="Arial" w:eastAsia="Arial" w:hAnsi="Arial"/>
          <w:sz w:val="22"/>
          <w:szCs w:val="22"/>
        </w:rPr>
        <w:t xml:space="preserve">Multiple catch blocks discard errors. The SendGrid webhook pipeline was non-functional because of a single 'if (!tenant_id) continue'. This pattern is the single biggest risk in the codebase.</w:t>
      </w:r>
    </w:p>
    <w:p>
      <w:pPr>
        <w:spacing w:after="180"/>
      </w:pPr>
      <w:r>
        <w:rPr>
          <w:rFonts w:ascii="Arial" w:cs="Arial" w:eastAsia="Arial" w:hAnsi="Arial"/>
          <w:b/>
          <w:bCs/>
          <w:sz w:val="22"/>
          <w:szCs w:val="22"/>
        </w:rPr>
        <w:t xml:space="preserve">No test suite. </w:t>
      </w:r>
      <w:r>
        <w:rPr>
          <w:rFonts w:ascii="Arial" w:cs="Arial" w:eastAsia="Arial" w:hAnsi="Arial"/>
          <w:sz w:val="22"/>
          <w:szCs w:val="22"/>
        </w:rPr>
        <w:t xml:space="preserve">For a product handling financial communications and legal compliance (30-day statutory windows, Pre-Action Protocol), this is the most significant gap.</w:t>
      </w:r>
    </w:p>
    <w:p>
      <w:pPr>
        <w:spacing w:after="180"/>
      </w:pPr>
      <w:r>
        <w:rPr>
          <w:rFonts w:ascii="Arial" w:cs="Arial" w:eastAsia="Arial" w:hAnsi="Arial"/>
          <w:b/>
          <w:bCs/>
          <w:sz w:val="22"/>
          <w:szCs w:val="22"/>
        </w:rPr>
        <w:t xml:space="preserve">OpenAI to Claude migration incomplete. </w:t>
      </w:r>
      <w:r>
        <w:rPr>
          <w:rFonts w:ascii="Arial" w:cs="Arial" w:eastAsia="Arial" w:hAnsi="Arial"/>
          <w:sz w:val="22"/>
          <w:szCs w:val="22"/>
        </w:rPr>
        <w:t xml:space="preserve">Some references remain. The openai.ts service still exists alongside llm/claude.ts.</w:t>
      </w:r>
    </w:p>
    <w:p>
      <w:pPr>
        <w:pStyle w:val="Heading1"/>
        <w:spacing w:after="200" w:before="360"/>
      </w:pPr>
      <w:r>
        <w:rPr>
          <w:rFonts w:ascii="Arial" w:cs="Arial" w:eastAsia="Arial" w:hAnsi="Arial"/>
          <w:b/>
          <w:bCs/>
          <w:color w:val="1F4E79"/>
          <w:sz w:val="32"/>
          <w:szCs w:val="32"/>
        </w:rPr>
        <w:t xml:space="preserve">Complexity Assessment</w:t>
      </w:r>
    </w:p>
    <w:p>
      <w:pPr>
        <w:spacing w:after="180"/>
      </w:pPr>
      <w:r>
        <w:rPr>
          <w:rFonts w:ascii="Arial" w:cs="Arial" w:eastAsia="Arial" w:hAnsi="Arial"/>
          <w:sz w:val="22"/>
          <w:szCs w:val="22"/>
        </w:rPr>
        <w:t xml:space="preserve">The approximately 74 services are well-decomposed with clear responsibilities. The decision engine is the most complex part, and the 14-gap audit has hardened it. The domain complexity includes: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Debt Collection Law</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Payment of Commercial Debts Act, Pre-Action Protocol, statutory interest, 30-day dispute windows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Orchestration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SMS, voice, WhatsApp across multiple providers with mode enforcement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Probabilistic Models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Log-normal payment distributions, Bayesian scoring, exponential moving average learning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planning then execution with execution-time re-validation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Integration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 API with training prohibition constraints, provider abstraction layer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Features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broadcasts, SSE streaming for Riley AI assistant</w:t>
            </w:r>
          </w:p>
        </w:tc>
      </w:tr>
    </w:tbl>
    <w:p>
      <w:r>
        <w:br w:type="page"/>
      </w:r>
    </w:p>
    <w:p>
      <w:pPr>
        <w:pStyle w:val="Heading1"/>
        <w:spacing w:after="200" w:before="360"/>
      </w:pPr>
      <w:r>
        <w:rPr>
          <w:rFonts w:ascii="Arial" w:cs="Arial" w:eastAsia="Arial" w:hAnsi="Arial"/>
          <w:b/>
          <w:bCs/>
          <w:color w:val="1F4E79"/>
          <w:sz w:val="32"/>
          <w:szCs w:val="32"/>
        </w:rPr>
        <w:t xml:space="preserve">MVP Assessment: 7.5/10</w:t>
      </w:r>
    </w:p>
    <w:p>
      <w:pPr>
        <w:pStyle w:val="Heading2"/>
        <w:spacing w:after="200" w:before="240"/>
      </w:pPr>
      <w:r>
        <w:rPr>
          <w:rFonts w:ascii="Arial" w:cs="Arial" w:eastAsia="Arial" w:hAnsi="Arial"/>
          <w:b/>
          <w:bCs/>
          <w:color w:val="1F4E79"/>
          <w:sz w:val="28"/>
          <w:szCs w:val="28"/>
        </w:rPr>
        <w:t xml:space="preserve">What Makes It Strong</w:t>
      </w:r>
    </w:p>
    <w:p>
      <w:pPr>
        <w:spacing w:after="180"/>
      </w:pPr>
      <w:r>
        <w:rPr>
          <w:rFonts w:ascii="Arial" w:cs="Arial" w:eastAsia="Arial" w:hAnsi="Arial"/>
          <w:b/>
          <w:bCs/>
          <w:sz w:val="22"/>
          <w:szCs w:val="22"/>
        </w:rPr>
        <w:t xml:space="preserve">1. The core value proposition works. </w:t>
      </w:r>
      <w:r>
        <w:rPr>
          <w:rFonts w:ascii="Arial" w:cs="Arial" w:eastAsia="Arial" w:hAnsi="Arial"/>
          <w:sz w:val="22"/>
          <w:szCs w:val="22"/>
        </w:rPr>
        <w:t xml:space="preserve">Charlie can assess a debtor, select a channel, generate a personalised message in the right tone, check compliance, and deliver it with human approval gates. This is the product. It works.</w:t>
      </w:r>
    </w:p>
    <w:p>
      <w:pPr>
        <w:spacing w:after="180"/>
      </w:pPr>
      <w:r>
        <w:rPr>
          <w:rFonts w:ascii="Arial" w:cs="Arial" w:eastAsia="Arial" w:hAnsi="Arial"/>
          <w:b/>
          <w:bCs/>
          <w:sz w:val="22"/>
          <w:szCs w:val="22"/>
        </w:rPr>
        <w:t xml:space="preserve">2. The data model is acquisition-ready. </w:t>
      </w:r>
      <w:r>
        <w:rPr>
          <w:rFonts w:ascii="Arial" w:cs="Arial" w:eastAsia="Arial" w:hAnsi="Arial"/>
          <w:sz w:val="22"/>
          <w:szCs w:val="22"/>
        </w:rPr>
        <w:t xml:space="preserve">AR overlay fields (arContactEmail, arContactPhone, arContactName, arNotes) are explicitly preserved as sacred and never overwritten during sync. This is Qashivo-owned data that creates stickiness and is a data asset for the bank buyer. Multi-tenant architecture means a bank gets a platform, not a single-tenant tool.</w:t>
      </w:r>
    </w:p>
    <w:p>
      <w:pPr>
        <w:spacing w:after="180"/>
      </w:pPr>
      <w:r>
        <w:rPr>
          <w:rFonts w:ascii="Arial" w:cs="Arial" w:eastAsia="Arial" w:hAnsi="Arial"/>
          <w:b/>
          <w:bCs/>
          <w:sz w:val="22"/>
          <w:szCs w:val="22"/>
        </w:rPr>
        <w:t xml:space="preserve">3. Compliance is built in, not bolted on. </w:t>
      </w:r>
      <w:r>
        <w:rPr>
          <w:rFonts w:ascii="Arial" w:cs="Arial" w:eastAsia="Arial" w:hAnsi="Arial"/>
          <w:sz w:val="22"/>
          <w:szCs w:val="22"/>
        </w:rPr>
        <w:t xml:space="preserve">The compliance engine gates all outbound communications. The 30-day statutory response window is enforced as a hard legal constraint. The communication mode system prevents accidental sends.</w:t>
      </w:r>
    </w:p>
    <w:p>
      <w:pPr>
        <w:spacing w:after="180"/>
      </w:pPr>
      <w:r>
        <w:rPr>
          <w:rFonts w:ascii="Arial" w:cs="Arial" w:eastAsia="Arial" w:hAnsi="Arial"/>
          <w:b/>
          <w:bCs/>
          <w:sz w:val="22"/>
          <w:szCs w:val="22"/>
        </w:rPr>
        <w:t xml:space="preserve">4. The AI layer is genuinely intelligent. </w:t>
      </w:r>
      <w:r>
        <w:rPr>
          <w:rFonts w:ascii="Arial" w:cs="Arial" w:eastAsia="Arial" w:hAnsi="Arial"/>
          <w:sz w:val="22"/>
          <w:szCs w:val="22"/>
        </w:rPr>
        <w:t xml:space="preserve">Riley extracts business intelligence from conversations, Charlie learns channel effectiveness per debtor, P(Pay) adapts to payment patterns. This is not 'we added a ChatGPT wrapper'. It is a decision engine that gets smarter over time.</w:t>
      </w:r>
    </w:p>
    <w:p>
      <w:pPr>
        <w:spacing w:after="180"/>
      </w:pPr>
      <w:r>
        <w:rPr>
          <w:rFonts w:ascii="Arial" w:cs="Arial" w:eastAsia="Arial" w:hAnsi="Arial"/>
          <w:b/>
          <w:bCs/>
          <w:sz w:val="22"/>
          <w:szCs w:val="22"/>
        </w:rPr>
        <w:t xml:space="preserve">5. Xero integration is production-grade. </w:t>
      </w:r>
      <w:r>
        <w:rPr>
          <w:rFonts w:ascii="Arial" w:cs="Arial" w:eastAsia="Arial" w:hAnsi="Arial"/>
          <w:sz w:val="22"/>
          <w:szCs w:val="22"/>
        </w:rPr>
        <w:t xml:space="preserve">Rate limiting, token refresh, invoice-first sync, ongoing background sync, credit note and overpayment handling.</w:t>
      </w:r>
    </w:p>
    <w:p>
      <w:pPr>
        <w:pStyle w:val="Heading2"/>
        <w:spacing w:after="200" w:before="240"/>
      </w:pPr>
      <w:r>
        <w:rPr>
          <w:rFonts w:ascii="Arial" w:cs="Arial" w:eastAsia="Arial" w:hAnsi="Arial"/>
          <w:b/>
          <w:bCs/>
          <w:color w:val="1F4E79"/>
          <w:sz w:val="28"/>
          <w:szCs w:val="28"/>
        </w:rPr>
        <w:t xml:space="preserve">What Is Missing for a Complete MVP</w:t>
      </w:r>
    </w:p>
    <w:p>
      <w:pPr>
        <w:spacing w:after="180"/>
      </w:pPr>
      <w:r>
        <w:rPr>
          <w:rFonts w:ascii="Arial" w:cs="Arial" w:eastAsia="Arial" w:hAnsi="Arial"/>
          <w:b/>
          <w:bCs/>
          <w:sz w:val="22"/>
          <w:szCs w:val="22"/>
        </w:rPr>
        <w:t xml:space="preserve">1. No automated tests. </w:t>
      </w:r>
      <w:r>
        <w:rPr>
          <w:rFonts w:ascii="Arial" w:cs="Arial" w:eastAsia="Arial" w:hAnsi="Arial"/>
          <w:sz w:val="22"/>
          <w:szCs w:val="22"/>
        </w:rPr>
        <w:t xml:space="preserve">The number one gap. A single regression in the compliance engine or communication mode wrapper could send real collection letters to the wrong people. For bank acquisition due diligence, test coverage is table stakes.</w:t>
      </w:r>
    </w:p>
    <w:p>
      <w:pPr>
        <w:spacing w:after="180"/>
      </w:pPr>
      <w:r>
        <w:rPr>
          <w:rFonts w:ascii="Arial" w:cs="Arial" w:eastAsia="Arial" w:hAnsi="Arial"/>
          <w:b/>
          <w:bCs/>
          <w:sz w:val="22"/>
          <w:szCs w:val="22"/>
        </w:rPr>
        <w:t xml:space="preserve">2. Frontend needs a rewrite. </w:t>
      </w:r>
      <w:r>
        <w:rPr>
          <w:rFonts w:ascii="Arial" w:cs="Arial" w:eastAsia="Arial" w:hAnsi="Arial"/>
          <w:sz w:val="22"/>
          <w:szCs w:val="22"/>
        </w:rPr>
        <w:t xml:space="preserve">The project documentation states it is being rewritten. 600+ type errors. For bank buyer demos, the frontend needs polish.</w:t>
      </w:r>
    </w:p>
    <w:p>
      <w:pPr>
        <w:spacing w:after="180"/>
      </w:pPr>
      <w:r>
        <w:rPr>
          <w:rFonts w:ascii="Arial" w:cs="Arial" w:eastAsia="Arial" w:hAnsi="Arial"/>
          <w:b/>
          <w:bCs/>
          <w:sz w:val="22"/>
          <w:szCs w:val="22"/>
        </w:rPr>
        <w:t xml:space="preserve">3. No Open Banking integration. </w:t>
      </w:r>
      <w:r>
        <w:rPr>
          <w:rFonts w:ascii="Arial" w:cs="Arial" w:eastAsia="Arial" w:hAnsi="Arial"/>
          <w:sz w:val="22"/>
          <w:szCs w:val="22"/>
        </w:rPr>
        <w:t xml:space="preserve">The two-source architecture (Xero for inference, Open Banking for learning) is designed but Phase 2 is not built. Open Banking is the moat. Without it, learning models depend on data they are contractually prohibited from using for training.</w:t>
      </w:r>
    </w:p>
    <w:p>
      <w:pPr>
        <w:spacing w:after="180"/>
      </w:pPr>
      <w:r>
        <w:rPr>
          <w:rFonts w:ascii="Arial" w:cs="Arial" w:eastAsia="Arial" w:hAnsi="Arial"/>
          <w:b/>
          <w:bCs/>
          <w:sz w:val="22"/>
          <w:szCs w:val="22"/>
        </w:rPr>
        <w:t xml:space="preserve">4. Auth is still Passport local strategy. </w:t>
      </w:r>
      <w:r>
        <w:rPr>
          <w:rFonts w:ascii="Arial" w:cs="Arial" w:eastAsia="Arial" w:hAnsi="Arial"/>
          <w:sz w:val="22"/>
          <w:szCs w:val="22"/>
        </w:rPr>
        <w:t xml:space="preserve">The plan is Clerk or Supabase. For bank acquisition, production auth with SSO, MFA, and audit logging is expected.</w:t>
      </w:r>
    </w:p>
    <w:p>
      <w:pPr>
        <w:spacing w:after="180"/>
      </w:pPr>
      <w:r>
        <w:rPr>
          <w:rFonts w:ascii="Arial" w:cs="Arial" w:eastAsia="Arial" w:hAnsi="Arial"/>
          <w:b/>
          <w:bCs/>
          <w:sz w:val="22"/>
          <w:szCs w:val="22"/>
        </w:rPr>
        <w:t xml:space="preserve">5. No monitoring or alerting infrastructure. </w:t>
      </w:r>
      <w:r>
        <w:rPr>
          <w:rFonts w:ascii="Arial" w:cs="Arial" w:eastAsia="Arial" w:hAnsi="Arial"/>
          <w:sz w:val="22"/>
          <w:szCs w:val="22"/>
        </w:rPr>
        <w:t xml:space="preserve">Circuit breaker SMS alerts do not work because the users table has no phone column. No APM, no Sentry, no structured observability.</w:t>
      </w:r>
    </w:p>
    <w:p>
      <w:pPr>
        <w:spacing w:after="180"/>
      </w:pPr>
      <w:r>
        <w:rPr>
          <w:rFonts w:ascii="Arial" w:cs="Arial" w:eastAsia="Arial" w:hAnsi="Arial"/>
          <w:b/>
          <w:bCs/>
          <w:sz w:val="22"/>
          <w:szCs w:val="22"/>
        </w:rPr>
        <w:t xml:space="preserve">6. Voice and SMS are thin. </w:t>
      </w:r>
      <w:r>
        <w:rPr>
          <w:rFonts w:ascii="Arial" w:cs="Arial" w:eastAsia="Arial" w:hAnsi="Arial"/>
          <w:sz w:val="22"/>
          <w:szCs w:val="22"/>
        </w:rPr>
        <w:t xml:space="preserve">Email is the mature channel. Voice (Retell) and SMS (Vonage) work but lack depth: no delivery tracking for connected email, no inbound SMS parsing.</w:t>
      </w:r>
    </w:p>
    <w:p>
      <w:r>
        <w:br w:type="page"/>
      </w:r>
    </w:p>
    <w:p>
      <w:pPr>
        <w:pStyle w:val="Heading1"/>
        <w:spacing w:after="200" w:before="360"/>
      </w:pPr>
      <w:r>
        <w:rPr>
          <w:rFonts w:ascii="Arial" w:cs="Arial" w:eastAsia="Arial" w:hAnsi="Arial"/>
          <w:b/>
          <w:bCs/>
          <w:color w:val="1F4E79"/>
          <w:sz w:val="32"/>
          <w:szCs w:val="32"/>
        </w:rPr>
        <w:t xml:space="preserve">Bottom Line</w:t>
      </w:r>
    </w:p>
    <w:p>
      <w:pPr>
        <w:spacing w:after="180"/>
      </w:pPr>
      <w:r>
        <w:rPr>
          <w:rFonts w:ascii="Arial" w:cs="Arial" w:eastAsia="Arial" w:hAnsi="Arial"/>
          <w:sz w:val="22"/>
          <w:szCs w:val="22"/>
        </w:rPr>
        <w:t xml:space="preserve">Qashivo is a strong technical MVP with genuine domain sophistication. The decision engine, compliance architecture, and multi-tenant data model are beyond what most seed-stage products achieve. The gaps (tests, frontend, auth, monitoring) are all solvable and none are architectural.</w:t>
      </w:r>
    </w:p>
    <w:p>
      <w:pPr>
        <w:spacing w:after="180"/>
      </w:pPr>
      <w:r>
        <w:rPr>
          <w:rFonts w:ascii="Arial" w:cs="Arial" w:eastAsia="Arial" w:hAnsi="Arial"/>
          <w:sz w:val="22"/>
          <w:szCs w:val="22"/>
        </w:rPr>
        <w:t xml:space="preserve">For a bank buyer doing technical due diligence, the Charlie engine and data model would impress. The lack of tests and frontend state would concern. The AI layer (Riley, Charlie, P(Pay), channel effectiveness) is the differentiator. Most competitors in UK credit control are template-based workflow tools, not learning systems.</w:t>
      </w:r>
    </w:p>
    <w:p>
      <w:pPr>
        <w:pBdr>
          <w:top w:val="single" w:color="1F4E79" w:sz="2" w:space="8"/>
          <w:bottom w:val="single" w:color="1F4E79" w:sz="2" w:space="8"/>
        </w:pBdr>
        <w:spacing w:after="300" w:before="300"/>
      </w:pPr>
      <w:r>
        <w:rPr>
          <w:rFonts w:ascii="Arial" w:cs="Arial" w:eastAsia="Arial" w:hAnsi="Arial"/>
          <w:b/>
          <w:bCs/>
          <w:color w:val="1F4E79"/>
          <w:sz w:val="24"/>
          <w:szCs w:val="24"/>
        </w:rPr>
        <w:t xml:space="preserve">Could this close a bank acquisition today? Not yet, but the foundation is right. The path from here is primarily: tests, frontend polish, production auth, and Open Banking. The hard architectural decisions have already been made correctly.</w:t>
      </w:r>
    </w:p>
    <w:p>
      <w:pPr>
        <w:pStyle w:val="Heading2"/>
        <w:spacing w:after="200" w:before="240"/>
      </w:pPr>
      <w:r>
        <w:rPr>
          <w:rFonts w:ascii="Arial" w:cs="Arial" w:eastAsia="Arial" w:hAnsi="Arial"/>
          <w:b/>
          <w:bCs/>
          <w:color w:val="1F4E79"/>
          <w:sz w:val="28"/>
          <w:szCs w:val="28"/>
        </w:rPr>
        <w:t xml:space="preserve">Path to Acquisition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for due diligence. Focus on compliance engine, communication wrappers, PRS calculation, tone 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rewrite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demos. Current state has 600+ type errors. Bank buyers will see the UI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is a bounded task. SSO and MFA expected by enterprise buyers.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Banking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moat. Enables the two-source architecture and legitimate model 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 structured logging, admin phone field for SMS alerts.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2026-04-02T19:19:38.593Z</dcterms:created>
  <dcterms:modified xsi:type="dcterms:W3CDTF">2026-04-02T19:19:38.596Z</dcterms:modified>
</cp:coreProperties>
</file>

<file path=docProps/custom.xml><?xml version="1.0" encoding="utf-8"?>
<Properties xmlns="http://schemas.openxmlformats.org/officeDocument/2006/custom-properties" xmlns:vt="http://schemas.openxmlformats.org/officeDocument/2006/docPropsVTypes"/>
</file>