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a1a2e"/>
          <w:sz w:val="56"/>
          <w:szCs w:val="56"/>
        </w:rPr>
        <w:t xml:space="preserve">CHARLIE</w:t>
      </w:r>
    </w:p>
    <w:p>
      <w:pPr>
        <w:spacing w:after="200"/>
        <w:jc w:val="center"/>
      </w:pPr>
      <w:r>
        <w:rPr>
          <w:rFonts w:ascii="Arial" w:cs="Arial" w:eastAsia="Arial" w:hAnsi="Arial"/>
          <w:b/>
          <w:bCs/>
          <w:color w:val="1a1a2e"/>
          <w:sz w:val="40"/>
          <w:szCs w:val="40"/>
        </w:rPr>
        <w:t xml:space="preserve">COLLECTIVE INTELLIGENCE ENGINE</w:t>
      </w:r>
    </w:p>
    <w:p>
      <w:pPr>
        <w:spacing w:after="400"/>
        <w:jc w:val="center"/>
      </w:pPr>
      <w:r>
        <w:rPr>
          <w:rFonts w:ascii="Arial" w:cs="Arial" w:eastAsia="Arial" w:hAnsi="Arial"/>
          <w:color w:val="666666"/>
          <w:sz w:val="32"/>
          <w:szCs w:val="32"/>
        </w:rPr>
        <w:t xml:space="preserve">SPECIFICATION</w:t>
      </w:r>
    </w:p>
    <w:p>
      <w:pPr>
        <w:spacing w:before="600"/>
      </w:pPr>
    </w:p>
    <w:p>
      <w:pPr>
        <w:spacing w:after="120"/>
        <w:jc w:val="center"/>
      </w:pPr>
      <w:r>
        <w:rPr>
          <w:rFonts w:ascii="Arial" w:cs="Arial" w:eastAsia="Arial" w:hAnsi="Arial"/>
          <w:color w:val="666666"/>
          <w:sz w:val="24"/>
          <w:szCs w:val="24"/>
        </w:rPr>
        <w:t xml:space="preserve">Version 1.0 — 04 April 2026</w:t>
      </w:r>
    </w:p>
    <w:p>
      <w:pPr>
        <w:spacing w:after="120"/>
        <w:jc w:val="center"/>
      </w:pPr>
      <w:r>
        <w:rPr>
          <w:rFonts w:ascii="Arial" w:cs="Arial" w:eastAsia="Arial" w:hAnsi="Arial"/>
          <w:color w:val="666666"/>
          <w:sz w:val="24"/>
          <w:szCs w:val="24"/>
        </w:rPr>
        <w:t xml:space="preserve">Qashivo — Nexus KPI Limited</w:t>
      </w:r>
    </w:p>
    <w:p>
      <w:pPr>
        <w:spacing w:after="120"/>
        <w:jc w:val="center"/>
      </w:pPr>
      <w:r>
        <w:rPr>
          <w:rFonts w:ascii="Arial" w:cs="Arial" w:eastAsia="Arial" w:hAnsi="Arial"/>
          <w:i/>
          <w:iCs/>
          <w:color w:val="999999"/>
          <w:sz w:val="22"/>
          <w:szCs w:val="22"/>
        </w:rPr>
        <w:t xml:space="preserve">Status: Specification — not yet built</w:t>
      </w:r>
    </w:p>
    <w:p>
      <w:pPr>
        <w:spacing w:after="120" w:before="800"/>
        <w:jc w:val="center"/>
      </w:pPr>
      <w:r>
        <w:rPr>
          <w:rFonts w:ascii="Arial" w:cs="Arial" w:eastAsia="Arial" w:hAnsi="Arial"/>
          <w:b/>
          <w:bCs/>
          <w:color w:val="CC0000"/>
          <w:sz w:val="28"/>
          <w:szCs w:val="28"/>
        </w:rPr>
        <w:t xml:space="preserve">CONFIDENTIAL</w:t>
      </w:r>
    </w:p>
    <w:p>
      <w:r>
        <w:br w:type="page"/>
      </w:r>
    </w:p>
    <w:p>
      <w:pPr>
        <w:pStyle w:val="Heading1"/>
        <w:spacing w:after="160" w:before="360"/>
      </w:pPr>
      <w:r>
        <w:rPr>
          <w:rFonts w:ascii="Arial" w:cs="Arial" w:eastAsia="Arial" w:hAnsi="Arial"/>
          <w:b/>
          <w:bCs/>
          <w:color w:val="1a1a2e"/>
          <w:sz w:val="32"/>
          <w:szCs w:val="32"/>
        </w:rPr>
        <w:t xml:space="preserve">1. Vision</w:t>
      </w:r>
    </w:p>
    <w:p>
      <w:pPr>
        <w:spacing w:after="160"/>
      </w:pPr>
      <w:r>
        <w:rPr>
          <w:rFonts w:ascii="Arial" w:cs="Arial" w:eastAsia="Arial" w:hAnsi="Arial"/>
          <w:sz w:val="22"/>
          <w:szCs w:val="22"/>
        </w:rPr>
        <w:t xml:space="preserve">Charlie currently learns per-tenant: each tenant's debtors build individual profiles, effectiveness scores, and payment patterns. This knowledge is siloed — a new tenant starts from cold with no benefit from the thousands of interactions other tenants have already had.</w:t>
      </w:r>
    </w:p>
    <w:p>
      <w:pPr>
        <w:spacing w:after="160"/>
      </w:pPr>
      <w:r>
        <w:rPr>
          <w:rFonts w:ascii="Arial" w:cs="Arial" w:eastAsia="Arial" w:hAnsi="Arial"/>
          <w:sz w:val="22"/>
          <w:szCs w:val="22"/>
        </w:rPr>
        <w:t xml:space="preserve">The Collective Intelligence Engine (CIE) is Charlie's shared brain. It learns anonymised patterns from every interaction across all tenants and feeds those insights back into every decision Charlie makes. The more tenants Qashivo has, the smarter Charlie gets for everyone.</w:t>
      </w:r>
    </w:p>
    <w:p>
      <w:pPr>
        <w:spacing w:after="80"/>
      </w:pPr>
    </w:p>
    <w:p>
      <w:pPr>
        <w:spacing w:after="120"/>
      </w:pPr>
      <w:r>
        <w:rPr>
          <w:rFonts w:ascii="Arial" w:cs="Arial" w:eastAsia="Arial" w:hAnsi="Arial"/>
          <w:b/>
          <w:bCs/>
          <w:sz w:val="22"/>
          <w:szCs w:val="22"/>
        </w:rPr>
        <w:t xml:space="preserve">Bank buyer value: </w:t>
      </w:r>
      <w:r>
        <w:rPr>
          <w:rFonts w:ascii="Arial" w:cs="Arial" w:eastAsia="Arial" w:hAnsi="Arial"/>
          <w:sz w:val="22"/>
          <w:szCs w:val="22"/>
        </w:rPr>
        <w:t xml:space="preserve">This is a proprietary data asset that compounds over time. Every tenant contributes to and benefits from the collective intelligence. It cannot be replicated by a competitor without the same volume of interactions. This is the moat.</w:t>
      </w:r>
    </w:p>
    <w:p>
      <w:pPr>
        <w:spacing w:after="120"/>
      </w:pPr>
      <w:r>
        <w:rPr>
          <w:rFonts w:ascii="Arial" w:cs="Arial" w:eastAsia="Arial" w:hAnsi="Arial"/>
          <w:b/>
          <w:bCs/>
          <w:sz w:val="22"/>
          <w:szCs w:val="22"/>
        </w:rPr>
        <w:t xml:space="preserve">Xero API compliance: </w:t>
      </w:r>
      <w:r>
        <w:rPr>
          <w:rFonts w:ascii="Arial" w:cs="Arial" w:eastAsia="Arial" w:hAnsi="Arial"/>
          <w:sz w:val="22"/>
          <w:szCs w:val="22"/>
        </w:rPr>
        <w:t xml:space="preserve">The CIE never stores or trains on Xero-sourced data. It learns exclusively from Qashivo's own operational data — outcomes, signals, communication effectiveness, payment behaviour observed through Qashivo's own pipelines. Open Banking data (when integrated) has no training restriction and can feed the CIE directly.</w:t>
      </w:r>
    </w:p>
    <w:p>
      <w:r>
        <w:br w:type="page"/>
      </w:r>
    </w:p>
    <w:p>
      <w:pPr>
        <w:pStyle w:val="Heading1"/>
        <w:spacing w:after="160" w:before="360"/>
      </w:pPr>
      <w:r>
        <w:rPr>
          <w:rFonts w:ascii="Arial" w:cs="Arial" w:eastAsia="Arial" w:hAnsi="Arial"/>
          <w:b/>
          <w:bCs/>
          <w:color w:val="1a1a2e"/>
          <w:sz w:val="32"/>
          <w:szCs w:val="32"/>
        </w:rPr>
        <w:t xml:space="preserve">2. What Charlie Learns From</w:t>
      </w:r>
    </w:p>
    <w:p>
      <w:pPr>
        <w:spacing w:after="160"/>
      </w:pPr>
      <w:r>
        <w:rPr>
          <w:rFonts w:ascii="Arial" w:cs="Arial" w:eastAsia="Arial" w:hAnsi="Arial"/>
          <w:sz w:val="22"/>
          <w:szCs w:val="22"/>
        </w:rPr>
        <w:t xml:space="preserve">Every event in the system is a learning opportunity. The CIE observes and aggregates:</w:t>
      </w:r>
    </w:p>
    <w:p>
      <w:pPr>
        <w:pStyle w:val="Heading2"/>
        <w:spacing w:after="160" w:before="240"/>
      </w:pPr>
      <w:r>
        <w:rPr>
          <w:rFonts w:ascii="Arial" w:cs="Arial" w:eastAsia="Arial" w:hAnsi="Arial"/>
          <w:b/>
          <w:bCs/>
          <w:color w:val="1a1a2e"/>
          <w:sz w:val="28"/>
          <w:szCs w:val="28"/>
        </w:rPr>
        <w:t xml:space="preserve">2.1 Communication Effectiveness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teaches</w:t>
            </w:r>
          </w:p>
        </w:tc>
        <w:tc>
          <w:tcPr>
            <w:tcW w:type="dxa" w:w="38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 insight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 response rates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channel works best for which debtor type</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SMS gets 3x response rate from construction companies vs email</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Time-of-day effectiveness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When debtors are most likely to respond</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Emails sent Tuesday 10-11am get 40% more responses than Friday afternoon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Day-of-week patterns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days produce best outcomes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Thursday emails result in faster payment than Monday emails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Tone effectiveness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Which tone level drives payment at which stage</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Professional tone at 30 days overdue converts better than Friendly for invoices over £5k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length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Whether shorter or longer emails work better</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Emails under 150 words get 25% more responses for first chase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Follow-up cadence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Optimal gap between contacts</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3-day gap between first and second chase is optimal for SMEs under £10k outstanding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Multi-channel sequences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Which channel combinations work</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then SMS 2 days later produces 2x payment rate vs email alone</w:t>
            </w:r>
          </w:p>
        </w:tc>
      </w:tr>
    </w:tbl>
    <w:p>
      <w:pPr>
        <w:spacing w:after="80"/>
      </w:pPr>
    </w:p>
    <w:p>
      <w:pPr>
        <w:pStyle w:val="Heading2"/>
        <w:spacing w:after="160" w:before="240"/>
      </w:pPr>
      <w:r>
        <w:rPr>
          <w:rFonts w:ascii="Arial" w:cs="Arial" w:eastAsia="Arial" w:hAnsi="Arial"/>
          <w:b/>
          <w:bCs/>
          <w:color w:val="1a1a2e"/>
          <w:sz w:val="28"/>
          <w:szCs w:val="28"/>
        </w:rPr>
        <w:t xml:space="preserve">2.2 Payment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teaches</w:t>
            </w:r>
          </w:p>
        </w:tc>
        <w:tc>
          <w:tcPr>
            <w:tcW w:type="dxa" w:w="38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 insight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 to pay by industry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Industry-specific payment norms</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Recruitment agencies average 47 days, construction 62 days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Days to pay by size</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How company size affects payment speed</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Micro businesses (&lt;5 employees) pay in 23 days, enterprises 58 days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 day clustering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When in the month payments happen</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38% of payments land on the last Friday of the month</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Promise reliability by segment</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How trustworthy promises are by debtor type</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Hospitality keeps 45% of promises vs 72% for professional services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Promise modification patterns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often and how far promises shift</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promise push-back is 12 days. 3+ modifications = 80% non-payment</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Seasonal payment patterns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Month-by-month payment behaviour</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December collections drop 35% across all sectors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 sensitivity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 size vs payment speed</w:t>
            </w:r>
          </w:p>
        </w:tc>
        <w:tc>
          <w:tcPr>
            <w:tcW w:type="dxa" w:w="3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Invoices under £500 get paid 15 days faster on average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Partial payment signals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What partial payments indicate</w:t>
            </w:r>
          </w:p>
        </w:tc>
        <w:tc>
          <w:tcPr>
            <w:tcW w:type="dxa" w:w="3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50%+ partial payment within 7 days = 90% chance of full settlement</w:t>
            </w:r>
          </w:p>
        </w:tc>
      </w:tr>
    </w:tbl>
    <w:p>
      <w:pPr>
        <w:spacing w:after="80"/>
      </w:pPr>
    </w:p>
    <w:p>
      <w:pPr>
        <w:pStyle w:val="Heading2"/>
        <w:spacing w:after="160" w:before="240"/>
      </w:pPr>
      <w:r>
        <w:rPr>
          <w:rFonts w:ascii="Arial" w:cs="Arial" w:eastAsia="Arial" w:hAnsi="Arial"/>
          <w:b/>
          <w:bCs/>
          <w:color w:val="1a1a2e"/>
          <w:sz w:val="28"/>
          <w:szCs w:val="28"/>
        </w:rPr>
        <w:t xml:space="preserve">2.3 Debtor Risk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teaches</w:t>
            </w:r>
          </w:p>
        </w:tc>
        <w:tc>
          <w:tcPr>
            <w:tcW w:type="dxa" w:w="36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 insight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 patterns before default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warning indicators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Debtors who stop responding after 3rd contact have 4x default rate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Dispute patterns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What disputes predict</w:t>
            </w:r>
          </w:p>
        </w:tc>
        <w:tc>
          <w:tcPr>
            <w:tcW w:type="dxa" w:w="3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Debtors who raise disputes on first chase pay 60% after resolution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Contact quality correlation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data quality affects outcomes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Generic email addresses have 40% lower response rates</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Companies House signals</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Which indicators predict late payment</w:t>
            </w:r>
          </w:p>
        </w:tc>
        <w:tc>
          <w:tcPr>
            <w:tcW w:type="dxa" w:w="3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Companies with 3+ late filings pay 25 days slower on average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Tone escalation trajectory</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escalation speed affects payment</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Escalating to Firm within 14 days loses 20% of PTP vs waiting 30 days</w:t>
            </w:r>
          </w:p>
        </w:tc>
      </w:tr>
    </w:tbl>
    <w:p>
      <w:pPr>
        <w:spacing w:after="80"/>
      </w:pPr>
    </w:p>
    <w:p>
      <w:pPr>
        <w:pStyle w:val="Heading2"/>
        <w:spacing w:after="160" w:before="240"/>
      </w:pPr>
      <w:r>
        <w:rPr>
          <w:rFonts w:ascii="Arial" w:cs="Arial" w:eastAsia="Arial" w:hAnsi="Arial"/>
          <w:b/>
          <w:bCs/>
          <w:color w:val="1a1a2e"/>
          <w:sz w:val="28"/>
          <w:szCs w:val="28"/>
        </w:rPr>
        <w:t xml:space="preserve">2.4 Operational Patterns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What it teaches</w:t>
            </w:r>
          </w:p>
        </w:tc>
        <w:tc>
          <w:tcPr>
            <w:tcW w:type="dxa" w:w="36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Example insight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Approval lag impact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quickly approvals convert to payments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Actions approved within 2 hours result in 15% faster payment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VIP conversion</w:t>
            </w:r>
          </w:p>
        </w:tc>
        <w:tc>
          <w:tcPr>
            <w:tcW w:type="dxa" w:w="3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How often VIP debtors eventually pay</w:t>
            </w:r>
          </w:p>
        </w:tc>
        <w:tc>
          <w:tcPr>
            <w:tcW w:type="dxa" w:w="3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VIP-flagged debtors settle 85% within 90 days without chasing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Working capital impact speed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quickly DSO improves</w:t>
            </w:r>
          </w:p>
        </w:tc>
        <w:tc>
          <w:tcPr>
            <w:tcW w:type="dxa" w:w="3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Average tenant sees 5-day DSO improvement within 30 days of going live</w:t>
            </w:r>
          </w:p>
        </w:tc>
      </w:tr>
    </w:tbl>
    <w:p>
      <w:r>
        <w:br w:type="page"/>
      </w:r>
    </w:p>
    <w:p>
      <w:pPr>
        <w:pStyle w:val="Heading1"/>
        <w:spacing w:after="160" w:before="360"/>
      </w:pPr>
      <w:r>
        <w:rPr>
          <w:rFonts w:ascii="Arial" w:cs="Arial" w:eastAsia="Arial" w:hAnsi="Arial"/>
          <w:b/>
          <w:bCs/>
          <w:color w:val="1a1a2e"/>
          <w:sz w:val="32"/>
          <w:szCs w:val="32"/>
        </w:rPr>
        <w:t xml:space="preserve">3. Architecture</w:t>
      </w:r>
    </w:p>
    <w:p>
      <w:pPr>
        <w:pStyle w:val="Heading2"/>
        <w:spacing w:after="160" w:before="240"/>
      </w:pPr>
      <w:r>
        <w:rPr>
          <w:rFonts w:ascii="Arial" w:cs="Arial" w:eastAsia="Arial" w:hAnsi="Arial"/>
          <w:b/>
          <w:bCs/>
          <w:color w:val="1a1a2e"/>
          <w:sz w:val="28"/>
          <w:szCs w:val="28"/>
        </w:rPr>
        <w:t xml:space="preserve">3.1 Data Flow</w:t>
      </w:r>
    </w:p>
    <w:p>
      <w:pPr>
        <w:spacing w:after="160"/>
      </w:pPr>
      <w:r>
        <w:rPr>
          <w:rFonts w:ascii="Arial" w:cs="Arial" w:eastAsia="Arial" w:hAnsi="Arial"/>
          <w:sz w:val="22"/>
          <w:szCs w:val="22"/>
        </w:rPr>
        <w:t xml:space="preserve">The CIE operates as a four-layer pipeline: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48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Tenant Events</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Source data (per-tenant, isolated)</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Communications, responses, payments, promises, disputes, tone changes, channel switches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 Anonymisation</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Strip PII, keep patterns</w:t>
            </w:r>
          </w:p>
        </w:tc>
        <w:tc>
          <w:tcPr>
            <w:tcW w:type="dxa" w:w="4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Remove: tenant ID, names, emails, phones, company names, invoice numbers. Keep: industry, size, region, amount bands, timing, channel, tone, outcome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Collective Intelligence Store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Aggregated insights</w:t>
            </w:r>
          </w:p>
        </w:tc>
        <w:tc>
          <w:tcPr>
            <w:tcW w:type="dxa" w:w="48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 performance profiles, channel effectiveness matrices, payment timing distributions, seasonal patterns, risk correlations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 Inference Layer</w:t>
            </w:r>
          </w:p>
        </w:tc>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Read-only consumption by tenants</w:t>
            </w:r>
          </w:p>
        </w:tc>
        <w:tc>
          <w:tcPr>
            <w:tcW w:type="dxa" w:w="48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Cold start priors, channel recommendations, timing suggestions, risk scoring enrichment, cadence optimisation</w:t>
            </w:r>
          </w:p>
        </w:tc>
      </w:tr>
    </w:tbl>
    <w:p>
      <w:pPr>
        <w:spacing w:after="80"/>
      </w:pPr>
    </w:p>
    <w:p>
      <w:pPr>
        <w:pStyle w:val="Heading2"/>
        <w:spacing w:after="160" w:before="240"/>
      </w:pPr>
      <w:r>
        <w:rPr>
          <w:rFonts w:ascii="Arial" w:cs="Arial" w:eastAsia="Arial" w:hAnsi="Arial"/>
          <w:b/>
          <w:bCs/>
          <w:color w:val="1a1a2e"/>
          <w:sz w:val="28"/>
          <w:szCs w:val="28"/>
        </w:rPr>
        <w:t xml:space="preserve">3.2 Anonymisation Principles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Principle</w:t>
            </w:r>
          </w:p>
        </w:tc>
        <w:tc>
          <w:tcPr>
            <w:tcW w:type="dxa" w:w="66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PII in CIE</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names, emails, phones, addresses, company names, invoice numbers — ever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tenant attribution</w:t>
            </w:r>
          </w:p>
        </w:tc>
        <w:tc>
          <w:tcPr>
            <w:tcW w:type="dxa" w:w="6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CIE data cannot be traced back to a specific tenant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Segment-level only</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All insights at segment level (industry x size x region), never individual debtor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Minimum cohort size</w:t>
            </w:r>
          </w:p>
        </w:tc>
        <w:tc>
          <w:tcPr>
            <w:tcW w:type="dxa" w:w="6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Insights require minimum 20 data points from 5+ tenants to be published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opt-out</w:t>
            </w:r>
          </w:p>
        </w:tc>
        <w:tc>
          <w:tcPr>
            <w:tcW w:type="dxa" w:w="66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Tenants can opt out of contributing. They still benefit from existing insights.</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Xero data</w:t>
            </w:r>
          </w:p>
        </w:tc>
        <w:tc>
          <w:tcPr>
            <w:tcW w:type="dxa" w:w="66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CIE never stores or processes Xero-sourced data. Only Qashivo operational data.</w:t>
            </w:r>
          </w:p>
        </w:tc>
      </w:tr>
    </w:tbl>
    <w:p>
      <w:pPr>
        <w:spacing w:after="80"/>
      </w:pPr>
    </w:p>
    <w:p>
      <w:pPr>
        <w:pStyle w:val="Heading2"/>
        <w:spacing w:after="160" w:before="240"/>
      </w:pPr>
      <w:r>
        <w:rPr>
          <w:rFonts w:ascii="Arial" w:cs="Arial" w:eastAsia="Arial" w:hAnsi="Arial"/>
          <w:b/>
          <w:bCs/>
          <w:color w:val="1a1a2e"/>
          <w:sz w:val="28"/>
          <w:szCs w:val="28"/>
        </w:rPr>
        <w:t xml:space="preserve">3.3 Segment Definition</w:t>
      </w:r>
    </w:p>
    <w:p>
      <w:pPr>
        <w:spacing w:after="160"/>
      </w:pPr>
      <w:r>
        <w:rPr>
          <w:rFonts w:ascii="Arial" w:cs="Arial" w:eastAsia="Arial" w:hAnsi="Arial"/>
          <w:sz w:val="22"/>
          <w:szCs w:val="22"/>
        </w:rPr>
        <w:t xml:space="preserve">Debtors are categorised into segments for pattern matching. The CIE learns per-segment, not per-debtor.</w:t>
      </w:r>
    </w:p>
    <w:p>
      <w:pPr>
        <w:spacing w:after="80"/>
      </w:pPr>
    </w:p>
    <w:p>
      <w:pPr>
        <w:spacing w:after="120"/>
      </w:pPr>
      <w:r>
        <w:rPr>
          <w:rFonts w:ascii="Arial" w:cs="Arial" w:eastAsia="Arial" w:hAnsi="Arial"/>
          <w:b/>
          <w:bCs/>
          <w:sz w:val="22"/>
          <w:szCs w:val="22"/>
        </w:rPr>
        <w:t xml:space="preserve">Segment = </w:t>
      </w:r>
      <w:r>
        <w:rPr>
          <w:rFonts w:ascii="Arial" w:cs="Arial" w:eastAsia="Arial" w:hAnsi="Arial"/>
          <w:sz w:val="22"/>
          <w:szCs w:val="22"/>
        </w:rPr>
        <w:t xml:space="preserve">Industry (SIC section) × Size Band × Region</w:t>
      </w:r>
    </w:p>
    <w:p>
      <w:pPr>
        <w:spacing w:after="80"/>
      </w:pPr>
    </w:p>
    <w:p>
      <w:pPr>
        <w:spacing w:after="120"/>
      </w:pPr>
      <w:r>
        <w:rPr>
          <w:rFonts w:ascii="Arial" w:cs="Arial" w:eastAsia="Arial" w:hAnsi="Arial"/>
          <w:b/>
          <w:bCs/>
          <w:sz w:val="22"/>
          <w:szCs w:val="22"/>
        </w:rPr>
        <w:t xml:space="preserve">Industry: </w:t>
      </w:r>
      <w:r>
        <w:rPr>
          <w:rFonts w:ascii="Arial" w:cs="Arial" w:eastAsia="Arial" w:hAnsi="Arial"/>
          <w:sz w:val="22"/>
          <w:szCs w:val="22"/>
        </w:rPr>
        <w:t xml:space="preserve">21 SIC sections (Agriculture, Mining, Manufacturing, Energy, Water, Construction, Wholesale/Retail, Transport, Hospitality, Information/Communication, Finance, Real Estate, Professional Services, Admin Services, Public Admin, Education, Health, Arts, Other Services, Households, Extraterritorial, Unknown)</w:t>
      </w:r>
    </w:p>
    <w:p>
      <w:pPr>
        <w:spacing w:after="120"/>
      </w:pPr>
      <w:r>
        <w:rPr>
          <w:rFonts w:ascii="Arial" w:cs="Arial" w:eastAsia="Arial" w:hAnsi="Arial"/>
          <w:b/>
          <w:bCs/>
          <w:sz w:val="22"/>
          <w:szCs w:val="22"/>
        </w:rPr>
        <w:t xml:space="preserve">Size Band: </w:t>
      </w:r>
      <w:r>
        <w:rPr>
          <w:rFonts w:ascii="Arial" w:cs="Arial" w:eastAsia="Arial" w:hAnsi="Arial"/>
          <w:sz w:val="22"/>
          <w:szCs w:val="22"/>
        </w:rPr>
        <w:t xml:space="preserve">micro (0-9 employees), small (10-49), medium (50-249), large (250+), unknown</w:t>
      </w:r>
    </w:p>
    <w:p>
      <w:pPr>
        <w:spacing w:after="120"/>
      </w:pPr>
      <w:r>
        <w:rPr>
          <w:rFonts w:ascii="Arial" w:cs="Arial" w:eastAsia="Arial" w:hAnsi="Arial"/>
          <w:b/>
          <w:bCs/>
          <w:sz w:val="22"/>
          <w:szCs w:val="22"/>
        </w:rPr>
        <w:t xml:space="preserve">Region: </w:t>
      </w:r>
      <w:r>
        <w:rPr>
          <w:rFonts w:ascii="Arial" w:cs="Arial" w:eastAsia="Arial" w:hAnsi="Arial"/>
          <w:sz w:val="22"/>
          <w:szCs w:val="22"/>
        </w:rPr>
        <w:t xml:space="preserve">12 UK standard regions (London, South East, South West, East, West Midlands, East Midlands, Yorkshire, North West, North East, Wales, Scotland, Northern Ireland, unknown)</w:t>
      </w:r>
    </w:p>
    <w:p>
      <w:pPr>
        <w:spacing w:after="80"/>
      </w:pPr>
    </w:p>
    <w:p>
      <w:pPr>
        <w:spacing w:after="160"/>
      </w:pPr>
      <w:r>
        <w:rPr>
          <w:rFonts w:ascii="Arial" w:cs="Arial" w:eastAsia="Arial" w:hAnsi="Arial"/>
          <w:sz w:val="22"/>
          <w:szCs w:val="22"/>
        </w:rPr>
        <w:t xml:space="preserve">Segments with insufficient data fall back to broader categories: Industry × Size (drop region), then Industry only, then Size only, then system-wide defaults.</w:t>
      </w:r>
    </w:p>
    <w:p>
      <w:r>
        <w:br w:type="page"/>
      </w:r>
    </w:p>
    <w:p>
      <w:pPr>
        <w:pStyle w:val="Heading1"/>
        <w:spacing w:after="160" w:before="360"/>
      </w:pPr>
      <w:r>
        <w:rPr>
          <w:rFonts w:ascii="Arial" w:cs="Arial" w:eastAsia="Arial" w:hAnsi="Arial"/>
          <w:b/>
          <w:bCs/>
          <w:color w:val="1a1a2e"/>
          <w:sz w:val="32"/>
          <w:szCs w:val="32"/>
        </w:rPr>
        <w:t xml:space="preserve">4. Schema</w:t>
      </w:r>
    </w:p>
    <w:p>
      <w:pPr>
        <w:pStyle w:val="Heading2"/>
        <w:spacing w:after="160" w:before="240"/>
      </w:pPr>
      <w:r>
        <w:rPr>
          <w:rFonts w:ascii="Arial" w:cs="Arial" w:eastAsia="Arial" w:hAnsi="Arial"/>
          <w:b/>
          <w:bCs/>
          <w:color w:val="1a1a2e"/>
          <w:sz w:val="28"/>
          <w:szCs w:val="28"/>
        </w:rPr>
        <w:t xml:space="preserve">4.1 Collective Event Store</w:t>
      </w:r>
    </w:p>
    <w:p>
      <w:pPr>
        <w:spacing w:after="160"/>
      </w:pPr>
      <w:r>
        <w:rPr>
          <w:rFonts w:ascii="Arial" w:cs="Arial" w:eastAsia="Arial" w:hAnsi="Arial"/>
          <w:sz w:val="22"/>
          <w:szCs w:val="22"/>
        </w:rPr>
        <w:t xml:space="preserve">Anonymised raw events — no tenant ID, no debtor ID, no PII. Completely anonymised.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26"/>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4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eventType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communication_sent, response_received, payment_received, promise_made, promise_kept, promise_broken, promise_modified, dispute_raised, dispute_resolved, tone_escalated, channel_switched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segmentIndustry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SIC section letter (A-U, X for unknown)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segmentSize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micro / small / medium / large / unknown</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segmentRegion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UK region or unknown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email / sms / voice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toneLevel</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friendly / professional / firm / formal / legal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amountBand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under_500 / 500_2k / 2k_10k / 10k_50k / over_50k</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daysOverdue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Days past due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daysSinceLastContact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Null if first contact</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hourOfDay</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0-23, in debtor timezone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dayOfWeek</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0-6, Monday to Sunday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monthOfYear</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1-12</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outcome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responded / ignored / paid / partial_paid / promised / disputed / bounced</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daysToOutcome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Null if no outcome yet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contentLengthBand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short (&lt;100 words) / medium (100-300) / long (300+)</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sequencePosition</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1st contact, 2nd, 3rd, etc.</w:t>
            </w:r>
          </w:p>
        </w:tc>
      </w:tr>
    </w:tbl>
    <w:p>
      <w:pPr>
        <w:spacing w:after="80"/>
      </w:pPr>
    </w:p>
    <w:p>
      <w:pPr>
        <w:pStyle w:val="Heading2"/>
        <w:spacing w:after="160" w:before="240"/>
      </w:pPr>
      <w:r>
        <w:rPr>
          <w:rFonts w:ascii="Arial" w:cs="Arial" w:eastAsia="Arial" w:hAnsi="Arial"/>
          <w:b/>
          <w:bCs/>
          <w:color w:val="1a1a2e"/>
          <w:sz w:val="28"/>
          <w:szCs w:val="28"/>
        </w:rPr>
        <w:t xml:space="preserve">4.2 Segment Performance Profiles</w:t>
      </w:r>
    </w:p>
    <w:p>
      <w:pPr>
        <w:spacing w:after="160"/>
      </w:pPr>
      <w:r>
        <w:rPr>
          <w:rFonts w:ascii="Arial" w:cs="Arial" w:eastAsia="Arial" w:hAnsi="Arial"/>
          <w:sz w:val="22"/>
          <w:szCs w:val="22"/>
        </w:rPr>
        <w:t xml:space="preserve">Aggregated insights derived from collectiveEvents. Each profile covers one profileType for one segment.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2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segmentIndustry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SIC section letter</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segmentSize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varchar</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Size band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segmentRegion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varchar</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UK region (null = industry x size aggregate)</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profileType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varchar</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channel_effectiveness, payment_timing, promise_reliability, optimal_cadence, tone_effectiveness, time_of_day, seasonal_pattern, risk_indicators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JSONB</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Structure varies by profileType (see 4.3)</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sampleSize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integer</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How many events contributed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tenantCount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integer</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How many distinct tenants contributed</w:t>
            </w:r>
          </w:p>
        </w:tc>
      </w:tr>
      <w:tr>
        <w:tc>
          <w:tcPr>
            <w:tcW w:type="dxa" w:w="2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confidence</w:t>
            </w:r>
          </w:p>
        </w:tc>
        <w:tc>
          <w:tcPr>
            <w:tcW w:type="dxa" w:w="14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decimal</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0-1, based on sample size and tenant diversity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validFrom / validUntil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timestamp</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Profiles expire and are regenerated</w:t>
            </w:r>
          </w:p>
        </w:tc>
      </w:tr>
    </w:tbl>
    <w:p>
      <w:pPr>
        <w:spacing w:after="80"/>
      </w:pPr>
    </w:p>
    <w:p>
      <w:pPr>
        <w:pStyle w:val="Heading2"/>
        <w:spacing w:after="160" w:before="240"/>
      </w:pPr>
      <w:r>
        <w:rPr>
          <w:rFonts w:ascii="Arial" w:cs="Arial" w:eastAsia="Arial" w:hAnsi="Arial"/>
          <w:b/>
          <w:bCs/>
          <w:color w:val="1a1a2e"/>
          <w:sz w:val="28"/>
          <w:szCs w:val="28"/>
        </w:rPr>
        <w:t xml:space="preserve">4.3 Profile Data Structures (JSONB)</w:t>
      </w:r>
    </w:p>
    <w:p>
      <w:pPr>
        <w:spacing w:after="160"/>
      </w:pPr>
      <w:r>
        <w:rPr>
          <w:rFonts w:ascii="Arial" w:cs="Arial" w:eastAsia="Arial" w:hAnsi="Arial"/>
          <w:sz w:val="22"/>
          <w:szCs w:val="22"/>
        </w:rPr>
        <w:t xml:space="preserve">Each profileType stores a different JSONB structure optimised for its use case: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Profile Type</w:t>
            </w:r>
          </w:p>
        </w:tc>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Key Fields</w:t>
            </w:r>
          </w:p>
        </w:tc>
        <w:tc>
          <w:tcPr>
            <w:tcW w:type="dxa" w:w="32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channel_effectiveness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responseRate, paymentRate, avgDaysToResponse per channel; bestFirstChannel, bestFollowUp</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 selection for new debtors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payment_timing</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medianDaysToPay, p25/p75, paymentDayDistribution, endOfMonthConcentration, logNormalMu/Sigma</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P(Pay) cold start priors, cashflow forecasting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promise_reliability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keepRate, avgDaysLate, modificationRate, avgModificationDrift, 3+ modifications non-payment rate</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PRS Bayesian priors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optimal_cadence</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firstChaseDelay, secondChaseDelay, channelSwitchAfter, toneEscalationAfter, optimalTotalTouches, diminishingReturnsAfter</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Cadence optimisation per segment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tone_effectiveness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bestTone and paymentRate per overdue band (0-30, 31-60, 61-90, 90+)</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Tone selection guidance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time_of_day</w:t>
            </w:r>
          </w:p>
        </w:tc>
        <w:tc>
          <w:tcPr>
            <w:tcW w:type="dxa" w:w="3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bestHour, bestDayOfWeek, hourlyResponseRates, avoidHours</w:t>
            </w:r>
          </w:p>
        </w:tc>
        <w:tc>
          <w:tcPr>
            <w:tcW w:type="dxa" w:w="3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Optimal send timing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seasonal_pattern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monthlyPaymentIndex (1-12), slowestMonth, fastestMonth, yearEndEffect</w:t>
            </w:r>
          </w:p>
        </w:tc>
        <w:tc>
          <w:tcPr>
            <w:tcW w:type="dxa" w:w="3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Seasonal adjustment to forecasts and cadence</w:t>
            </w:r>
          </w:p>
        </w:tc>
      </w:tr>
    </w:tbl>
    <w:p>
      <w:r>
        <w:br w:type="page"/>
      </w:r>
    </w:p>
    <w:p>
      <w:pPr>
        <w:pStyle w:val="Heading1"/>
        <w:spacing w:after="160" w:before="360"/>
      </w:pPr>
      <w:r>
        <w:rPr>
          <w:rFonts w:ascii="Arial" w:cs="Arial" w:eastAsia="Arial" w:hAnsi="Arial"/>
          <w:b/>
          <w:bCs/>
          <w:color w:val="1a1a2e"/>
          <w:sz w:val="32"/>
          <w:szCs w:val="32"/>
        </w:rPr>
        <w:t xml:space="preserve">5. Integration with Charlie</w:t>
      </w:r>
    </w:p>
    <w:p>
      <w:pPr>
        <w:spacing w:after="160"/>
      </w:pPr>
      <w:r>
        <w:rPr>
          <w:rFonts w:ascii="Arial" w:cs="Arial" w:eastAsia="Arial" w:hAnsi="Arial"/>
          <w:sz w:val="22"/>
          <w:szCs w:val="22"/>
        </w:rPr>
        <w:t xml:space="preserve">The CIE plugs into every existing Charlie decision point. Each integration replaces hardcoded defaults with real aggregate data, while preserving per-debtor data as the override when available.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226"/>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Decision Point</w:t>
            </w:r>
          </w:p>
        </w:tc>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Current Behaviour</w:t>
            </w:r>
          </w:p>
        </w:tc>
        <w:tc>
          <w:tcPr>
            <w:tcW w:type="dxa" w:w="42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With CIE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Cold start (new debtor)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segment priors (40d/50d/30d)</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Real segment priors from payment_timing profile with fallback chain: industry×size×region → industry×size → industry → size → system defaults</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Channel selection</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Per-debtor effectiveness from customerLearningProfiles</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Blend per-debtor + CIE when &lt;5 interactions. Weight shifts to per-debtor as data accumulates.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Timing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Business hours, no day/hour preference</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Schedule at optimal hour and day for segment. 'Construction responds best Tuesday 10am.'</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Cadence</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Flat per-tenant cooldown (default 3 days)</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Segment-optimal cadence. Tenant setting is the floor, CIE recommends, Charlie picks the higher.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Tone selection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Escalates on days overdue + consecutive no-responses</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Segment effectiveness data informs optimal tone per overdue band.</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Risk scoring</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Per-debtor history + Companies House</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Overlay segment-level risk indicators. 'Debtors in this segment who stop responding after 3 contacts have 4x default rate.'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P(Pay) distribution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Log-normal fitted per debtor, hardcoded cold start</w:t>
            </w:r>
          </w:p>
        </w:tc>
        <w:tc>
          <w:tcPr>
            <w:tcW w:type="dxa" w:w="4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Cold start mu and sigma from segment payment_timing profile.</w:t>
            </w:r>
          </w:p>
        </w:tc>
      </w:tr>
      <w:tr>
        <w:tc>
          <w:tcPr>
            <w:tcW w:type="dxa" w:w="1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Promise reliability (PRS)</w:t>
            </w:r>
          </w:p>
        </w:tc>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Bayesian prior (k=3, prior=60) regressing to tenant population mean</w:t>
            </w:r>
          </w:p>
        </w:tc>
        <w:tc>
          <w:tcPr>
            <w:tcW w:type="dxa" w:w="4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New debtors regress toward segment keepRate instead of flat 60.</w:t>
            </w:r>
          </w:p>
        </w:tc>
      </w:tr>
    </w:tbl>
    <w:p>
      <w:r>
        <w:br w:type="page"/>
      </w:r>
    </w:p>
    <w:p>
      <w:pPr>
        <w:pStyle w:val="Heading1"/>
        <w:spacing w:after="160" w:before="360"/>
      </w:pPr>
      <w:r>
        <w:rPr>
          <w:rFonts w:ascii="Arial" w:cs="Arial" w:eastAsia="Arial" w:hAnsi="Arial"/>
          <w:b/>
          <w:bCs/>
          <w:color w:val="1a1a2e"/>
          <w:sz w:val="32"/>
          <w:szCs w:val="32"/>
        </w:rPr>
        <w:t xml:space="preserve">6. Data Collection Pipeline</w:t>
      </w:r>
    </w:p>
    <w:p>
      <w:pPr>
        <w:pStyle w:val="Heading2"/>
        <w:spacing w:after="160" w:before="240"/>
      </w:pPr>
      <w:r>
        <w:rPr>
          <w:rFonts w:ascii="Arial" w:cs="Arial" w:eastAsia="Arial" w:hAnsi="Arial"/>
          <w:b/>
          <w:bCs/>
          <w:color w:val="1a1a2e"/>
          <w:sz w:val="28"/>
          <w:szCs w:val="28"/>
        </w:rPr>
        <w:t xml:space="preserve">6.1 Event Publishing</w:t>
      </w:r>
    </w:p>
    <w:p>
      <w:pPr>
        <w:spacing w:after="160"/>
      </w:pPr>
      <w:r>
        <w:rPr>
          <w:rFonts w:ascii="Arial" w:cs="Arial" w:eastAsia="Arial" w:hAnsi="Arial"/>
          <w:sz w:val="22"/>
          <w:szCs w:val="22"/>
        </w:rPr>
        <w:t xml:space="preserve">Every relevant event publishes to the CIE via a lightweight adapter. The adapter anonymises and writes to collectiveEvents. Fire and forget — no tenant ID stored, no debtor ID stored.</w:t>
      </w:r>
    </w:p>
    <w:p>
      <w:pPr>
        <w:spacing w:after="80"/>
      </w:pPr>
    </w:p>
    <w:p>
      <w:pPr>
        <w:pStyle w:val="Heading2"/>
        <w:spacing w:after="160" w:before="240"/>
      </w:pPr>
      <w:r>
        <w:rPr>
          <w:rFonts w:ascii="Arial" w:cs="Arial" w:eastAsia="Arial" w:hAnsi="Arial"/>
          <w:b/>
          <w:bCs/>
          <w:color w:val="1a1a2e"/>
          <w:sz w:val="28"/>
          <w:szCs w:val="28"/>
        </w:rPr>
        <w:t xml:space="preserve">6.2 Event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Event Type</w:t>
            </w:r>
          </w:p>
        </w:tc>
        <w:tc>
          <w:tcPr>
            <w:tcW w:type="dxa" w:w="34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Trigger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actionExecutor.ts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communication_sent</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After successful delivery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sendgrid.ts webhook</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response_received</w:t>
            </w:r>
          </w:p>
        </w:tc>
        <w:tc>
          <w:tcPr>
            <w:tcW w:type="dxa" w:w="3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Debtor reply detected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xeroSync.ts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payment_received</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Invoice status transitions to PAID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intentAnalyst.ts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promise_made</w:t>
            </w:r>
          </w:p>
        </w:tc>
        <w:tc>
          <w:tcPr>
            <w:tcW w:type="dxa" w:w="3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PTP intent extracted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intentAnalyst.ts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promise_modified</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Modified PTP detected</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paymentPromise check</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promise_kept / promise_broken</w:t>
            </w:r>
          </w:p>
        </w:tc>
        <w:tc>
          <w:tcPr>
            <w:tcW w:type="dxa" w:w="3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Promise date passes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Debtor detail UI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dispute_raised</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flags dispute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complianceEngine.ts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tone_escalated</w:t>
            </w:r>
          </w:p>
        </w:tc>
        <w:tc>
          <w:tcPr>
            <w:tcW w:type="dxa" w:w="34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Tone level increases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charlieDecisionEngine.ts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channel_switched</w:t>
            </w:r>
          </w:p>
        </w:tc>
        <w:tc>
          <w:tcPr>
            <w:tcW w:type="dxa" w:w="34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Different channel selected</w:t>
            </w:r>
          </w:p>
        </w:tc>
      </w:tr>
    </w:tbl>
    <w:p>
      <w:pPr>
        <w:spacing w:after="80"/>
      </w:pPr>
    </w:p>
    <w:p>
      <w:pPr>
        <w:pStyle w:val="Heading2"/>
        <w:spacing w:after="160" w:before="240"/>
      </w:pPr>
      <w:r>
        <w:rPr>
          <w:rFonts w:ascii="Arial" w:cs="Arial" w:eastAsia="Arial" w:hAnsi="Arial"/>
          <w:b/>
          <w:bCs/>
          <w:color w:val="1a1a2e"/>
          <w:sz w:val="28"/>
          <w:szCs w:val="28"/>
        </w:rPr>
        <w:t xml:space="preserve">6.3 Profile Aggregation</w:t>
      </w:r>
    </w:p>
    <w:p>
      <w:pPr>
        <w:spacing w:after="160"/>
      </w:pPr>
      <w:r>
        <w:rPr>
          <w:rFonts w:ascii="Arial" w:cs="Arial" w:eastAsia="Arial" w:hAnsi="Arial"/>
          <w:sz w:val="22"/>
          <w:szCs w:val="22"/>
        </w:rPr>
        <w:t xml:space="preserve">A scheduled job (nightly or weekly) aggregates collectiveEvents into segmentProfiles. For each segment with sufficient data (20+ events from 5+ tenants), it calculates channel effectiveness, fits payment timing distributions, determines promise reliability, optimises cadence, scores tone effectiveness, identifies time-of-day patterns, and detects seasonal trends. Profiles include confidence scores and validity windows. Old profiles are expired.</w:t>
      </w:r>
    </w:p>
    <w:p>
      <w:pPr>
        <w:spacing w:after="80"/>
      </w:pPr>
    </w:p>
    <w:p>
      <w:pPr>
        <w:pStyle w:val="Heading1"/>
        <w:spacing w:after="160" w:before="360"/>
      </w:pPr>
      <w:r>
        <w:rPr>
          <w:rFonts w:ascii="Arial" w:cs="Arial" w:eastAsia="Arial" w:hAnsi="Arial"/>
          <w:b/>
          <w:bCs/>
          <w:color w:val="1a1a2e"/>
          <w:sz w:val="32"/>
          <w:szCs w:val="32"/>
        </w:rPr>
        <w:t xml:space="preserve">7. Riley Integration</w:t>
      </w:r>
    </w:p>
    <w:p>
      <w:pPr>
        <w:spacing w:after="160"/>
      </w:pPr>
      <w:r>
        <w:rPr>
          <w:rFonts w:ascii="Arial" w:cs="Arial" w:eastAsia="Arial" w:hAnsi="Arial"/>
          <w:sz w:val="22"/>
          <w:szCs w:val="22"/>
        </w:rPr>
        <w:t xml:space="preserve">Riley surfaces CIE insights conversationally: 'How do construction companies typically pay?' queries segment payment timing. 'What's the best way to chase professional services firms?' returns channel, tone, and cadence recommendations. 'How are we doing compared to similar businesses?' compares tenant performance against segment averages.</w:t>
      </w:r>
    </w:p>
    <w:p>
      <w:pPr>
        <w:spacing w:after="80"/>
      </w:pPr>
    </w:p>
    <w:p>
      <w:pPr>
        <w:pStyle w:val="Heading1"/>
        <w:spacing w:after="160" w:before="360"/>
      </w:pPr>
      <w:r>
        <w:rPr>
          <w:rFonts w:ascii="Arial" w:cs="Arial" w:eastAsia="Arial" w:hAnsi="Arial"/>
          <w:b/>
          <w:bCs/>
          <w:color w:val="1a1a2e"/>
          <w:sz w:val="32"/>
          <w:szCs w:val="32"/>
        </w:rPr>
        <w:t xml:space="preserve">8. Partner Portal Integration (MVP v2)</w:t>
      </w:r>
    </w:p>
    <w:p>
      <w:pPr>
        <w:spacing w:after="160"/>
      </w:pPr>
      <w:r>
        <w:rPr>
          <w:rFonts w:ascii="Arial" w:cs="Arial" w:eastAsia="Arial" w:hAnsi="Arial"/>
          <w:sz w:val="22"/>
          <w:szCs w:val="22"/>
        </w:rPr>
        <w:t xml:space="preserve">Accounting firm partners see aggregate CIE insights across their client portfolio. Cross-client benchmarking uses CIE segment data as the baseline: 'Your construction clients pay 15% slower than the Qashivo average for construction.' 'Your top-performing client has a DSO 20 days below the sector average.'</w:t>
      </w:r>
    </w:p>
    <w:p>
      <w:r>
        <w:br w:type="page"/>
      </w:r>
    </w:p>
    <w:p>
      <w:pPr>
        <w:pStyle w:val="Heading1"/>
        <w:spacing w:after="160" w:before="360"/>
      </w:pPr>
      <w:r>
        <w:rPr>
          <w:rFonts w:ascii="Arial" w:cs="Arial" w:eastAsia="Arial" w:hAnsi="Arial"/>
          <w:b/>
          <w:bCs/>
          <w:color w:val="1a1a2e"/>
          <w:sz w:val="32"/>
          <w:szCs w:val="32"/>
        </w:rPr>
        <w:t xml:space="preserve">9. Privacy and Compliance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Requirement</w:t>
            </w:r>
          </w:p>
        </w:tc>
        <w:tc>
          <w:tcPr>
            <w:tcW w:type="dxa" w:w="70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Implementation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GDPR</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personal data in CIE. All events anonymised before storage. Segment-level aggregation means no individual can be identified.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Xero API terms</w:t>
            </w:r>
          </w:p>
        </w:tc>
        <w:tc>
          <w:tcPr>
            <w:tcW w:type="dxa" w:w="7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CIE does not process Xero-sourced data. Only Qashivo operational data. Invoice amounts converted to bands before storage.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consent</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CIE contribution enabled by default with opt-out in Settings. Clear explanation of what data is shared.</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Data retention</w:t>
            </w:r>
          </w:p>
        </w:tc>
        <w:tc>
          <w:tcPr>
            <w:tcW w:type="dxa" w:w="7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collectiveEvents retained for 24 months. segmentProfiles regenerated regularly and old versions expired.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trail</w:t>
            </w:r>
          </w:p>
        </w:tc>
        <w:tc>
          <w:tcPr>
            <w:tcW w:type="dxa" w:w="7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Tenant can request confirmation their data has been anonymised (no ability to extract per-tenant data from CIE).</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Open Banking</w:t>
            </w:r>
          </w:p>
        </w:tc>
        <w:tc>
          <w:tcPr>
            <w:tcW w:type="dxa" w:w="70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When integrated, Open Banking data CAN feed the CIE (no training restriction). Preferred data source for payment behaviour.</w:t>
            </w:r>
          </w:p>
        </w:tc>
      </w:tr>
    </w:tbl>
    <w:p>
      <w:pPr>
        <w:spacing w:after="80"/>
      </w:pPr>
    </w:p>
    <w:p>
      <w:pPr>
        <w:pStyle w:val="Heading1"/>
        <w:spacing w:after="160" w:before="360"/>
      </w:pPr>
      <w:r>
        <w:rPr>
          <w:rFonts w:ascii="Arial" w:cs="Arial" w:eastAsia="Arial" w:hAnsi="Arial"/>
          <w:b/>
          <w:bCs/>
          <w:color w:val="1a1a2e"/>
          <w:sz w:val="32"/>
          <w:szCs w:val="32"/>
        </w:rPr>
        <w:t xml:space="preserve">10. Build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5226"/>
        <w:gridCol w:w="1600"/>
      </w:tblGrid>
      <w:t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5226"/>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Effort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1: Event Collection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Create collectiveEvents table, build cieEventPublisher service, wire into ~10 existing touchpoints. No consumption yet — just collect data. Ship behind feature flag.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Half day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Phase 2: Profile Aggregation</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Create segmentProfiles table, build nightly aggregation job, generate initial profiles. Internal dashboard for Qashivo team showing segment insights.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1-2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3: Cold Start Integration</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Replace hardcoded cold start priors with CIE segment profiles. Fallback chain. P(Pay) and PRS priors from CIE.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day</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Phase 4: Active Optimisation</w:t>
            </w:r>
          </w:p>
        </w:tc>
        <w:tc>
          <w:tcPr>
            <w:tcW w:type="dxa" w:w="5226"/>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Channel selection blending, timing optimisation, cadence recommendations, tone effectiveness integration.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2-3 days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Phase 5: Riley + Partner Insights</w:t>
            </w:r>
          </w:p>
        </w:tc>
        <w:tc>
          <w:tcPr>
            <w:tcW w:type="dxa" w:w="52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Riley queries and explains CIE insights. Partner portal benchmarking. 'Your performance vs sector' in Settings.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 day (Riley); Partner is separate scope</w:t>
            </w:r>
          </w:p>
        </w:tc>
      </w:tr>
    </w:tbl>
    <w:p>
      <w:r>
        <w:br w:type="page"/>
      </w:r>
    </w:p>
    <w:p>
      <w:pPr>
        <w:pStyle w:val="Heading1"/>
        <w:spacing w:after="160" w:before="360"/>
      </w:pPr>
      <w:r>
        <w:rPr>
          <w:rFonts w:ascii="Arial" w:cs="Arial" w:eastAsia="Arial" w:hAnsi="Arial"/>
          <w:b/>
          <w:bCs/>
          <w:color w:val="1a1a2e"/>
          <w:sz w:val="32"/>
          <w:szCs w:val="32"/>
        </w:rPr>
        <w:t xml:space="preserve">11. Acquisition Value</w:t>
      </w:r>
    </w:p>
    <w:p>
      <w:pPr>
        <w:spacing w:after="160"/>
      </w:pPr>
      <w:r>
        <w:rPr>
          <w:rFonts w:ascii="Arial" w:cs="Arial" w:eastAsia="Arial" w:hAnsi="Arial"/>
          <w:sz w:val="22"/>
          <w:szCs w:val="22"/>
        </w:rPr>
        <w:t xml:space="preserve">The CIE is the core proprietary asset in the acquisition narrative:</w:t>
      </w:r>
    </w:p>
    <w:p>
      <w:pPr>
        <w:spacing w:after="80"/>
      </w:pPr>
    </w:p>
    <w:p>
      <w:pPr>
        <w:spacing w:after="120"/>
      </w:pPr>
      <w:r>
        <w:rPr>
          <w:rFonts w:ascii="Arial" w:cs="Arial" w:eastAsia="Arial" w:hAnsi="Arial"/>
          <w:b/>
          <w:bCs/>
          <w:sz w:val="22"/>
          <w:szCs w:val="22"/>
        </w:rPr>
        <w:t xml:space="preserve">1. Network effects — </w:t>
      </w:r>
      <w:r>
        <w:rPr>
          <w:rFonts w:ascii="Arial" w:cs="Arial" w:eastAsia="Arial" w:hAnsi="Arial"/>
          <w:sz w:val="22"/>
          <w:szCs w:val="22"/>
        </w:rPr>
        <w:t xml:space="preserve">every tenant makes the system smarter for everyone. This is a defensible moat that competitors cannot replicate without the same volume of interactions.</w:t>
      </w:r>
    </w:p>
    <w:p>
      <w:pPr>
        <w:spacing w:after="120"/>
      </w:pPr>
      <w:r>
        <w:rPr>
          <w:rFonts w:ascii="Arial" w:cs="Arial" w:eastAsia="Arial" w:hAnsi="Arial"/>
          <w:b/>
          <w:bCs/>
          <w:sz w:val="22"/>
          <w:szCs w:val="22"/>
        </w:rPr>
        <w:t xml:space="preserve">2. Data asset — </w:t>
      </w:r>
      <w:r>
        <w:rPr>
          <w:rFonts w:ascii="Arial" w:cs="Arial" w:eastAsia="Arial" w:hAnsi="Arial"/>
          <w:sz w:val="22"/>
          <w:szCs w:val="22"/>
        </w:rPr>
        <w:t xml:space="preserve">the anonymised collective intelligence is a unique dataset of UK SME payment behaviour by industry, size, and region. No other credit control product has this.</w:t>
      </w:r>
    </w:p>
    <w:p>
      <w:pPr>
        <w:spacing w:after="120"/>
      </w:pPr>
      <w:r>
        <w:rPr>
          <w:rFonts w:ascii="Arial" w:cs="Arial" w:eastAsia="Arial" w:hAnsi="Arial"/>
          <w:b/>
          <w:bCs/>
          <w:sz w:val="22"/>
          <w:szCs w:val="22"/>
        </w:rPr>
        <w:t xml:space="preserve">3. Continuous improvement — </w:t>
      </w:r>
      <w:r>
        <w:rPr>
          <w:rFonts w:ascii="Arial" w:cs="Arial" w:eastAsia="Arial" w:hAnsi="Arial"/>
          <w:sz w:val="22"/>
          <w:szCs w:val="22"/>
        </w:rPr>
        <w:t xml:space="preserve">the system gets better automatically. No manual tuning required. The bank buyer inherits a self-improving engine.</w:t>
      </w:r>
    </w:p>
    <w:p>
      <w:pPr>
        <w:spacing w:after="120"/>
      </w:pPr>
      <w:r>
        <w:rPr>
          <w:rFonts w:ascii="Arial" w:cs="Arial" w:eastAsia="Arial" w:hAnsi="Arial"/>
          <w:b/>
          <w:bCs/>
          <w:sz w:val="22"/>
          <w:szCs w:val="22"/>
        </w:rPr>
        <w:t xml:space="preserve">4. Cross-sell intelligence — </w:t>
      </w:r>
      <w:r>
        <w:rPr>
          <w:rFonts w:ascii="Arial" w:cs="Arial" w:eastAsia="Arial" w:hAnsi="Arial"/>
          <w:sz w:val="22"/>
          <w:szCs w:val="22"/>
        </w:rPr>
        <w:t xml:space="preserve">segment risk profiles feed directly into Qapital (working capital finance). The bank knows which segments are creditworthy before they apply.</w:t>
      </w:r>
    </w:p>
    <w:p>
      <w:pPr>
        <w:spacing w:after="120"/>
      </w:pPr>
      <w:r>
        <w:rPr>
          <w:rFonts w:ascii="Arial" w:cs="Arial" w:eastAsia="Arial" w:hAnsi="Arial"/>
          <w:b/>
          <w:bCs/>
          <w:sz w:val="22"/>
          <w:szCs w:val="22"/>
        </w:rPr>
        <w:t xml:space="preserve">5. Benchmarking product — </w:t>
      </w:r>
      <w:r>
        <w:rPr>
          <w:rFonts w:ascii="Arial" w:cs="Arial" w:eastAsia="Arial" w:hAnsi="Arial"/>
          <w:sz w:val="22"/>
          <w:szCs w:val="22"/>
        </w:rPr>
        <w:t xml:space="preserve">CIE data enables a benchmarking service: 'How does your payment performance compare to your industry?' This is a standalone product line.</w:t>
      </w:r>
    </w:p>
    <w:p>
      <w:pPr>
        <w:spacing w:after="80"/>
      </w:pPr>
    </w:p>
    <w:p>
      <w:pPr>
        <w:spacing w:after="80"/>
      </w:pPr>
    </w:p>
    <w:p>
      <w:pPr>
        <w:spacing w:before="600"/>
        <w:jc w:val="center"/>
      </w:pPr>
      <w:r>
        <w:rPr>
          <w:rFonts w:ascii="Arial" w:cs="Arial" w:eastAsia="Arial" w:hAnsi="Arial"/>
          <w:i/>
          <w:iCs/>
          <w:color w:val="999999"/>
          <w:sz w:val="20"/>
          <w:szCs w:val="20"/>
        </w:rPr>
        <w:t xml:space="preserve">Specification version 1.0 — 04 April 2026</w:t>
      </w:r>
    </w:p>
    <w:p>
      <w:pPr>
        <w:spacing w:after="60"/>
        <w:jc w:val="center"/>
      </w:pPr>
      <w:r>
        <w:rPr>
          <w:rFonts w:ascii="Arial" w:cs="Arial" w:eastAsia="Arial" w:hAnsi="Arial"/>
          <w:i/>
          <w:iCs/>
          <w:color w:val="999999"/>
          <w:sz w:val="20"/>
          <w:szCs w:val="20"/>
        </w:rPr>
        <w:t xml:space="preserve">Author: Simon Kramer / Claude</w:t>
      </w:r>
    </w:p>
    <w:p>
      <w:pPr>
        <w:spacing w:after="60"/>
        <w:jc w:val="center"/>
      </w:pPr>
      <w:r>
        <w:rPr>
          <w:rFonts w:ascii="Arial" w:cs="Arial" w:eastAsia="Arial" w:hAnsi="Arial"/>
          <w:i/>
          <w:iCs/>
          <w:color w:val="999999"/>
          <w:sz w:val="20"/>
          <w:szCs w:val="20"/>
        </w:rPr>
        <w:t xml:space="preserve">Status: Specification complete. Implementation follows Phase 1-5 build order.</w:t>
      </w:r>
    </w:p>
    <w:p>
      <w:pPr>
        <w:jc w:val="center"/>
      </w:pPr>
      <w:r>
        <w:rPr>
          <w:rFonts w:ascii="Arial" w:cs="Arial" w:eastAsia="Arial" w:hAnsi="Arial"/>
          <w:i/>
          <w:iCs/>
          <w:color w:val="999999"/>
          <w:sz w:val="20"/>
          <w:szCs w:val="20"/>
        </w:rPr>
        <w:t xml:space="preserve">Dependencies: Charlie Engineering Gaps 1-14 (complete), conversation brief service (pending)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2026-04-04T12:11:02.178Z</dcterms:created>
  <dcterms:modified xsi:type="dcterms:W3CDTF">2026-04-04T12:11:02.179Z</dcterms:modified>
</cp:coreProperties>
</file>

<file path=docProps/custom.xml><?xml version="1.0" encoding="utf-8"?>
<Properties xmlns="http://schemas.openxmlformats.org/officeDocument/2006/custom-properties" xmlns:vt="http://schemas.openxmlformats.org/officeDocument/2006/docPropsVTypes"/>
</file>