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5" w:line="200" w:lineRule="exact"/>
        <w:keepLines/>
        <w:keepNext/>
      </w:pPr>
      <w:r>
        <w:rPr>
          <w:rFonts w:ascii="Liberation Sans" w:hAnsi="Liberation Sans"/>
          <w:sz w:val="18"/>
          <w:b/>
          <w:color w:val="007AFF"/>
        </w:rPr>
        <w:t xml:space="preserve">WEEK 2 · IN PROGRESS</w:t>
      </w:r>
    </w:p>
    <w:p>
      <w:pPr>
        <w:spacing w:before="0" w:after="45" w:line="460" w:lineRule="exact"/>
        <w:keepLines/>
        <w:keepNext/>
      </w:pPr>
      <w:r>
        <w:rPr>
          <w:rFonts w:ascii="Liberation Sans" w:hAnsi="Liberation Sans"/>
          <w:sz w:val="40"/>
          <w:b/>
          <w:color w:val="1D1D1F"/>
        </w:rPr>
        <w:t xml:space="preserve">The teleoperation pipeline.</w:t>
      </w:r>
    </w:p>
    <w:p>
      <w:pPr>
        <w:spacing w:before="0" w:after="120" w:line="240" w:lineRule="exact"/>
        <w:keepLines/>
        <w:keepNext/>
      </w:pPr>
      <w:r>
        <w:rPr>
          <w:rFonts w:ascii="Liberation Sans" w:hAnsi="Liberation Sans"/>
          <w:sz w:val="20"/>
          <w:color w:val="86868B"/>
        </w:rPr>
        <w:t xml:space="preserve">5–11 October 2026 · meeting 12 October · draft as of 6 October</w:t>
      </w:r>
    </w:p>
    <w:tbl>
      <w:tblPr>
        <w:tblW w:w="1570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0"/>
        <w:gridCol w:w="8508"/>
      </w:tblGrid>
      <w:tr>
        <w:trPr>
          <w:cantSplit/>
        </w:trPr>
        <w:tc>
          <w:tcPr>
            <w:tcW w:w="7200" w:type="dxa"/>
            <w:tcMar>
              <w:left w:w="100" w:type="dxa"/>
              <w:right w:w="100" w:type="dxa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251960" cy="2857875"/>
                  <wp:effectExtent l="0" t="0" r="0" b="0"/>
                  <wp:docPr id="1" name="teleoperation.png" descr="Implemented GUI · participant timing comparison not collect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operation.png"/>
                          <pic:cNvPicPr/>
                        </pic:nvPicPr>
                        <pic:blipFill>
                          <a:blip r:embed="rIdImage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85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35" w:line="240" w:lineRule="exact"/>
              <w:keepLines/>
            </w:pPr>
            <w:r>
              <w:rPr>
                <w:rFonts w:ascii="Liberation Sans" w:hAnsi="Liberation Sans"/>
                <w:sz w:val="20"/>
                <w:color w:val="546675"/>
              </w:rPr>
              <w:t xml:space="preserve">Implemented GUI · participant timing comparison not collected.</w:t>
            </w:r>
          </w:p>
        </w:tc>
        <w:tc>
          <w:tcPr>
            <w:tcW w:w="8508" w:type="dxa"/>
            <w:tcMar>
              <w:left w:w="100" w:type="dxa"/>
              <w:right w:w="100" w:type="dxa"/>
            </w:tcMar>
            <w:vAlign w:val="top"/>
          </w:tcPr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Data pipeline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MuJoCo target-reaching lives in Data → Teleoperation Pipeline.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Trackpad + board inputs; Enter starts; a stable 2 s hold saves.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Participant progress; time, path and endpoint error logged.</w:t>
            </w:r>
          </w:p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Next checks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Validate board mapping with the assembled pen.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Rehearse identical targets and start pose for both inputs.</w:t>
            </w:r>
          </w:p>
        </w:tc>
      </w:tr>
    </w:tbl>
    <w:p>
      <w:pPr>
        <w:spacing w:before="140" w:after="45" w:line="240" w:lineRule="exact"/>
        <w:keepLines/>
      </w:pPr>
      <w:r>
        <w:rPr>
          <w:rFonts w:ascii="Liberation Sans" w:hAnsi="Liberation Sans"/>
          <w:sz w:val="20"/>
          <w:color w:val="546675"/>
        </w:rPr>
        <w:t xml:space="preserve">Priority for 12 October: a repeatable target-reaching pilot.</w:t>
      </w:r>
    </w:p>
    <w:p>
      <w:r>
        <w:br w:type="page"/>
      </w:r>
    </w:p>
    <w:p>
      <w:pPr>
        <w:spacing w:before="0" w:after="45" w:line="200" w:lineRule="exact"/>
        <w:keepLines/>
        <w:keepNext/>
      </w:pPr>
      <w:r>
        <w:rPr>
          <w:rFonts w:ascii="Liberation Sans" w:hAnsi="Liberation Sans"/>
          <w:sz w:val="18"/>
          <w:b/>
          <w:color w:val="007AFF"/>
        </w:rPr>
        <w:t xml:space="preserve">WEEK 2 · IN PROGRESS</w:t>
      </w:r>
    </w:p>
    <w:p>
      <w:pPr>
        <w:spacing w:before="0" w:after="45" w:line="460" w:lineRule="exact"/>
        <w:keepLines/>
        <w:keepNext/>
      </w:pPr>
      <w:r>
        <w:rPr>
          <w:rFonts w:ascii="Liberation Sans" w:hAnsi="Liberation Sans"/>
          <w:sz w:val="40"/>
          <w:b/>
          <w:color w:val="1D1D1F"/>
        </w:rPr>
        <w:t xml:space="preserve">Board repaired. Pen printing.</w:t>
      </w:r>
    </w:p>
    <w:p>
      <w:pPr>
        <w:spacing w:before="0" w:after="120" w:line="240" w:lineRule="exact"/>
        <w:keepLines/>
        <w:keepNext/>
      </w:pPr>
      <w:r>
        <w:rPr>
          <w:rFonts w:ascii="Liberation Sans" w:hAnsi="Liberation Sans"/>
          <w:sz w:val="20"/>
          <w:color w:val="86868B"/>
        </w:rPr>
        <w:t xml:space="preserve">5–11 October 2026 · meeting 12 October · draft as of 6 October</w:t>
      </w:r>
    </w:p>
    <w:tbl>
      <w:tblPr>
        <w:tblW w:w="1570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0"/>
        <w:gridCol w:w="8508"/>
      </w:tblGrid>
      <w:tr>
        <w:trPr>
          <w:cantSplit/>
        </w:trPr>
        <w:tc>
          <w:tcPr>
            <w:tcW w:w="7200" w:type="dxa"/>
            <w:tcMar>
              <w:left w:w="100" w:type="dxa"/>
              <w:right w:w="100" w:type="dxa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251960" cy="3580598"/>
                  <wp:effectExtent l="0" t="0" r="0" b="0"/>
                  <wp:docPr id="2" name="preview.png" descr="CAD prototype · print and tracking validation pend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iew.png"/>
                          <pic:cNvPicPr/>
                        </pic:nvPicPr>
                        <pic:blipFill>
                          <a:blip r:embed="rId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58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35" w:line="240" w:lineRule="exact"/>
              <w:keepLines/>
            </w:pPr>
            <w:r>
              <w:rPr>
                <w:rFonts w:ascii="Liberation Sans" w:hAnsi="Liberation Sans"/>
                <w:sz w:val="20"/>
                <w:color w:val="546675"/>
              </w:rPr>
              <w:t xml:space="preserve">CAD prototype · print and tracking validation pending.</w:t>
            </w:r>
          </w:p>
        </w:tc>
        <w:tc>
          <w:tcPr>
            <w:tcW w:w="8508" w:type="dxa"/>
            <w:tcMar>
              <w:left w:w="100" w:type="dxa"/>
              <w:right w:w="100" w:type="dxa"/>
            </w:tcMar>
            <w:vAlign w:val="top"/>
          </w:tcPr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Magnet diagnosis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Board repaired; 1/2/3 magnets × 3 repeats completed.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Approx. 5 mm cardboard; placements by hand.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One magnet: practical surface baseline; no accuracy winner established.</w:t>
            </w:r>
          </w:p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Reloadable pen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1–5 disks; spacers above shorter stacks.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PLA printing started; fit and assembled tracking untested.</w:t>
            </w:r>
          </w:p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Next checks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Check fit coupons and closure; measure pen geometry.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Compare heights with a placement template, then freeze setup.</w:t>
            </w:r>
          </w:p>
        </w:tc>
      </w:tr>
    </w:tbl>
    <w:p>
      <w:pPr>
        <w:spacing w:before="140" w:after="45" w:line="240" w:lineRule="exact"/>
        <w:keepLines/>
      </w:pPr>
      <w:r>
        <w:rPr>
          <w:rFonts w:ascii="Liberation Sans" w:hAnsi="Liberation Sans"/>
          <w:sz w:val="20"/>
          <w:color w:val="546675"/>
        </w:rPr>
        <w:t xml:space="preserve">Surface tests do not validate operation at greater heights.</w:t>
      </w:r>
    </w:p>
    <w:sectPr>
      <w:footerReference w:type="default" r:id="rIdFooter"/>
      <w:pgSz w:w="16838" w:h="11906" w:orient="landscape"/>
      <w:pgMar w:top="565" w:right="565" w:bottom="565" w:left="565" w:header="180" w:footer="240" w:gutter="0"/>
    </w:sectPr>
  </w:body>
</w:document>
</file>

<file path=word/footer1.xml><?xml version="1.0" encoding="utf-8"?>
<w:ftr xmlns:w="http://schemas.openxmlformats.org/wordprocessingml/2006/main">
  <w:p>
    <w:pPr>
      <w:jc w:val="right"/>
      <w:spacing w:before="0" w:after="0"/>
    </w:pPr>
    <w:r>
      <w:rPr>
        <w:rFonts w:ascii="Liberation Sans" w:hAnsi="Liberation Sans"/>
        <w:sz w:val="18"/>
        <w:color w:val="546675"/>
      </w:rPr>
      <w:t>MagPilot · </w:t>
    </w:r>
    <w:fldSimple w:instr="PAGE">
      <w:r>
        <w:rPr>
          <w:sz w:val="18"/>
        </w:rPr>
        <w:t>1</w:t>
      </w:r>
    </w:fldSimple>
    <w:r>
      <w:rPr>
        <w:sz w:val="18"/>
      </w:rPr>
      <w:t> / 2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Liberation Sans" w:hAnsi="Liberation Sans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40"/>
      </w:pPr>
    </w:pPrDefault>
  </w:docDefaults>
  <w:style w:type="paragraph" w:default="1" w:styleId="Normal">
    <w:name w:val="Normal"/>
  </w:style>
  <w:style w:type="character" w:styleId="Hyperlink">
    <w:name w:val="Hyperlink"/>
    <w:rPr>
      <w:color w:val="186B9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age0" Type="http://schemas.openxmlformats.org/officeDocument/2006/relationships/image" Target="media/teleoperation.png" /><Relationship Id="rIdImage1" Type="http://schemas.openxmlformats.org/officeDocument/2006/relationships/image" Target="media/preview.png" /><Relationship Id="rIdStyles" Type="http://schemas.openxmlformats.org/officeDocument/2006/relationships/styles" Target="styles.xml" /><Relationship Id="rIdNumbering" Type="http://schemas.openxmlformats.org/officeDocument/2006/relationships/numbering" Target="numbering.xml" /><Relationship Id="rIdFooter" Type="http://schemas.openxmlformats.org/officeDocument/2006/relationships/footer" Target="footer1.xml" /></Relationships>
</file>