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480" w:lineRule="auto"/>
        <w:rPr/>
      </w:pPr>
      <w:r w:rsidDel="00000000" w:rsidR="00000000" w:rsidRPr="00000000">
        <w:rPr>
          <w:rtl w:val="0"/>
        </w:rPr>
        <w:t xml:space="preserve">17.6. Documentación técnica, repositorio y evidencias de cierre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implementación y la evaluación dejaron un conjunto de componentes, configuraciones y registros que permite examinar cómo se produjo cada resultado. </w:t>
      </w:r>
      <w:r w:rsidDel="00000000" w:rsidR="00000000" w:rsidRPr="00000000">
        <w:rPr>
          <w:rtl w:val="0"/>
        </w:rPr>
        <w:t xml:space="preserve">En esta sección,</w:t>
      </w:r>
      <w:r w:rsidDel="00000000" w:rsidR="00000000" w:rsidRPr="00000000">
        <w:rPr>
          <w:i w:val="0"/>
          <w:iCs w:val="0"/>
          <w:smallCaps w:val="0"/>
          <w:strike w:val="0"/>
          <w:u w:val="none"/>
          <w:shd w:fill="auto" w:val="clear"/>
          <w:vertAlign w:val="baseline"/>
          <w:rtl w:val="0"/>
        </w:rPr>
        <w:t xml:space="preserve"> se establece qué se conservó, qué verificaciones lo respaldaron y hasta dónde alcanza la reproducción de la evidencia.</w:t>
      </w:r>
    </w:p>
    <w:p w:rsidR="00000000" w:rsidDel="00000000" w:rsidP="00000000" w:rsidRDefault="00000000" w:rsidRPr="00000000" w14:paraId="00000003">
      <w:pPr>
        <w:pStyle w:val="Heading3"/>
        <w:spacing w:after="0" w:before="0" w:line="480" w:lineRule="auto"/>
        <w:rPr/>
      </w:pPr>
      <w:r w:rsidDel="00000000" w:rsidR="00000000" w:rsidRPr="00000000">
        <w:rPr>
          <w:rtl w:val="0"/>
        </w:rPr>
        <w:t xml:space="preserve">17.6.1. Organización del software y de la documentación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585979490"/>
          <w:tag w:val="goog_rdk_0"/>
        </w:sdtPr>
        <w:sdtContent>
          <w:commentRangeStart w:id="0"/>
        </w:sdtContent>
      </w:sdt>
      <w:r w:rsidDel="00000000" w:rsidR="00000000" w:rsidRPr="00000000">
        <w:rPr>
          <w:i w:val="0"/>
          <w:iCs w:val="0"/>
          <w:smallCaps w:val="0"/>
          <w:strike w:val="0"/>
          <w:u w:val="none"/>
          <w:shd w:fill="auto" w:val="clear"/>
          <w:vertAlign w:val="baseline"/>
          <w:rtl w:val="0"/>
        </w:rPr>
        <w:t xml:space="preserve">El proyecto se organizó en cinco repositorios de software y datos, complementados por un repositorio documental. El plano de medios reunió las fuentes visuales, los adaptadores de inferencia, la normalización de las detecciones y su instrumentación. El plano de control concentró la lectura de eventos, la asociación temporal por sujeto, la evaluación de patrones y el registro de alertas. El soporte experimental integró el orquestador, la consola de inspección, los catálogos de configuración y la consolidación de resultados. El repositorio de datos conservó los procedimientos de preparación, las anotaciones, los manifiestos y los registros de procedencia y licencias. El módulo de distribución reunió la política de notificación, la entrega por MQTT y la persistencia de sus resultados.</w:t>
      </w:r>
      <w:commentRangeEnd w:id="0"/>
      <w:r w:rsidDel="00000000" w:rsidR="00000000" w:rsidRPr="00000000">
        <w:commentReference w:id="0"/>
      </w:r>
      <w:r w:rsidDel="00000000" w:rsidR="00000000" w:rsidRPr="00000000">
        <w:rPr>
          <w:rtl w:val="0"/>
        </w:rPr>
      </w:r>
      <w:ins w:id="9001" w:author="Claude" w:date="2026-09-12T23:00:00Z">
        <w:r>
          <w:rPr>
            <w:rtl w:val="0"/>
          </w:rPr>
          <w:t xml:space="preserve"> Los cinco repositorios de código son públicos y se reúnen, junto con los resultados, sus artefactos y las figuras, en el </w:t>
        </w:r>
        <w:commentRangeStart w:id="15"/>
        <w:r>
          <w:rPr>
            <w:rtl w:val="0"/>
          </w:rPr>
          <w:t xml:space="preserve">repositorio público de documentación del proyecto</w:t>
        </w:r>
        <w:commentRangeEnd w:id="15"/>
        <w:r>
          <w:rPr>
            <w:rtl w:val="0"/>
          </w:rPr>
          <w:commentReference w:id="15"/>
        </w:r>
        <w:r>
          <w:rPr>
            <w:rtl w:val="0"/>
          </w:rPr>
          <w:t xml:space="preserve">, https://github.com/simonll4/e-ovrt-vdp (Carrizo, Guillaumet y Llamosas, 2026), que es la vía de acceso a todo el material que este informe identifica.</w:t>
        </w:r>
      </w:ins>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 organización separó la evolución del código de la conservación de los materiales experimentales. Los pesos de los modelos y las imágenes o videos originales no se incorporaron indiscriminadamente al control de versiones. En cambio, se conservaron las referencias necesarias para identificar los insumos, reconstruir su preparación y relacionarlos con los resultados derivados. La disponibilidad de una anotación o de un manifiesto no se interpretó como autorización para redistribuir el material visual al que remite.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ramas experimentales se distinguieron de la línea de implementación adoptada: una modificación medida no se presentó automáticamente como parte de la versión operativa. </w:t>
      </w:r>
      <w:r w:rsidDel="00000000" w:rsidR="00000000" w:rsidRPr="00000000">
        <w:rPr>
          <w:i w:val="0"/>
          <w:iCs w:val="0"/>
          <w:smallCaps w:val="0"/>
          <w:strike w:val="0"/>
          <w:u w:val="none"/>
          <w:shd w:fill="auto" w:val="clear"/>
          <w:vertAlign w:val="baseline"/>
          <w:rtl w:val="0"/>
        </w:rPr>
        <w:t xml:space="preserve">La unidad de identificación de una ejecución fue la revisión de código junto con su configuración efectiva, no el nombre mutable de una rama.</w:t>
      </w:r>
      <w:r w:rsidDel="00000000" w:rsidR="00000000" w:rsidRPr="00000000">
        <w:rPr>
          <w:rtl w:val="0"/>
        </w:rPr>
      </w:r>
    </w:p>
    <w:p w:rsidR="00000000" w:rsidDel="00000000" w:rsidP="00000000" w:rsidRDefault="00000000" w:rsidRPr="00000000" w14:paraId="00000007">
      <w:pPr>
        <w:pStyle w:val="Heading3"/>
        <w:spacing w:after="0" w:before="0" w:line="480" w:lineRule="auto"/>
        <w:rPr/>
      </w:pPr>
      <w:r w:rsidDel="00000000" w:rsidR="00000000" w:rsidRPr="00000000">
        <w:rPr>
          <w:rtl w:val="0"/>
        </w:rPr>
        <w:t xml:space="preserve">17.6.2. Identificación de las ejecuciones y conservación de la evidencia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manifiesto de una ejecución experimental vinculó las corridas de los servicios con la fuente, el perfil del modelo, el vocabulario activo, el conjunto de patrones y las opciones de instrumentación. La conservación de la configuración efectiva permitió distinguir los parámetros solicitados de los aplicados. De este modo, dos ejecuciones con el mismo modelo nominal pudieron diferenciarse por resolución, umbrales, prompts, granularidad o política temporal, sin atribuir sus resultados a una familia de detectores en abstracto.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inventario de la sección 17.4.5 establece los artefactos producidos por cada componente. Los eventos de percepción conservaron la evidencia que recibió el plano de control</w:t>
      </w:r>
      <w:r w:rsidDel="00000000" w:rsidR="00000000" w:rsidRPr="00000000">
        <w:rPr>
          <w:rtl w:val="0"/>
        </w:rPr>
        <w:t xml:space="preserve">,</w:t>
      </w:r>
      <w:r w:rsidDel="00000000" w:rsidR="00000000" w:rsidRPr="00000000">
        <w:rPr>
          <w:i w:val="0"/>
          <w:iCs w:val="0"/>
          <w:smallCaps w:val="0"/>
          <w:strike w:val="0"/>
          <w:u w:val="none"/>
          <w:shd w:fill="auto" w:val="clear"/>
          <w:vertAlign w:val="baseline"/>
          <w:rtl w:val="0"/>
        </w:rPr>
        <w:t xml:space="preserve"> los cambios de estado y las alertas permitieron reconstruir su interpretación temporal y el registro del distribuidor vinculó cada intento de entrega con la alerta que lo originó. Los reportes experimentales constituyeron proyecciones de esos registros, no una fuente independiente capaz de reemplazarlos.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regla de persistencia antes de publicación desacopló la conservación de los hechos de su transporte en vivo. </w:t>
      </w:r>
      <w:r w:rsidDel="00000000" w:rsidR="00000000" w:rsidRPr="00000000">
        <w:rPr>
          <w:rtl w:val="0"/>
        </w:rPr>
        <w:t xml:space="preserve">Una vez finalizada una corrida, los eventos pudieron releerse para inspeccionar la secuencia o repetir la evaluación del plano de control, sin que el canal de mensajería hubiera conservado el historial.</w:t>
      </w:r>
      <w:r w:rsidDel="00000000" w:rsidR="00000000" w:rsidRPr="00000000">
        <w:rPr>
          <w:i w:val="0"/>
          <w:iCs w:val="0"/>
          <w:smallCaps w:val="0"/>
          <w:strike w:val="0"/>
          <w:u w:val="none"/>
          <w:shd w:fill="auto" w:val="clear"/>
          <w:vertAlign w:val="baseline"/>
          <w:rtl w:val="0"/>
        </w:rPr>
        <w:t xml:space="preserve"> Esta propiedad no convierte al transporte en durable ni demuestra ausencia de fallas bajo cualquier carga</w:t>
      </w:r>
      <w:r w:rsidDel="00000000" w:rsidR="00000000" w:rsidRPr="00000000">
        <w:rPr>
          <w:rtl w:val="0"/>
        </w:rPr>
        <w:t xml:space="preserve">, más bien</w:t>
      </w:r>
      <w:r w:rsidDel="00000000" w:rsidR="00000000" w:rsidRPr="00000000">
        <w:rPr>
          <w:i w:val="0"/>
          <w:iCs w:val="0"/>
          <w:smallCaps w:val="0"/>
          <w:strike w:val="0"/>
          <w:u w:val="none"/>
          <w:shd w:fill="auto" w:val="clear"/>
          <w:vertAlign w:val="baseline"/>
          <w:rtl w:val="0"/>
        </w:rPr>
        <w:t xml:space="preserve"> preserva una vía de auditoría independiente del canal empleado durante la ejecución.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cadena de una alerta pudo rastrearse hasta el sujeto o la escena evaluada, la evidencia perceptiva, el patrón, la primera evidencia y la unidad visual que confirmó la condición. La distribución añadió el canal y el resultado de entrega sin modificar la semántica de la alerta interna. </w:t>
      </w:r>
      <w:r w:rsidDel="00000000" w:rsidR="00000000" w:rsidRPr="00000000">
        <w:rPr>
          <w:rtl w:val="0"/>
        </w:rPr>
        <w:t xml:space="preserve">Como el registro de los intentos fallidos y de los descartes definitivos permaneció separado del de confirmación del patrón, contar filas del registro de distribución no equivale a contar alertas distintas ni entregas satisfactorias.</w:t>
      </w:r>
      <w:r w:rsidDel="00000000" w:rsidR="00000000" w:rsidRPr="00000000">
        <w:rPr>
          <w:rtl w:val="0"/>
        </w:rPr>
      </w:r>
    </w:p>
    <w:p w:rsidR="00000000" w:rsidDel="00000000" w:rsidP="00000000" w:rsidRDefault="00000000" w:rsidRPr="00000000" w14:paraId="0000000C">
      <w:pPr>
        <w:pStyle w:val="Heading3"/>
        <w:spacing w:after="0" w:before="0" w:line="480" w:lineRule="auto"/>
        <w:rPr/>
      </w:pPr>
      <w:r w:rsidDel="00000000" w:rsidR="00000000" w:rsidRPr="00000000">
        <w:rPr>
          <w:rtl w:val="0"/>
        </w:rPr>
        <w:t xml:space="preserve">17.6.3. Verificaciones automatizadas y alcance de la comprobación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pruebas automatizadas verificaron propiedades de los módulos y de sus fronteras. En el plano de medios se comprobaron la configuración de las fuentes, el ciclo de vida de la corrida y la producción de los artefactos esperados. En el plano de control se verificaron la evaluación de patrones, la asociación determinista por sujeto y la relectura de eventos. Las pruebas de integración examinaron la correspondencia entre el camino por archivo y el camino por bus, así como la conservación de la evidencia durante el cierre de las ejecuciones.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el soporte experimental se verificaron la orquestación y la consolidación de los registros. En distribución se comprobaron la idempotencia, la supresión de notificaciones conforme a la política configurada, el tratamiento de los intentos fallidos y la entrega contra un broker MQTT real. Estas comprobaciones respaldan las propiedades ensayadas y el estado implementado de la cadena completa; no reemplazan la evaluación de precisión, latencia o robustez presentada en la sección 17.5.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794306972"/>
          <w:tag w:val="goog_rdk_1"/>
        </w:sdtPr>
        <w:sdtContent>
          <w:commentRangeStart w:id="1"/>
        </w:sdtContent>
      </w:sdt>
      <w:del w:id="9002" w:author="Claude" w:date="2026-09-12T23:00:00Z">
        <w:r w:rsidDel="00000000" w:rsidR="00000000" w:rsidRPr="00000000">
          <w:rPr>
            <w:i w:val="0"/>
            <w:iCs w:val="0"/>
            <w:smallCaps w:val="0"/>
            <w:strike w:val="0"/>
            <w:u w:val="none"/>
            <w:shd w:fill="auto" w:val="clear"/>
            <w:vertAlign w:val="baseline"/>
            <w:rtl w:val="0"/>
          </w:rPr>
          <w:delText xml:space="preserve">El control del material experimental incluyó dos verificaciones complementarias. La primera contrastó las cifras declaradas con los artefactos de evaluación y sus denominadores, y detectó inconsistencias entre los resultados conservados y sus resúmenes. Su cobertura no incluyó una recomputación automática de todas las cifras de percepción por imagen, que tuvieron una comprobación específica. La segunda verificó la organización del material de video, la separación de estratos, las exclusiones, la correspondencia de las anotaciones y la integridad de los elementos congelados.</w:delText>
        </w:r>
      </w:del>
      <w:ins w:id="9003" w:author="Claude" w:date="2026-09-12T23:00:00Z">
        <w:r>
          <w:rPr>
            <w:rtl w:val="0"/>
          </w:rPr>
          <w:t xml:space="preserve">Además de las pruebas de los módulos, </w:t>
        </w:r>
        <w:commentRangeStart w:id="16"/>
        <w:r>
          <w:rPr>
            <w:rtl w:val="0"/>
          </w:rPr>
          <w:t xml:space="preserve">dos comprobaciones automáticas cuidan el material</w:t>
        </w:r>
        <w:commentRangeEnd w:id="16"/>
        <w:r>
          <w:rPr>
            <w:rtl w:val="0"/>
          </w:rPr>
          <w:commentReference w:id="16"/>
        </w:r>
        <w:r>
          <w:rPr>
            <w:rtl w:val="0"/>
          </w:rPr>
          <w:t xml:space="preserve"> experimental. La primera recalcula las cifras reportadas a partir de los artefactos de cada corrida y falla si alguna no coincide; al cierre cubría 26 cifras sobre 17 campañas. La segunda revisa la organización del material de video: estratos, exclusiones, correspondencia de las anotaciones e integridad de los archivos congelados. Se comprobó, además, que el banco de imágenes se reconstruye desde sus fuentes y produce el mismo archivo byte a byte, y que releer los mismos eventos con la misma configuración produce las mismas alertas. Ninguna de estas comprobaciones sustituye repetir la inferencia en otro equipo.</w:t>
        </w:r>
      </w:ins>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del w:id="9009" w:author="Claude" w:date="2026-09-12T23:00:00Z"/>
          <w:i w:val="0"/>
          <w:iCs w:val="0"/>
          <w:smallCaps w:val="0"/>
          <w:strike w:val="0"/>
          <w:u w:val="none"/>
          <w:shd w:fill="auto" w:val="clear"/>
          <w:vertAlign w:val="baseline"/>
        </w:rPr>
      </w:pPr>
      <w:sdt>
        <w:sdtPr>
          <w:id w:val="1708395155"/>
          <w:tag w:val="goog_rdk_2"/>
        </w:sdtPr>
        <w:sdtContent>
          <w:commentRangeStart w:id="2"/>
        </w:sdtContent>
      </w:sdt>
      <w:del w:id="9004" w:author="Claude" w:date="2026-09-12T23:00:00Z">
        <w:r w:rsidDel="00000000" w:rsidR="00000000" w:rsidRPr="00000000">
          <w:rPr>
            <w:i w:val="0"/>
            <w:iCs w:val="0"/>
            <w:smallCaps w:val="0"/>
            <w:strike w:val="0"/>
            <w:u w:val="none"/>
            <w:shd w:fill="auto" w:val="clear"/>
            <w:vertAlign w:val="baseline"/>
            <w:rtl w:val="0"/>
          </w:rPr>
          <w:delText xml:space="preserve">La reconstrucción del banco de imágenes fue comprobada por el equipo y reprodujo el artefacto congelado byte a byte. Asimismo, las verificaciones de relectura respaldaron el determinismo de los componentes que operan sobre eventos conservados. Son propiedades distintas de repetir una nueva captura o una inferencia en otro entorno</w:delText>
        </w:r>
      </w:del>
      <w:del w:id="9005" w:author="Claude" w:date="2026-09-12T23:00:00Z">
        <w:r w:rsidDel="00000000" w:rsidR="00000000" w:rsidRPr="00000000">
          <w:rPr>
            <w:rtl w:val="0"/>
          </w:rPr>
          <w:delText xml:space="preserve">, las cuales</w:delText>
        </w:r>
      </w:del>
      <w:del w:id="9006" w:author="Claude" w:date="2026-09-12T23:00:00Z">
        <w:r w:rsidDel="00000000" w:rsidR="00000000" w:rsidRPr="00000000">
          <w:rPr>
            <w:i w:val="0"/>
            <w:iCs w:val="0"/>
            <w:smallCaps w:val="0"/>
            <w:strike w:val="0"/>
            <w:u w:val="none"/>
            <w:shd w:fill="auto" w:val="clear"/>
            <w:vertAlign w:val="baseline"/>
            <w:rtl w:val="0"/>
          </w:rPr>
          <w:delText xml:space="preserve"> incorpora</w:delText>
        </w:r>
      </w:del>
      <w:del w:id="9007" w:author="Claude" w:date="2026-09-12T23:00:00Z">
        <w:r w:rsidDel="00000000" w:rsidR="00000000" w:rsidRPr="00000000">
          <w:rPr>
            <w:rtl w:val="0"/>
          </w:rPr>
          <w:delText xml:space="preserve">ron</w:delText>
        </w:r>
      </w:del>
      <w:del w:id="9008" w:author="Claude" w:date="2026-09-12T23:00:00Z">
        <w:r w:rsidDel="00000000" w:rsidR="00000000" w:rsidRPr="00000000">
          <w:rPr>
            <w:i w:val="0"/>
            <w:iCs w:val="0"/>
            <w:smallCaps w:val="0"/>
            <w:strike w:val="0"/>
            <w:u w:val="none"/>
            <w:shd w:fill="auto" w:val="clear"/>
            <w:vertAlign w:val="baseline"/>
            <w:rtl w:val="0"/>
          </w:rPr>
          <w:delText xml:space="preserve"> condiciones de fuente, hardware y software que deben declararse y volver a medirse.</w:delText>
        </w:r>
      </w:del>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1">
      <w:pPr>
        <w:pStyle w:val="Heading3"/>
        <w:spacing w:after="0" w:before="0" w:line="480" w:lineRule="auto"/>
        <w:rPr/>
      </w:pPr>
      <w:r w:rsidDel="00000000" w:rsidR="00000000" w:rsidRPr="00000000">
        <w:rPr>
          <w:rtl w:val="0"/>
        </w:rPr>
        <w:t xml:space="preserve">17.6.4. Estado de entrega y límites de reproducibilidad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planos de medios y control, el soporte experimental y la distribución de alertas quedaron implementados e integrados en el flujo evaluado. La identidad temporal por sujeto también quedó implementada y medida</w:t>
      </w:r>
      <w:r w:rsidDel="00000000" w:rsidR="00000000" w:rsidRPr="00000000">
        <w:rPr>
          <w:rtl w:val="0"/>
        </w:rPr>
        <w:t xml:space="preserve">, cuya</w:t>
      </w:r>
      <w:r w:rsidDel="00000000" w:rsidR="00000000" w:rsidRPr="00000000">
        <w:rPr>
          <w:i w:val="0"/>
          <w:iCs w:val="0"/>
          <w:smallCaps w:val="0"/>
          <w:strike w:val="0"/>
          <w:u w:val="none"/>
          <w:shd w:fill="auto" w:val="clear"/>
          <w:vertAlign w:val="baseline"/>
          <w:rtl w:val="0"/>
        </w:rPr>
        <w:t xml:space="preserve"> presencia no implica reconocimiento de identidad personal ni validación mediante métricas MOT. La rama de ajuste fino conservó sus configuraciones, registros y veredictos como evidencia de un experimento concluido, sin incorporar un checkpoint ajustado al núcleo operativo.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010" w:author="Claude" w:date="2026-09-12T23:00:00Z">
        <w:r w:rsidDel="00000000" w:rsidR="00000000" w:rsidRPr="00000000">
          <w:rPr>
            <w:rtl w:val="0"/>
          </w:rPr>
          <w:delText xml:space="preserve">El empaquetado en contenedores quedó definido y validado por configuración</w:delText>
        </w:r>
      </w:del>
      <w:del w:id="9011" w:author="Claude" w:date="2026-09-12T23:00:00Z">
        <w:r w:rsidDel="00000000" w:rsidR="00000000" w:rsidRPr="00000000">
          <w:rPr>
            <w:i w:val="0"/>
            <w:iCs w:val="0"/>
            <w:smallCaps w:val="0"/>
            <w:strike w:val="0"/>
            <w:u w:val="none"/>
            <w:shd w:fill="auto" w:val="clear"/>
            <w:vertAlign w:val="baseline"/>
            <w:rtl w:val="0"/>
          </w:rPr>
          <w:delText xml:space="preserve">, con las especificaciones de construcción de los servicios y su composición.</w:delText>
        </w:r>
      </w:del>
      <w:sdt>
        <w:sdtPr>
          <w:id w:val="1436863447"/>
          <w:tag w:val="goog_rdk_3"/>
        </w:sdtPr>
        <w:sdtContent>
          <w:commentRangeStart w:id="3"/>
        </w:sdtContent>
      </w:sdt>
      <w:del w:id="9012" w:author="Claude" w:date="2026-09-12T23:00:00Z">
        <w:r w:rsidDel="00000000" w:rsidR="00000000" w:rsidRPr="00000000">
          <w:rPr>
            <w:i w:val="0"/>
            <w:iCs w:val="0"/>
            <w:smallCaps w:val="0"/>
            <w:strike w:val="0"/>
            <w:u w:val="none"/>
            <w:shd w:fill="auto" w:val="clear"/>
            <w:vertAlign w:val="baseline"/>
            <w:rtl w:val="0"/>
          </w:rPr>
          <w:delText xml:space="preserve"> El despliegue no fue verificado</w:delText>
        </w:r>
      </w:del>
      <w:del w:id="9013" w:author="Claude" w:date="2026-09-12T23:00:00Z">
        <w:r w:rsidDel="00000000" w:rsidR="00000000" w:rsidRPr="00000000">
          <w:rPr>
            <w:rtl w:val="0"/>
          </w:rPr>
          <w:delText xml:space="preserve">, de tal forma que no se ejecutó</w:delText>
        </w:r>
      </w:del>
      <w:del w:id="9014" w:author="Claude" w:date="2026-09-12T23:00:00Z">
        <w:r w:rsidDel="00000000" w:rsidR="00000000" w:rsidRPr="00000000">
          <w:rPr>
            <w:i w:val="0"/>
            <w:iCs w:val="0"/>
            <w:smallCaps w:val="0"/>
            <w:strike w:val="0"/>
            <w:u w:val="none"/>
            <w:shd w:fill="auto" w:val="clear"/>
            <w:vertAlign w:val="baseline"/>
            <w:rtl w:val="0"/>
          </w:rPr>
          <w:delText xml:space="preserve"> la construcción de las imágenes ni la prueba integral de arranque y funcionamiento. En consecuencia, ese empaquetado no se presenta como evidencia de portabilidad ejecutada. </w:delText>
        </w:r>
      </w:del>
      <w:del w:id="9015" w:author="Claude" w:date="2026-09-12T23:00:00Z">
        <w:r w:rsidDel="00000000" w:rsidR="00000000" w:rsidRPr="00000000">
          <w:rPr>
            <w:rtl w:val="0"/>
          </w:rPr>
          <w:delText xml:space="preserve">Su documentación operativa acompaña al software, y el Anexo E delimita el camino de reproducción y las comprobaciones que respaldan los resultados.</w:delText>
        </w:r>
      </w:del>
      <w:ins w:id="9016" w:author="Claude" w:date="2026-09-12T23:00:00Z">
        <w:commentRangeStart w:id="17"/>
        <w:r>
          <w:rPr>
            <w:rtl w:val="0"/>
          </w:rPr>
          <w:t xml:space="preserve">La plataforma se entrega empaquetada en contenedores</w:t>
        </w:r>
        <w:commentRangeEnd w:id="17"/>
        <w:r>
          <w:rPr>
            <w:rtl w:val="0"/>
          </w:rPr>
          <w:commentReference w:id="17"/>
        </w:r>
        <w:r>
          <w:rPr>
            <w:rtl w:val="0"/>
          </w:rPr>
          <w:t xml:space="preserve">. Cada servicio cuenta con su especificación de construcción, y una composición única declara el conjunto: la consola, el plano de control, la distribución de alertas, el broker MQTT y las instancias del plano de medios, una por perfil de modelo, con sus redes, sus volúmenes, sus comprobaciones de salud y sus dependencias de arranque. Las instancias de inferencia se declaran inactivas y la consola activa la que requiere cada corrida, bajo la política de una activa a la vez. La composición preserva la disposición de rutas del entorno de trabajo, condición necesaria porque los contratos entre módulos intercambian rutas absolutas sobre un sistema de archivos compartido; dentro de la red interna los extremos se resuelven por nombre de servicio y no por dirección de anfitrión. Instalar la plataforma en otro equipo requiere disponer de los repositorios y declarar la raíz del espacio de trabajo, sin ninguna otra ruta fija. Su documentación operativa acompaña al software en los repositorios, porque este informe no es un manual de despliegue, y el Anexo E delimita el camino de reproducción y las comprobaciones que respaldan los resultados.</w:t>
        </w:r>
      </w:ins>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cierre dejó, por tanto, una plataforma experimental documentada </w:t>
      </w:r>
      <w:r w:rsidDel="00000000" w:rsidR="00000000" w:rsidRPr="00000000">
        <w:rPr>
          <w:rtl w:val="0"/>
        </w:rPr>
        <w:t xml:space="preserve">y una cadena de evidencia inspeccionable, con los alcances de reproducción que delimita el </w:t>
      </w:r>
      <w:sdt>
        <w:sdtPr>
          <w:id w:val="1130783044"/>
          <w:tag w:val="goog_rdk_4"/>
        </w:sdtPr>
        <w:sdtContent>
          <w:commentRangeStart w:id="4"/>
        </w:sdtContent>
      </w:sdt>
      <w:sdt>
        <w:sdtPr>
          <w:id w:val="926884545"/>
          <w:tag w:val="goog_rdk_5"/>
        </w:sdtPr>
        <w:sdtContent>
          <w:commentRangeStart w:id="5"/>
        </w:sdtContent>
      </w:sdt>
      <w:r w:rsidDel="00000000" w:rsidR="00000000" w:rsidRPr="00000000">
        <w:rPr>
          <w:rtl w:val="0"/>
        </w:rPr>
        <w:t xml:space="preserve">Anexo 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Las condiciones de acceso</w:t>
      </w:r>
      <w:r w:rsidDel="00000000" w:rsidR="00000000" w:rsidRPr="00000000">
        <w:rPr>
          <w:i w:val="0"/>
          <w:iCs w:val="0"/>
          <w:smallCaps w:val="0"/>
          <w:strike w:val="0"/>
          <w:u w:val="none"/>
          <w:shd w:fill="auto" w:val="clear"/>
          <w:vertAlign w:val="baseline"/>
          <w:rtl w:val="0"/>
        </w:rPr>
        <w:t xml:space="preserve"> y reutilización del material, incluida la procedencia aún incompleta del lote de obra real, se declaran en el Anexo F.</w:t>
      </w:r>
      <w:ins w:id="9017" w:author="Claude" w:date="2026-09-12T23:00:00Z">
        <w:r>
          <w:rPr>
            <w:rtl w:val="0"/>
          </w:rPr>
          <w:t xml:space="preserve"> </w:t>
        </w:r>
        <w:commentRangeStart w:id="18"/>
        <w:r>
          <w:rPr>
            <w:rtl w:val="0"/>
          </w:rPr>
          <w:t xml:space="preserve">Todo el material que este informe identifica</w:t>
        </w:r>
        <w:commentRangeEnd w:id="18"/>
        <w:r>
          <w:rPr>
            <w:rtl w:val="0"/>
          </w:rPr>
          <w:commentReference w:id="18"/>
        </w:r>
        <w:r>
          <w:rPr>
            <w:rtl w:val="0"/>
          </w:rPr>
          <w:t xml:space="preserve"> se alcanza desde el repositorio de documentación citado en la sección 17.6.1, incluido el acceso autorizado al material audiovisual, que no se publica.</w:t>
        </w:r>
      </w:ins>
    </w:p>
    <w:p w:rsidR="00000000" w:rsidDel="00000000" w:rsidP="00000000" w:rsidRDefault="00000000" w:rsidRPr="00000000" w14:paraId="00000015">
      <w:pPr>
        <w:pStyle w:val="Heading1"/>
        <w:pageBreakBefore w:val="1"/>
        <w:spacing w:after="0" w:before="0" w:line="480" w:lineRule="auto"/>
        <w:rPr/>
      </w:pPr>
      <w:r w:rsidDel="00000000" w:rsidR="00000000" w:rsidRPr="00000000">
        <w:rPr>
          <w:rtl w:val="0"/>
        </w:rPr>
        <w:t xml:space="preserve">18. Cierre del proyecto</w:t>
      </w:r>
    </w:p>
    <w:p w:rsidR="00000000" w:rsidDel="00000000" w:rsidP="00000000" w:rsidRDefault="00000000" w:rsidRPr="00000000" w14:paraId="00000016">
      <w:pPr>
        <w:pStyle w:val="Heading2"/>
        <w:spacing w:after="0" w:before="0" w:line="480" w:lineRule="auto"/>
        <w:rPr/>
      </w:pPr>
      <w:r w:rsidDel="00000000" w:rsidR="00000000" w:rsidRPr="00000000">
        <w:rPr>
          <w:rtl w:val="0"/>
        </w:rPr>
        <w:t xml:space="preserve">18.1. Respuesta a la hipótesis y alcance de la factibilidad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1680389222"/>
          <w:tag w:val="goog_rdk_6"/>
        </w:sdtPr>
        <w:sdtContent>
          <w:commentRangeStart w:id="6"/>
        </w:sdtContent>
      </w:sdt>
      <w:r w:rsidDel="00000000" w:rsidR="00000000" w:rsidRPr="00000000">
        <w:rPr>
          <w:i w:val="0"/>
          <w:iCs w:val="0"/>
          <w:smallCaps w:val="0"/>
          <w:strike w:val="0"/>
          <w:u w:val="none"/>
          <w:shd w:fill="auto" w:val="clear"/>
          <w:vertAlign w:val="baseline"/>
          <w:rtl w:val="0"/>
        </w:rPr>
        <w:t xml:space="preserve">El proyecto mostró la factibilidad técnica de integrar detección open-vocabulary, procesamiento de video, estabilización temporal y distribución de alertas en una plataforma experimental trazable. La respuesta a la hipótesis de la </w:t>
      </w:r>
      <w:r w:rsidDel="00000000" w:rsidR="00000000" w:rsidRPr="00000000">
        <w:rPr>
          <w:i w:val="0"/>
          <w:iCs w:val="0"/>
          <w:smallCaps w:val="0"/>
          <w:strike w:val="0"/>
          <w:u w:val="none"/>
          <w:shd w:fill="auto" w:val="clear"/>
          <w:vertAlign w:val="baseline"/>
          <w:rtl w:val="0"/>
        </w:rPr>
        <w:t xml:space="preserve">sección 12.3</w:t>
      </w:r>
      <w:r w:rsidDel="00000000" w:rsidR="00000000" w:rsidRPr="00000000">
        <w:rPr>
          <w:i w:val="0"/>
          <w:iCs w:val="0"/>
          <w:smallCaps w:val="0"/>
          <w:strike w:val="0"/>
          <w:u w:val="none"/>
          <w:shd w:fill="auto" w:val="clear"/>
          <w:vertAlign w:val="baseline"/>
          <w:rtl w:val="0"/>
        </w:rPr>
        <w:t xml:space="preserve"> es afirmativa en ese alcance y condicionada respecto de su utilización operativa: se construyó y evaluó una cadena funcional sin ajustar los pesos del núcleo, pero no se demostró una solución general de seguridad en obra ni el cumplimiento simultáneo de todos los objetivos de calidad y latencia.</w:t>
      </w:r>
      <w:commentRangeEnd w:id="6"/>
      <w:r w:rsidDel="00000000" w:rsidR="00000000" w:rsidRPr="00000000">
        <w:commentReference w:id="6"/>
      </w: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ns w:id="9018" w:author="Claude" w:date="2026-09-12T23:00:00Z"/>
          <w:i w:val="0"/>
          <w:iCs w:val="0"/>
          <w:smallCaps w:val="0"/>
          <w:strike w:val="0"/>
          <w:u w:val="none"/>
          <w:shd w:fill="auto" w:val="clear"/>
          <w:vertAlign w:val="baseline"/>
        </w:rPr>
      </w:pPr>
      <w:commentRangeStart w:id="19"/>
      <w:ins w:id="9019" w:author="Claude" w:date="2026-09-12T23:00:00Z">
        <w:r>
          <w:rPr>
            <w:rtl w:val="0"/>
          </w:rPr>
          <w:t xml:space="preserve">Las dos consultas que la hipótesis de la sección 12.3 tomó como ejemplo, «persona sin casco» y «persona sin chaleco reflectivo», se transformaron en alertas evaluables sobre video, con dos precisiones que forman parte de la respuesta. La condición no pudo formularse al detector como una negación literal, porque esa formulación quedó descartada por su precisión, sino como ausencia del elemento de protección sobre una persona detectada. Y la primera condición se sostuvo en los tres niveles de evidencia, mientras que la segunda alcanzó la alerta por episodio con su clasificación por persona todavía abierta.</w:t>
        </w:r>
      </w:ins>
      <w:commentRangeEnd w:id="19"/>
      <w:r>
        <w:rPr>
          <w:rtl w:val="0"/>
        </w:rPr>
        <w:commentReference w:id="19"/>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1332077116"/>
          <w:tag w:val="goog_rdk_7"/>
        </w:sdtPr>
        <w:sdtContent>
          <w:commentRangeStart w:id="7"/>
        </w:sdtContent>
      </w:sdt>
      <w:r w:rsidDel="00000000" w:rsidR="00000000" w:rsidRPr="00000000">
        <w:rPr>
          <w:i w:val="0"/>
          <w:iCs w:val="0"/>
          <w:smallCaps w:val="0"/>
          <w:strike w:val="0"/>
          <w:u w:val="none"/>
          <w:shd w:fill="auto" w:val="clear"/>
          <w:vertAlign w:val="baseline"/>
          <w:rtl w:val="0"/>
        </w:rPr>
        <w:t xml:space="preserve">La evidencia principal es la evaluación por episodio de la sección 17.5.4. Con el perfil gdino-tiny-560, la estrategia indirecta E-IND y granularidad por sujeto, el F1 de alertas fue 0,930 sobre los 34 episodios evaluables del bloque de rodaje, frente a 0,789 con granularidad por escena y las mismas detecciones. Ambas configuraciones produjeron cero falsos positivos en los cuatro clips negativos de ese bloque. El resultado establece un aporte de la plataforma sobre una entrada perceptiva constante; no demuestra superioridad del detector frente a un modelo supervisado ni ausencia de falsas alarmas fuera del material observado.</w:t>
      </w:r>
      <w:commentRangeEnd w:id="7"/>
      <w:r w:rsidDel="00000000" w:rsidR="00000000" w:rsidRPr="00000000">
        <w:commentReference w:id="7"/>
      </w:r>
      <w:r w:rsidDel="00000000" w:rsidR="00000000" w:rsidRPr="00000000">
        <w:rPr>
          <w:rtl w:val="0"/>
        </w:rPr>
      </w:r>
      <w:ins w:id="9020" w:author="Claude" w:date="2026-09-12T23:00:00Z">
        <w:r>
          <w:rPr>
            <w:rtl w:val="0"/>
          </w:rPr>
          <w:t xml:space="preserve"> </w:t>
        </w:r>
        <w:commentRangeStart w:id="20"/>
        <w:r>
          <w:rPr>
            <w:rtl w:val="0"/>
          </w:rPr>
          <w:t xml:space="preserve">El AP, que la literatura reporta</w:t>
        </w:r>
        <w:commentRangeEnd w:id="20"/>
        <w:r>
          <w:rPr>
            <w:rtl w:val="0"/>
          </w:rPr>
          <w:commentReference w:id="20"/>
        </w:r>
        <w:r>
          <w:rPr>
            <w:rtl w:val="0"/>
          </w:rPr>
          <w:t xml:space="preserve"> para comparar detectores sobre imágenes, se informa en el nivel de percepción de la sección 17.5.2; la alerta por episodio es una decisión binaria sobre una ventana temporal y se mide con precisión, recall y F1, que es la métrica que el protocolo fijó para ese nivel.</w:t>
        </w:r>
      </w:ins>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distinción es consistente con la fundamentación de las secciones 15 y 16. Los antecedentes de detección de EPP con modelos visión-lenguaje examinan la viabilidad de reconocer y relacionar entidades visuales, pero no sustituyen una evaluación de alertas temporales bajo las condiciones del proyecto (Choi y Greer, 2024; </w:t>
      </w:r>
      <w:r w:rsidDel="00000000" w:rsidR="00000000" w:rsidRPr="00000000">
        <w:rPr>
          <w:rtl w:val="0"/>
        </w:rPr>
        <w:t xml:space="preserve">Chen y Zou, 2025</w:t>
      </w:r>
      <w:r w:rsidDel="00000000" w:rsidR="00000000" w:rsidRPr="00000000">
        <w:rPr>
          <w:i w:val="0"/>
          <w:iCs w:val="0"/>
          <w:smallCaps w:val="0"/>
          <w:strike w:val="0"/>
          <w:u w:val="none"/>
          <w:shd w:fill="auto" w:val="clear"/>
          <w:vertAlign w:val="baseline"/>
          <w:rtl w:val="0"/>
        </w:rPr>
        <w:t xml:space="preserve">). El aporte propio fue convertir esa posibilidad en una cadena configurable y medir por separado percepción, estado por persona, alerta por episodio y temporalidad de ejecución. No se equipararon los valores de AP publicados en otros conjuntos con el F1 de episodios obtenido aquí.</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conclusiones siguientes distinguen resultados establecidos dentro del protocolo, evidencia direccional, tendencias y cuestiones no cerradas. Una estimación puntual favorable no se trató como diferencia establecida cuando su intervalo de confianza incluyó el cero. Esta regla delimita la fuerza del resultado, sin transformar una ausencia de significación en prueba de equivalencia.</w:t>
      </w:r>
    </w:p>
    <w:p w:rsidR="00000000" w:rsidDel="00000000" w:rsidP="00000000" w:rsidRDefault="00000000" w:rsidRPr="00000000" w14:paraId="0000001B">
      <w:pPr>
        <w:pStyle w:val="Heading2"/>
        <w:spacing w:after="0" w:before="0" w:line="480" w:lineRule="auto"/>
        <w:rPr/>
      </w:pPr>
      <w:r w:rsidDel="00000000" w:rsidR="00000000" w:rsidRPr="00000000">
        <w:rPr>
          <w:rtl w:val="0"/>
        </w:rPr>
        <w:t xml:space="preserve">18.2. Expresividad semántica, selección del perfil y extensibilidad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selección de un modelo no pudo resolverse mediante su rendimiento general publicado. </w:t>
      </w:r>
      <w:r w:rsidDel="00000000" w:rsidR="00000000" w:rsidRPr="00000000">
        <w:rPr>
          <w:rtl w:val="0"/>
        </w:rPr>
        <w:t xml:space="preserve">En el estrato de obra curada de 147 imágenes, </w:t>
      </w:r>
      <w:del w:id="9021" w:author="Claude" w:date="2026-09-12T23:00:00Z">
        <w:r w:rsidDel="00000000" w:rsidR="00000000" w:rsidRPr="00000000">
          <w:rPr>
            <w:rtl w:val="0"/>
          </w:rPr>
          <w:delText xml:space="preserve">gdino-tiny-560 encabezó el mAP50 por delante de gdino-base-560 y de yoloe-26x, y la sección 17.5.2 reportó que conservó el liderazgo en el banco completo, integrado por ese estrato y otros dos de mayor tamaño.</w:delText>
        </w:r>
      </w:del>
      <w:ins w:id="9022" w:author="Claude" w:date="2026-09-12T23:00:00Z">
        <w:r>
          <w:rPr>
            <w:rtl w:val="0"/>
          </w:rPr>
          <w:t xml:space="preserve">gdino-tiny-560 encabezó el mAP50 con 0,503, por delante de gdino-base-560, con 0,474, y de yoloe-26x, y conservó el liderazgo en el banco completo de 6.477 imágenes de tres fuentes, con 0,551 frente a 0,525; la sección 17.5.2 reporta el desglose por estrato y por clase.</w:t>
        </w:r>
      </w:ins>
      <w:r w:rsidDel="00000000" w:rsidR="00000000" w:rsidRPr="00000000">
        <w:rPr>
          <w:i w:val="0"/>
          <w:iCs w:val="0"/>
          <w:smallCaps w:val="0"/>
          <w:strike w:val="0"/>
          <w:u w:val="none"/>
          <w:shd w:fill="auto" w:val="clear"/>
          <w:vertAlign w:val="baseline"/>
          <w:rtl w:val="0"/>
        </w:rPr>
        <w:t xml:space="preserve"> El veredicto de retenerlo como perfil operativo quedó establecido para las combinaciones y los materiales evaluados, no como clasificación universal de las familias.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perfil base conservó un papel distinto</w:t>
      </w:r>
      <w:r w:rsidDel="00000000" w:rsidR="00000000" w:rsidRPr="00000000">
        <w:rPr>
          <w:rtl w:val="0"/>
        </w:rPr>
        <w:t xml:space="preserve">.</w:t>
      </w:r>
      <w:r w:rsidDel="00000000" w:rsidR="00000000" w:rsidRPr="00000000">
        <w:rPr>
          <w:i w:val="0"/>
          <w:iCs w:val="0"/>
          <w:smallCaps w:val="0"/>
          <w:strike w:val="0"/>
          <w:u w:val="none"/>
          <w:shd w:fill="auto" w:val="clear"/>
          <w:vertAlign w:val="baseline"/>
          <w:rtl w:val="0"/>
        </w:rPr>
        <w:t xml:space="preserve"> </w:t>
      </w:r>
      <w:r w:rsidDel="00000000" w:rsidR="00000000" w:rsidRPr="00000000">
        <w:rPr>
          <w:rtl w:val="0"/>
        </w:rPr>
        <w:t xml:space="preserve">L</w:t>
      </w:r>
      <w:r w:rsidDel="00000000" w:rsidR="00000000" w:rsidRPr="00000000">
        <w:rPr>
          <w:i w:val="0"/>
          <w:iCs w:val="0"/>
          <w:smallCaps w:val="0"/>
          <w:strike w:val="0"/>
          <w:u w:val="none"/>
          <w:shd w:fill="auto" w:val="clear"/>
          <w:vertAlign w:val="baseline"/>
          <w:rtl w:val="0"/>
        </w:rPr>
        <w:t xml:space="preserve">a sección 17.5.2 lo retuvo como contraste especializado en cabeza descubierta y chaleco, no como reemplazo general del perfil operativo. </w:t>
      </w:r>
      <w:r w:rsidDel="00000000" w:rsidR="00000000" w:rsidRPr="00000000">
        <w:rPr>
          <w:rtl w:val="0"/>
        </w:rPr>
        <w:t xml:space="preserve">En el mismo estrato, su AP de chaleco fue 0,582 frente a 0,520 del perfil operativo. Esa ventaja en una clase no implicó el mejor resultado de la plataforma completa, y por eso el contraste se justifica por el comportamiento de la combinación en condiciones concretas y no por el tamaño del modelo.</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comparación de estrategias mostró por qué expresar una condición en lenguaje no equivale a obtener una medición confiable de su ausencia. </w:t>
      </w:r>
      <w:r w:rsidDel="00000000" w:rsidR="00000000" w:rsidRPr="00000000">
        <w:rPr>
          <w:rtl w:val="0"/>
        </w:rPr>
        <w:t xml:space="preserve">En el subconjunto curado de CR-01, E-IND ya superaba a E-DIR en la comparación por persona. En el nivel temporal</w:t>
      </w:r>
      <w:r w:rsidDel="00000000" w:rsidR="00000000" w:rsidRPr="00000000">
        <w:rPr>
          <w:i w:val="0"/>
          <w:iCs w:val="0"/>
          <w:smallCaps w:val="0"/>
          <w:strike w:val="0"/>
          <w:u w:val="none"/>
          <w:shd w:fill="auto" w:val="clear"/>
          <w:vertAlign w:val="baseline"/>
          <w:rtl w:val="0"/>
        </w:rPr>
        <w:t xml:space="preserve">, la formulación directa </w:t>
      </w:r>
      <w:r w:rsidDel="00000000" w:rsidR="00000000" w:rsidRPr="00000000">
        <w:rPr>
          <w:rtl w:val="0"/>
        </w:rPr>
        <w:t xml:space="preserve">obtuvo una precisión</w:t>
      </w:r>
      <w:r w:rsidDel="00000000" w:rsidR="00000000" w:rsidRPr="00000000">
        <w:rPr>
          <w:i w:val="0"/>
          <w:iCs w:val="0"/>
          <w:smallCaps w:val="0"/>
          <w:strike w:val="0"/>
          <w:u w:val="none"/>
          <w:shd w:fill="auto" w:val="clear"/>
          <w:vertAlign w:val="baseline"/>
          <w:rtl w:val="0"/>
        </w:rPr>
        <w:t xml:space="preserve"> de 0,146 sobre los 34 episodios evaluables del rodaje, por debajo del umbral de 0,5 fijado para su aceptación. Su exclusión como núcleo es un resultado establecido por un criterio previo a la evaluación, no una conclusión general sobre la imposibilidad de representar negaciones mediante lenguaje.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estrategia indirecta aportó una explicación inspeccionable de la decisión: una persona detectada, una región de asociación y la ausencia de evidencia del EPP en esa región. Sin embargo, la ausencia de una detección puede deberse a una limitación perceptiva. La trazabilidad permite revisar esa diferencia, pero no la elimina. En CR-02, la comparación por persona quedó abierta: F1 de 0,479 con E-IND y de 0,418 con E-DIR </w:t>
      </w:r>
      <w:r w:rsidDel="00000000" w:rsidR="00000000" w:rsidRPr="00000000">
        <w:rPr>
          <w:rtl w:val="0"/>
        </w:rPr>
        <w:t xml:space="preserve">sobre un único estrato y con intervalos solapados</w:t>
      </w:r>
      <w:r w:rsidDel="00000000" w:rsidR="00000000" w:rsidRPr="00000000">
        <w:rPr>
          <w:i w:val="0"/>
          <w:iCs w:val="0"/>
          <w:smallCaps w:val="0"/>
          <w:strike w:val="0"/>
          <w:u w:val="none"/>
          <w:shd w:fill="auto" w:val="clear"/>
          <w:vertAlign w:val="baseline"/>
          <w:rtl w:val="0"/>
        </w:rPr>
        <w:t xml:space="preserve">. El éxito temporal de esa condición no autoriza a declarar resuelta su clasificación por persona.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023" w:author="Claude" w:date="2026-09-12T23:00:00Z">
        <w:r w:rsidDel="00000000" w:rsidR="00000000" w:rsidRPr="00000000">
          <w:rPr>
            <w:i w:val="0"/>
            <w:iCs w:val="0"/>
            <w:smallCaps w:val="0"/>
            <w:strike w:val="0"/>
            <w:u w:val="none"/>
            <w:shd w:fill="auto" w:val="clear"/>
            <w:vertAlign w:val="baseline"/>
            <w:rtl w:val="0"/>
          </w:rPr>
          <w:delText xml:space="preserve">La extensibilidad sin entrenamiento sí fue ejercida. La incorporación de </w:delText>
        </w:r>
      </w:del>
      <w:sdt>
        <w:sdtPr>
          <w:id w:val="2120108212"/>
          <w:tag w:val="goog_rdk_8"/>
        </w:sdtPr>
        <w:sdtContent>
          <w:commentRangeStart w:id="8"/>
        </w:sdtContent>
      </w:sdt>
      <w:del w:id="9024" w:author="Claude" w:date="2026-09-12T23:00:00Z">
        <w:r w:rsidDel="00000000" w:rsidR="00000000" w:rsidRPr="00000000">
          <w:rPr>
            <w:i w:val="0"/>
            <w:iCs w:val="0"/>
            <w:smallCaps w:val="0"/>
            <w:strike w:val="0"/>
            <w:u w:val="none"/>
            <w:shd w:fill="auto" w:val="clear"/>
            <w:vertAlign w:val="baseline"/>
            <w:rtl w:val="0"/>
          </w:rPr>
          <w:delText xml:space="preserve">machinery </w:delText>
        </w:r>
      </w:del>
      <w:commentRangeEnd w:id="8"/>
      <w:r w:rsidDel="00000000" w:rsidR="00000000" w:rsidRPr="00000000">
        <w:commentReference w:id="8"/>
      </w:r>
      <w:del w:id="9025" w:author="Claude" w:date="2026-09-12T23:00:00Z">
        <w:r w:rsidDel="00000000" w:rsidR="00000000" w:rsidRPr="00000000">
          <w:rPr>
            <w:rtl w:val="0"/>
          </w:rPr>
          <w:delText xml:space="preserve">produjo AP50 de 0,662 sin ninguna corrida de entrenamiento</w:delText>
        </w:r>
      </w:del>
      <w:del w:id="9026" w:author="Claude" w:date="2026-09-12T23:00:00Z">
        <w:r w:rsidDel="00000000" w:rsidR="00000000" w:rsidRPr="00000000">
          <w:rPr>
            <w:i w:val="0"/>
            <w:iCs w:val="0"/>
            <w:smallCaps w:val="0"/>
            <w:strike w:val="0"/>
            <w:u w:val="none"/>
            <w:shd w:fill="auto" w:val="clear"/>
            <w:vertAlign w:val="baseline"/>
            <w:rtl w:val="0"/>
          </w:rPr>
          <w:delText xml:space="preserve">, según la sección 17.5.2.</w:delText>
        </w:r>
      </w:del>
      <w:ins w:id="9027" w:author="Claude" w:date="2026-09-12T23:00:00Z">
        <w:r>
          <w:rPr>
            <w:rtl w:val="0"/>
          </w:rPr>
          <w:t xml:space="preserve">La extensibilidad sin entrenamiento sí fue ejercida: se añadió por configuración una clase ajena al núcleo, </w:t>
        </w:r>
        <w:commentRangeStart w:id="21"/>
        <w:r>
          <w:rPr>
            <w:rtl w:val="0"/>
          </w:rPr>
          <w:t xml:space="preserve">la maquinaria de obra, expresada con el prompt machinery</w:t>
        </w:r>
        <w:commentRangeEnd w:id="21"/>
        <w:r>
          <w:rPr>
            <w:rtl w:val="0"/>
          </w:rPr>
          <w:commentReference w:id="21"/>
        </w:r>
        <w:r>
          <w:rPr>
            <w:rtl w:val="0"/>
          </w:rPr>
          <w:t xml:space="preserve">, y sin ninguna corrida de entrenamiento alcanzó AP50 de 0,662 sobre 99 cajas de referencia del piloto de extensibilidad (sección 17.5.2).</w:t>
        </w:r>
      </w:ins>
      <w:r w:rsidDel="00000000" w:rsidR="00000000" w:rsidRPr="00000000">
        <w:rPr>
          <w:i w:val="0"/>
          <w:iCs w:val="0"/>
          <w:smallCaps w:val="0"/>
          <w:strike w:val="0"/>
          <w:u w:val="none"/>
          <w:shd w:fill="auto" w:val="clear"/>
          <w:vertAlign w:val="baseline"/>
          <w:rtl w:val="0"/>
        </w:rPr>
        <w:t xml:space="preserve"> Esto establece la posibilidad de añadir una clase por configuración en el material ensayado. No establece extensibilidad semántica automática: sobre el mismo material, </w:t>
      </w:r>
      <w:del w:id="9028" w:author="Claude" w:date="2026-09-12T23:00:00Z">
        <w:r w:rsidDel="00000000" w:rsidR="00000000" w:rsidRPr="00000000">
          <w:rPr>
            <w:i w:val="0"/>
            <w:iCs w:val="0"/>
            <w:smallCaps w:val="0"/>
            <w:strike w:val="0"/>
            <w:u w:val="none"/>
            <w:shd w:fill="auto" w:val="clear"/>
            <w:vertAlign w:val="baseline"/>
            <w:rtl w:val="0"/>
          </w:rPr>
          <w:delText xml:space="preserve">vehicle no produjo detecciones cuando acompañó a machinery </w:delText>
        </w:r>
      </w:del>
      <w:del w:id="9029" w:author="Claude" w:date="2026-09-12T23:00:00Z">
        <w:r w:rsidDel="00000000" w:rsidR="00000000" w:rsidRPr="00000000">
          <w:rPr>
            <w:rtl w:val="0"/>
          </w:rPr>
          <w:delText xml:space="preserve">y, de manera aislada, obtuvo AP de 0,026 al localizar la propia maquinaria</w:delText>
        </w:r>
      </w:del>
      <w:del w:id="9030" w:author="Claude" w:date="2026-09-12T23:00:00Z">
        <w:r w:rsidDel="00000000" w:rsidR="00000000" w:rsidRPr="00000000">
          <w:rPr>
            <w:i w:val="0"/>
            <w:iCs w:val="0"/>
            <w:smallCaps w:val="0"/>
            <w:strike w:val="0"/>
            <w:u w:val="none"/>
            <w:shd w:fill="auto" w:val="clear"/>
            <w:vertAlign w:val="baseline"/>
            <w:rtl w:val="0"/>
          </w:rPr>
          <w:delText xml:space="preserve">.</w:delText>
        </w:r>
      </w:del>
      <w:ins w:id="9031" w:author="Claude" w:date="2026-09-12T23:00:00Z">
        <w:r>
          <w:rPr>
            <w:rtl w:val="0"/>
          </w:rPr>
          <w:t xml:space="preserve">la palabra vehicle, probada como segunda clase, no produjo ninguna detección cuando acompañó a machinery y, aislada, obtuvo AP de 0,026 porque el modelo la resolvió sobre la propia maquinaria: para el detector no significó lo que el equipo pretendía.</w:t>
        </w:r>
      </w:ins>
      <w:r w:rsidDel="00000000" w:rsidR="00000000" w:rsidRPr="00000000">
        <w:rPr>
          <w:i w:val="0"/>
          <w:iCs w:val="0"/>
          <w:smallCaps w:val="0"/>
          <w:strike w:val="0"/>
          <w:u w:val="none"/>
          <w:shd w:fill="auto" w:val="clear"/>
          <w:vertAlign w:val="baseline"/>
          <w:rtl w:val="0"/>
        </w:rPr>
        <w:t xml:space="preserve"> El costo de entrenamiento pudo evitarse, pero el costo de validación permaneció.</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Esa sensibilidad también alcanzó al vocabulario del núcleo. Con gdino-base-560, E-IND y las demás condiciones constantes, añadir la consulta de cabeza descubierta </w:t>
      </w:r>
      <w:r w:rsidDel="00000000" w:rsidR="00000000" w:rsidRPr="00000000">
        <w:rPr>
          <w:rtl w:val="0"/>
        </w:rPr>
        <w:t xml:space="preserve">redujo el F1 temporal de 0,704 a 0,622 en ese bloque</w:t>
      </w:r>
      <w:r w:rsidDel="00000000" w:rsidR="00000000" w:rsidRPr="00000000">
        <w:rPr>
          <w:i w:val="0"/>
          <w:iCs w:val="0"/>
          <w:smallCaps w:val="0"/>
          <w:strike w:val="0"/>
          <w:u w:val="none"/>
          <w:shd w:fill="auto" w:val="clear"/>
          <w:vertAlign w:val="baseline"/>
          <w:rtl w:val="0"/>
        </w:rPr>
        <w:t xml:space="preserve">. El resultado demuestra que ampliar el vocabulario puede modificar detecciones de otras clases y degradar una decisión posterior. No reemplaza el ensayo factorial de vocabulario aislado frente a completo que el protocolo contempló y no se ejecutó.</w:t>
      </w:r>
    </w:p>
    <w:p w:rsidR="00000000" w:rsidDel="00000000" w:rsidP="00000000" w:rsidRDefault="00000000" w:rsidRPr="00000000" w14:paraId="00000022">
      <w:pPr>
        <w:pStyle w:val="Heading2"/>
        <w:spacing w:after="0" w:before="0" w:line="480" w:lineRule="auto"/>
        <w:rPr/>
      </w:pPr>
      <w:r w:rsidDel="00000000" w:rsidR="00000000" w:rsidRPr="00000000">
        <w:rPr>
          <w:rtl w:val="0"/>
        </w:rPr>
        <w:t xml:space="preserve">18.3. Aporte temporal de la plataforma y cambio de régimen en obra real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separación entre detección y alerta permitió medir el aporte de la asociación temporal sin volver a entrenar ni ejecutar otro detector. </w:t>
      </w:r>
      <w:r w:rsidDel="00000000" w:rsidR="00000000" w:rsidRPr="00000000">
        <w:rPr>
          <w:rtl w:val="0"/>
        </w:rPr>
        <w:t xml:space="preserve">En el rodaje, cambiar de escena a sujeto produjo, con detecciones idénticas, el salto de F1 citado en la sección 18.1.</w:t>
      </w:r>
      <w:r w:rsidDel="00000000" w:rsidR="00000000" w:rsidRPr="00000000">
        <w:rPr>
          <w:i w:val="0"/>
          <w:iCs w:val="0"/>
          <w:smallCaps w:val="0"/>
          <w:strike w:val="0"/>
          <w:u w:val="none"/>
          <w:shd w:fill="auto" w:val="clear"/>
          <w:vertAlign w:val="baseline"/>
          <w:rtl w:val="0"/>
        </w:rPr>
        <w:t xml:space="preserve"> La diferencia conservó signo positivo e intervalos que excluyeron el cero en las cuatro cadencias de remuestreo regular de la sección 17.5.5. La mejora de las alertas por identidad temporal queda establecida dentro de ese bloque y ese procedimiento; </w:t>
      </w:r>
      <w:del w:id="9032" w:author="Claude" w:date="2026-09-12T23:00:00Z">
        <w:r w:rsidDel="00000000" w:rsidR="00000000" w:rsidRPr="00000000">
          <w:rPr>
            <w:i w:val="0"/>
            <w:iCs w:val="0"/>
            <w:smallCaps w:val="0"/>
            <w:strike w:val="0"/>
            <w:u w:val="none"/>
            <w:shd w:fill="auto" w:val="clear"/>
            <w:vertAlign w:val="baseline"/>
            <w:rtl w:val="0"/>
          </w:rPr>
          <w:delText xml:space="preserve">no equivale a una evaluación MOT del tracker ni a una garantía de conservación de identidades en cualquier escena.</w:delText>
        </w:r>
      </w:del>
      <w:ins w:id="9033" w:author="Claude" w:date="2026-09-12T23:00:00Z">
        <w:r>
          <w:rPr>
            <w:rtl w:val="0"/>
          </w:rPr>
          <w:t xml:space="preserve">no equivale a </w:t>
        </w:r>
        <w:commentRangeStart w:id="22"/>
        <w:r>
          <w:rPr>
            <w:rtl w:val="0"/>
          </w:rPr>
          <w:t xml:space="preserve">una evaluación formal de seguimiento multiobjeto</w:t>
        </w:r>
        <w:commentRangeEnd w:id="22"/>
        <w:r>
          <w:rPr>
            <w:rtl w:val="0"/>
          </w:rPr>
          <w:commentReference w:id="22"/>
        </w:r>
        <w:r>
          <w:rPr>
            <w:rtl w:val="0"/>
          </w:rPr>
          <w:t xml:space="preserve"> ni a una garantía de conservación de identidades en cualquier escena.</w:t>
        </w:r>
      </w:ins>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persistencia temporal permitió confirmar una condición </w:t>
      </w:r>
      <w:r w:rsidDel="00000000" w:rsidR="00000000" w:rsidRPr="00000000">
        <w:rPr>
          <w:rtl w:val="0"/>
        </w:rPr>
        <w:t xml:space="preserve">aún</w:t>
      </w:r>
      <w:r w:rsidDel="00000000" w:rsidR="00000000" w:rsidRPr="00000000">
        <w:rPr>
          <w:i w:val="0"/>
          <w:iCs w:val="0"/>
          <w:smallCaps w:val="0"/>
          <w:strike w:val="0"/>
          <w:u w:val="none"/>
          <w:shd w:fill="auto" w:val="clear"/>
          <w:vertAlign w:val="baseline"/>
          <w:rtl w:val="0"/>
        </w:rPr>
        <w:t xml:space="preserve"> con evidencia intermitente. Para CR-02, E-IND con granularidad por escena recuperó los siete episodios evaluables del rodaje, con recall de 1,000 y SDR de 0,281. El resultado establece que, bajo las ventanas configuradas y esa cadencia, la confirmación temporal pudo sostenerse sin detección correcta continua. No significa que la histéresis recupere información ausente: el costo y el límite de esa recuperación dependen de que exista evidencia suficiente y oportuna.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fusión por disyunción refutó una expectativa del propio diseño experimental. </w:t>
      </w:r>
      <w:r w:rsidDel="00000000" w:rsidR="00000000" w:rsidRPr="00000000">
        <w:rPr>
          <w:rtl w:val="0"/>
        </w:rPr>
        <w:t xml:space="preserve">En ese bloque, el recall pasó</w:t>
      </w:r>
      <w:r w:rsidDel="00000000" w:rsidR="00000000" w:rsidRPr="00000000">
        <w:rPr>
          <w:i w:val="0"/>
          <w:iCs w:val="0"/>
          <w:smallCaps w:val="0"/>
          <w:strike w:val="0"/>
          <w:u w:val="none"/>
          <w:shd w:fill="auto" w:val="clear"/>
          <w:vertAlign w:val="baseline"/>
          <w:rtl w:val="0"/>
        </w:rPr>
        <w:t xml:space="preserve"> de 0,824 con E-IND a 0,353 con E-HYB por disyunción. Incorporar evidencia adicional no aseguró una mejora de la alerta, porque la confirmación pudo adelantarse respecto de la ventana de referencia y perjudicar la correspondencia temporal del episodio. </w:t>
      </w:r>
      <w:r w:rsidDel="00000000" w:rsidR="00000000" w:rsidRPr="00000000">
        <w:rPr>
          <w:rtl w:val="0"/>
        </w:rPr>
        <w:t xml:space="preserve">La refutación es establecida para esa regla de fusión y no se extiende a la variante por conjunción, que no se ejecutó. El rendimiento de una composición temporal no puede deducirse de la unión de detecciones por imagen.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estrato de obra real impidió generalizar el resultado favorable del rodaje. Tras la revisión de su referencia, quedaron dos episodios evaluables y once clips negativos. En estos últimos se registraron 26 falsos positivos por escena y 323 por sujeto. Ese contraste caracteriza una asimetría de falsas alertas sobre material común; los dos episodios positivos no permiten ordenar las granularidades por F1. La misma capacidad de mantener estados por sujeto que fue útil en el rodaje pudo multiplicar oportunidades de confirmación errónea bajo fragmentación y dificultades perceptivas.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1735086540"/>
          <w:tag w:val="goog_rdk_9"/>
        </w:sdtPr>
        <w:sdtContent>
          <w:commentRangeStart w:id="9"/>
        </w:sdtContent>
      </w:sdt>
      <w:del w:id="9034" w:author="Claude" w:date="2026-09-12T23:00:00Z">
        <w:r w:rsidDel="00000000" w:rsidR="00000000" w:rsidRPr="00000000">
          <w:rPr>
            <w:i w:val="0"/>
            <w:iCs w:val="0"/>
            <w:smallCaps w:val="0"/>
            <w:strike w:val="0"/>
            <w:u w:val="none"/>
            <w:shd w:fill="auto" w:val="clear"/>
            <w:vertAlign w:val="baseline"/>
            <w:rtl w:val="0"/>
          </w:rPr>
          <w:delText xml:space="preserve">La evaluación intermedia sobre 17 clips de obra real —los 13 del estrato temporal y cuatro de un piloto— corroboró la necesidad de conservar esa frontera. </w:delText>
        </w:r>
      </w:del>
      <w:del w:id="9035" w:author="Claude" w:date="2026-09-12T23:00:00Z">
        <w:r w:rsidDel="00000000" w:rsidR="00000000" w:rsidRPr="00000000">
          <w:rPr>
            <w:rtl w:val="0"/>
          </w:rPr>
          <w:delText xml:space="preserve">Con E-IND a 2 Hz y sin motor temporal, CR-01 obtuvo F1 de 0,031 y CR-02 de 0,018, sobre más de diez mil cuadros con persona juzgables en cada condición. La precisión, inferior a 0,02 en ambas, fue la principal restricción.</w:delText>
        </w:r>
      </w:del>
      <w:del w:id="9036" w:author="Claude" w:date="2026-09-12T23:00:00Z">
        <w:r w:rsidDel="00000000" w:rsidR="00000000" w:rsidRPr="00000000">
          <w:rPr>
            <w:i w:val="0"/>
            <w:iCs w:val="0"/>
            <w:smallCaps w:val="0"/>
            <w:strike w:val="0"/>
            <w:u w:val="none"/>
            <w:shd w:fill="auto" w:val="clear"/>
            <w:vertAlign w:val="baseline"/>
            <w:rtl w:val="0"/>
          </w:rPr>
          <w:delText xml:space="preserve"> Esta evidencia no valida un uso operativo en obra real: delimita la distancia entre una condición visualmente formulable, una condición anotable y una condición correctamente reconocida por el sistema.</w:delText>
        </w:r>
      </w:del>
      <w:ins w:id="9037" w:author="Claude" w:date="2026-09-12T23:00:00Z">
        <w:commentRangeStart w:id="23"/>
        <w:r>
          <w:rPr>
            <w:rtl w:val="0"/>
          </w:rPr>
          <w:t xml:space="preserve">En el nivel de estado por persona, medido cuadro a cuadro</w:t>
        </w:r>
        <w:commentRangeEnd w:id="23"/>
        <w:r>
          <w:rPr>
            <w:rtl w:val="0"/>
          </w:rPr>
          <w:commentReference w:id="23"/>
        </w:r>
        <w:r>
          <w:rPr>
            <w:rtl w:val="0"/>
          </w:rPr>
          <w:t xml:space="preserve"> y sin motor temporal sobre 17 clips de obra real —los 13 del lote de obra real del banco temporal y cuatro de un piloto anterior—, el F1 cayó a 0,031 para CR-01 y a 0,018 para CR-02, con E-IND a dos cuadros por segundo y sobre más de diez mil cuadros con persona en cada condición (sección 17.5.3). La caída provino de la precisión, inferior a 0,02: el detector emitió la condición sobre personas cuyo estado el anotador humano no podía determinar, y cada una de esas predicciones contó como falso positivo. En obra real, la distancia mayor no está entre formular la condición en lenguaje y detectarla, sino entre detectarla y que la escena permita observarla.</w:t>
        </w:r>
      </w:ins>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Tampoco el control de negativos del rodaje permite sostener una cota horaria. </w:t>
      </w:r>
      <w:r w:rsidDel="00000000" w:rsidR="00000000" w:rsidRPr="00000000">
        <w:rPr>
          <w:rtl w:val="0"/>
        </w:rPr>
        <w:t xml:space="preserve">En el único clip negativo continuo de obra real, de 6 minutos y 9,6 segundos, las tasas derivadas fueron 29,2 falsas alertas por hora con granularidad de escena y 1.850,8 por sujeto.</w:t>
      </w:r>
      <w:r w:rsidDel="00000000" w:rsidR="00000000" w:rsidRPr="00000000">
        <w:rPr>
          <w:i w:val="0"/>
          <w:iCs w:val="0"/>
          <w:smallCaps w:val="0"/>
          <w:strike w:val="0"/>
          <w:u w:val="none"/>
          <w:shd w:fill="auto" w:val="clear"/>
          <w:vertAlign w:val="baseline"/>
          <w:rtl w:val="0"/>
        </w:rPr>
        <w:t xml:space="preserve"> La duración observada, no una hora de exposición, es el respaldo de esas tasas. El resultado mantiene la limitación de exposición de la sección 17.5.7 y no autoriza una promesa de falsas alarmas máximas.</w:t>
      </w:r>
    </w:p>
    <w:p w:rsidR="00000000" w:rsidDel="00000000" w:rsidP="00000000" w:rsidRDefault="00000000" w:rsidRPr="00000000" w14:paraId="00000029">
      <w:pPr>
        <w:pStyle w:val="Heading2"/>
        <w:spacing w:after="0" w:before="0" w:line="480" w:lineRule="auto"/>
        <w:rPr/>
      </w:pPr>
      <w:r w:rsidDel="00000000" w:rsidR="00000000" w:rsidRPr="00000000">
        <w:rPr>
          <w:rtl w:val="0"/>
        </w:rPr>
        <w:t xml:space="preserve">18.4. Funcionamiento en vivo y restricciones de oportunidad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41899895"/>
          <w:tag w:val="goog_rdk_10"/>
        </w:sdtPr>
        <w:sdtContent>
          <w:commentRangeStart w:id="10"/>
        </w:sdtContent>
      </w:sdt>
      <w:del w:id="9038" w:author="Claude" w:date="2026-09-12T23:00:00Z">
        <w:r w:rsidDel="00000000" w:rsidR="00000000" w:rsidRPr="00000000">
          <w:rPr>
            <w:i w:val="0"/>
            <w:iCs w:val="0"/>
            <w:smallCaps w:val="0"/>
            <w:strike w:val="0"/>
            <w:u w:val="none"/>
            <w:shd w:fill="auto" w:val="clear"/>
            <w:vertAlign w:val="baseline"/>
            <w:rtl w:val="0"/>
          </w:rPr>
          <w:delText xml:space="preserve">El funcionamiento en vivo quedó demostrado, pero no se identificó con el cumplimiento del presupuesto de latencia. Con gdino-tiny-560 y OAK-D, el p95 del tramo entre el dequeue y la finalización de la inferencia </w:delText>
        </w:r>
      </w:del>
      <w:del w:id="9039" w:author="Claude" w:date="2026-09-12T23:00:00Z">
        <w:r w:rsidDel="00000000" w:rsidR="00000000" w:rsidRPr="00000000">
          <w:rPr>
            <w:rtl w:val="0"/>
          </w:rPr>
          <w:delText xml:space="preserve">se ubicó entre 630 y 890 ms en tres corridas</w:delText>
        </w:r>
      </w:del>
      <w:del w:id="9040" w:author="Claude" w:date="2026-09-12T23:00:00Z">
        <w:r w:rsidDel="00000000" w:rsidR="00000000" w:rsidRPr="00000000">
          <w:rPr>
            <w:i w:val="0"/>
            <w:iCs w:val="0"/>
            <w:smallCaps w:val="0"/>
            <w:strike w:val="0"/>
            <w:u w:val="none"/>
            <w:shd w:fill="auto" w:val="clear"/>
            <w:vertAlign w:val="baseline"/>
            <w:rtl w:val="0"/>
          </w:rPr>
          <w:delText xml:space="preserve">. Esos valores excedieron el presupuesto de referencia. No son una medición desde el sensor: la captura hasta el dequeue se instrumentó por separado para OAK-D, mientras que ese tramo no se midió para RTSP.</w:delText>
        </w:r>
      </w:del>
      <w:ins w:id="9041" w:author="Claude" w:date="2026-09-12T23:00:00Z">
        <w:r>
          <w:rPr>
            <w:rtl w:val="0"/>
          </w:rPr>
          <w:t xml:space="preserve">El funcionamiento en vivo quedó demostrado, pero no dentro del presupuesto de latencia. La sección 17.1.7 había estimado </w:t>
        </w:r>
        <w:commentRangeStart w:id="24"/>
        <w:r>
          <w:rPr>
            <w:rtl w:val="0"/>
          </w:rPr>
          <w:t xml:space="preserve">hasta 250 ms por unidad procesada</w:t>
        </w:r>
        <w:commentRangeEnd w:id="24"/>
        <w:r>
          <w:rPr>
            <w:rtl w:val="0"/>
          </w:rPr>
          <w:commentReference w:id="24"/>
        </w:r>
        <w:r>
          <w:rPr>
            <w:rtl w:val="0"/>
          </w:rPr>
          <w:t xml:space="preserve"> para el tramo que va desde la salida del cuadro de la cola hasta el fin de la inferencia; con gdino-tiny-560 sobre la OAK-D, el p95 de ese tramo se ubicó entre 630 y 890 ms en tres corridas, entre 2,5 y 3,6 veces el presupuesto. El exceso es del detector y no de la cadena: la misma plataforma con inferencia simulada resolvió el tramo en 31,8 ms p95. Ninguna de estas cifras mide desde el sensor: la captura hasta la cola se instrumentó por separado para OAK-D y no se midió para RTSP.</w:t>
        </w:r>
      </w:ins>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el rodaje en vivo, CR-01 produjo siete confirmaciones legítimas entre 4,1 y 4,6 segundos para una ventana de 4 segundos; CR-02 produjo tres desde 7,1 segundos para una ventana de 7 segundos. Estas observaciones respaldan el funcionamiento temporal del patrón bajo la configuración ensayada. No convierten el tiempo de inferencia en latencia completa de alerta ni demuestran una equivalencia cuantitativa entre captura en vivo y procesamiento diferido del mismo episodio.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042" w:author="Claude" w:date="2026-09-12T23:00:00Z">
        <w:r w:rsidDel="00000000" w:rsidR="00000000" w:rsidRPr="00000000">
          <w:rPr>
            <w:i w:val="0"/>
            <w:iCs w:val="0"/>
            <w:smallCaps w:val="0"/>
            <w:strike w:val="0"/>
            <w:u w:val="none"/>
            <w:shd w:fill="auto" w:val="clear"/>
            <w:vertAlign w:val="baseline"/>
            <w:rtl w:val="0"/>
          </w:rPr>
          <w:delText xml:space="preserve">El remuestreo regular permitió examinar el efecto de disponer de menos evidencia temporal sin cambiar las detecciones originales. En los 34 episodios evaluables del rodaje, el F1 por escena fue</w:delText>
        </w:r>
      </w:del>
      <w:sdt>
        <w:sdtPr>
          <w:id w:val="-1313695741"/>
          <w:tag w:val="goog_rdk_11"/>
        </w:sdtPr>
        <w:sdtContent>
          <w:commentRangeStart w:id="11"/>
        </w:sdtContent>
      </w:sdt>
      <w:del w:id="9043" w:author="Claude" w:date="2026-09-12T23:00:00Z">
        <w:r w:rsidDel="00000000" w:rsidR="00000000" w:rsidRPr="00000000">
          <w:rPr>
            <w:i w:val="0"/>
            <w:iCs w:val="0"/>
            <w:smallCaps w:val="0"/>
            <w:strike w:val="0"/>
            <w:u w:val="none"/>
            <w:shd w:fill="auto" w:val="clear"/>
            <w:vertAlign w:val="baseline"/>
            <w:rtl w:val="0"/>
          </w:rPr>
          <w:delText xml:space="preserve"> 0,789 a 30 FPS</w:delText>
        </w:r>
      </w:del>
      <w:commentRangeEnd w:id="11"/>
      <w:r w:rsidDel="00000000" w:rsidR="00000000" w:rsidRPr="00000000">
        <w:commentReference w:id="11"/>
      </w:r>
      <w:del w:id="9044" w:author="Claude" w:date="2026-09-12T23:00:00Z">
        <w:r w:rsidDel="00000000" w:rsidR="00000000" w:rsidRPr="00000000">
          <w:rPr>
            <w:i w:val="0"/>
            <w:iCs w:val="0"/>
            <w:smallCaps w:val="0"/>
            <w:strike w:val="0"/>
            <w:u w:val="none"/>
            <w:shd w:fill="auto" w:val="clear"/>
            <w:vertAlign w:val="baseline"/>
            <w:rtl w:val="0"/>
          </w:rPr>
          <w:delText xml:space="preserve">, 0,794 a 4,29 FPS, 0,738 a 2 FPS y 0,646 a 1,15 FPS.</w:delText>
        </w:r>
      </w:del>
      <w:ins w:id="9045" w:author="Claude" w:date="2026-09-12T23:00:00Z">
        <w:r>
          <w:rPr>
            <w:rtl w:val="0"/>
          </w:rPr>
          <w:t xml:space="preserve">El remuestreo regular permitió examinar el efecto de disponer de menos evidencia temporal sin cambiar las detecciones originales. El banco se evaluó en diferido </w:t>
        </w:r>
        <w:commentRangeStart w:id="25"/>
        <w:r>
          <w:rPr>
            <w:rtl w:val="0"/>
          </w:rPr>
          <w:t xml:space="preserve">a la cadencia completa del material grabado, 30 fps</w:t>
        </w:r>
        <w:commentRangeEnd w:id="25"/>
        <w:r>
          <w:rPr>
            <w:rtl w:val="0"/>
          </w:rPr>
          <w:commentReference w:id="25"/>
        </w:r>
        <w:r>
          <w:rPr>
            <w:rtl w:val="0"/>
          </w:rPr>
          <w:t xml:space="preserve">, mientras que el camino en vivo entregó entre 1,16 y 4,42 fps; para cubrir esa franja, los 34 episodios evaluables del rodaje se remuestrearon de manera pareada, y el F1 por escena fue 0,789 a 30 fps, 0,794 a 4,29, 0,738 a 2 y 0,646 a 1,15 fps.</w:t>
        </w:r>
      </w:ins>
      <w:r w:rsidDel="00000000" w:rsidR="00000000" w:rsidRPr="00000000">
        <w:rPr>
          <w:i w:val="0"/>
          <w:iCs w:val="0"/>
          <w:smallCaps w:val="0"/>
          <w:strike w:val="0"/>
          <w:u w:val="none"/>
          <w:shd w:fill="auto" w:val="clear"/>
          <w:vertAlign w:val="baseline"/>
          <w:rtl w:val="0"/>
        </w:rPr>
        <w:t xml:space="preserve"> Las diferencias agregadas respecto de la cadencia completa no excluyeron el cero: se interpretan como una tendencia con un mecanismo plausible, no como un efecto agregado establecido. En el subconjunto de mayor dificultad, de cinco episodios, la pérdida de recuperación al reducir la cadencia aportó evidencia direccional, cuyo tamaño no permite extrapolar una curva general.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granularidad por sujeto mantuvo una ventaja dentro de cada cadencia, </w:t>
      </w:r>
      <w:r w:rsidDel="00000000" w:rsidR="00000000" w:rsidRPr="00000000">
        <w:rPr>
          <w:rtl w:val="0"/>
        </w:rPr>
        <w:t xml:space="preserve">pero el contraste cruzado entre cadencias distintas no es concluyente. Tampoco corresponde comparar SDR entre cadencias, porque cambia el instrumento con el que se observa la continuidad de la evidencia.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distribución completó un tramo externo verificable. El p95 entre el bus de alertas y la confirmación MQTT fue 64,534 ms sobre 460 entregas en vivo, y 102,025 ms en el régimen sostenido, sobre 104 entregas. El resultado establece el desempeño de ese tramo bajo las condiciones ensayadas. No mide recepción consciente por un operador, respuesta humana ni reducción de accidentes. Sus percentiles no se suman a los de captura o inferencia para fabricar una latencia extremo a extremo que no se midió.</w:t>
      </w:r>
    </w:p>
    <w:p w:rsidR="00000000" w:rsidDel="00000000" w:rsidP="00000000" w:rsidRDefault="00000000" w:rsidRPr="00000000" w14:paraId="0000002F">
      <w:pPr>
        <w:pStyle w:val="Heading2"/>
        <w:spacing w:after="0" w:before="0" w:line="480" w:lineRule="auto"/>
        <w:rPr/>
      </w:pPr>
      <w:sdt>
        <w:sdtPr>
          <w:id w:val="1450418998"/>
          <w:tag w:val="goog_rdk_12"/>
        </w:sdtPr>
        <w:sdtContent>
          <w:commentRangeStart w:id="12"/>
        </w:sdtContent>
      </w:sdt>
      <w:r w:rsidDel="00000000" w:rsidR="00000000" w:rsidRPr="00000000">
        <w:rPr>
          <w:rtl w:val="0"/>
        </w:rPr>
        <w:t xml:space="preserve">18.5. Interpretación de la rama de ajuste fino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046" w:author="Claude" w:date="2026-09-12T23:00:00Z">
        <w:r w:rsidDel="00000000" w:rsidR="00000000" w:rsidRPr="00000000">
          <w:rPr>
            <w:i w:val="0"/>
            <w:iCs w:val="0"/>
            <w:smallCaps w:val="0"/>
            <w:strike w:val="0"/>
            <w:u w:val="none"/>
            <w:shd w:fill="auto" w:val="clear"/>
            <w:vertAlign w:val="baseline"/>
            <w:rtl w:val="0"/>
          </w:rPr>
          <w:delText xml:space="preserve">La literatura de adaptación advierte que modificar pesos puede deteriorar representaciones útiles fuera del dominio de ajuste y que el efecto depende de qué parámetros se actualicen (Kumar et al., 2022; Lee et al., 2023). Ese antecedente justifica evaluar ganancia y retención por separado; no anticipa el resultado de una receta concreta sobre el material del proyecto.</w:delText>
        </w:r>
      </w:del>
      <w:ins w:id="9047" w:author="Claude" w:date="2026-09-12T23:00:00Z">
        <w:r>
          <w:rPr>
            <w:rtl w:val="0"/>
          </w:rPr>
          <w:t xml:space="preserve">La rama de ajuste fino se ejecutó como comparación separada del núcleo, sobre YOLOE-26s, con una línea base sin entrenar, criterios de ganancia y de retención fijados antes de medir y una secuencia de autorizaciones que mantuvo distinguibles las decisiones anteriores y posteriores a cada resultado. Fue una escalera de tres tramos, </w:t>
        </w:r>
        <w:commentRangeStart w:id="26"/>
        <w:r>
          <w:rPr>
            <w:rtl w:val="0"/>
          </w:rPr>
          <w:t xml:space="preserve">que aquí se numeran para poder seguirlos</w:t>
        </w:r>
        <w:commentRangeEnd w:id="26"/>
        <w:r>
          <w:rPr>
            <w:rtl w:val="0"/>
          </w:rPr>
          <w:commentReference w:id="26"/>
        </w:r>
        <w:r>
          <w:rPr>
            <w:rtl w:val="0"/>
          </w:rPr>
          <w:t xml:space="preserve">: el primer tramo entrenó sólo la capa de proyección de clases; el segundo liberó más capacidad, hasta 10,35 millones de parámetros entrenables; el tercero preveía ajustar una variante entrenable de la familia Grounding DINO. El entrenamiento usó 2.946 imágenes de construction_site_safety y ppe_siabar, con 483 de validación; CHV quedó fuera para no compartir fuentes con el banco de evaluación.</w:t>
        </w:r>
      </w:ins>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048" w:author="Claude" w:date="2026-09-12T23:00:00Z">
        <w:r w:rsidDel="00000000" w:rsidR="00000000" w:rsidRPr="00000000">
          <w:rPr>
            <w:i w:val="0"/>
            <w:iCs w:val="0"/>
            <w:smallCaps w:val="0"/>
            <w:strike w:val="0"/>
            <w:u w:val="none"/>
            <w:shd w:fill="auto" w:val="clear"/>
            <w:vertAlign w:val="baseline"/>
            <w:rtl w:val="0"/>
          </w:rPr>
          <w:delText xml:space="preserve">La rama de ajuste fino no modificó la conclusión sobre el núcleo sin entrenamiento. Se ejecutó como comparación separada sobre YOLOE-26s, con una línea base explícita, criterios previos de ganancia y retención, y una secuencia de autorizaciones que mantuvo distinguibles las decisiones anteriores y posteriores a cada resultado. </w:delText>
        </w:r>
      </w:del>
      <w:del w:id="9049" w:author="Claude" w:date="2026-09-12T23:00:00Z">
        <w:r w:rsidDel="00000000" w:rsidR="00000000" w:rsidRPr="00000000">
          <w:rPr>
            <w:rtl w:val="0"/>
          </w:rPr>
          <w:delText xml:space="preserve">Los dos tramos entrenados produjeron veredictos negativos de adopción y el tercero quedó cerrado por las condiciones de activación y de linaje.</w:delText>
        </w:r>
      </w:del>
      <w:del w:id="9050" w:author="Claude" w:date="2026-09-12T23:00:00Z">
        <w:r w:rsidDel="00000000" w:rsidR="00000000" w:rsidRPr="00000000">
          <w:rPr>
            <w:i w:val="0"/>
            <w:iCs w:val="0"/>
            <w:smallCaps w:val="0"/>
            <w:strike w:val="0"/>
            <w:u w:val="none"/>
            <w:shd w:fill="auto" w:val="clear"/>
            <w:vertAlign w:val="baseline"/>
            <w:rtl w:val="0"/>
          </w:rPr>
          <w:delText xml:space="preserve"> Ningún checkpoint ajustado se adoptó.</w:delText>
        </w:r>
      </w:del>
      <w:ins w:id="9051" w:author="Claude" w:date="2026-09-12T23:00:00Z">
        <w:r>
          <w:rPr>
            <w:rtl w:val="0"/>
          </w:rPr>
          <w:t xml:space="preserve">Ningún tramo produjo un checkpoint adoptable. El primero no alcanzó la ganancia exigida en cabeza descubierta y perdió retención de la clase persona. El segundo superó el criterio de ganancia en cabeza descubierta, pero falló las dos retenciones: la del dominio y la de vocabulario abierto, donde la métrica de retención sobre las 5.000 imágenes de validación de COCO 2017 pasó de 0,4347 a 0,1247, una caída del 71,3 %; además, su entrenamiento se detuvo en la época 16 de 60 y el mejor punto había quedado en la primera. El tercero no llegó a entrenarse: no se cumplieron las condiciones de activación de la escalera y la variante entrenable no preservaba el linaje del perfil desplegado; el checkpoint publicado de su versión tiny reprodujo además una anomalía geométrica ajena al proyecto, que reforzó el cierre sin atribuirse al adaptador propio ni extenderse a toda la familia.</w:t>
        </w:r>
      </w:ins>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052" w:author="Claude" w:date="2026-09-12T23:00:00Z">
        <w:r w:rsidDel="00000000" w:rsidR="00000000" w:rsidRPr="00000000">
          <w:rPr>
            <w:i w:val="0"/>
            <w:iCs w:val="0"/>
            <w:smallCaps w:val="0"/>
            <w:strike w:val="0"/>
            <w:u w:val="none"/>
            <w:shd w:fill="auto" w:val="clear"/>
            <w:vertAlign w:val="baseline"/>
            <w:rtl w:val="0"/>
          </w:rPr>
          <w:delText xml:space="preserve">La curva de línea base, ajuste de la proyección de clases y ajuste de mayor capacidad mostró que recuperar una clase no basta para justificar una variante. </w:delText>
        </w:r>
      </w:del>
      <w:del w:id="9053" w:author="Claude" w:date="2026-09-12T23:00:00Z">
        <w:r w:rsidDel="00000000" w:rsidR="00000000" w:rsidRPr="00000000">
          <w:rPr>
            <w:rtl w:val="0"/>
          </w:rPr>
          <w:delText xml:space="preserve">En el ajuste de la proyección de clases no se alcanzó la ganancia exigida y se incumplió la retención de persona. En el de mayor capacidad se superó el criterio de ganancia de cabeza descubierta, pero fallaron las retenciones del dominio y de vocabulario abierto. Estos veredictos se establecieron sobre el protocolo de la rama, cuyo banco de dominio fue el mismo de la sección 17.5.2.</w:delText>
        </w:r>
      </w:del>
      <w:del w:id="9054" w:author="Claude" w:date="2026-09-12T23:00:00Z">
        <w:r w:rsidDel="00000000" w:rsidR="00000000" w:rsidRPr="00000000">
          <w:rPr>
            <w:i w:val="0"/>
            <w:iCs w:val="0"/>
            <w:smallCaps w:val="0"/>
            <w:strike w:val="0"/>
            <w:u w:val="none"/>
            <w:shd w:fill="auto" w:val="clear"/>
            <w:vertAlign w:val="baseline"/>
            <w:rtl w:val="0"/>
          </w:rPr>
          <w:delText xml:space="preserve"> No </w:delText>
        </w:r>
      </w:del>
      <w:del w:id="9055" w:author="Claude" w:date="2026-09-12T23:00:00Z">
        <w:r w:rsidDel="00000000" w:rsidR="00000000" w:rsidRPr="00000000">
          <w:rPr>
            <w:rtl w:val="0"/>
          </w:rPr>
          <w:delText xml:space="preserve">implica</w:delText>
        </w:r>
      </w:del>
      <w:del w:id="9056" w:author="Claude" w:date="2026-09-12T23:00:00Z">
        <w:r w:rsidDel="00000000" w:rsidR="00000000" w:rsidRPr="00000000">
          <w:rPr>
            <w:i w:val="0"/>
            <w:iCs w:val="0"/>
            <w:smallCaps w:val="0"/>
            <w:strike w:val="0"/>
            <w:u w:val="none"/>
            <w:shd w:fill="auto" w:val="clear"/>
            <w:vertAlign w:val="baseline"/>
            <w:rtl w:val="0"/>
          </w:rPr>
          <w:delText xml:space="preserve"> que ambos ajustes mejoraran o empeoraran de igual manera todas las fuentes ni que exista una variante ajustada superior según una única métrica.</w:delText>
        </w:r>
      </w:del>
      <w:ins w:id="9057" w:author="Claude" w:date="2026-09-12T23:00:00Z">
        <w:r>
          <w:rPr>
            <w:rtl w:val="0"/>
          </w:rPr>
          <w:t xml:space="preserve">Estos veredictos se establecieron sobre el protocolo de la rama y el banco de dominio de la sección 17.5.2; no implican que ambos ajustes hayan afectado por igual a todas las fuentes ni que exista una variante ajustada superior según una única métrica. Lo que sí muestran es que, con ese volumen de datos, subir la capacidad no resolvió la adopción: el límite fue la relación entre datos y retención, no la cantidad de parámetros, y el resultado del primer tramo no puede reducirse a falta de capacidad. La literatura de adaptación anticipaba el mecanismo, porque modificar pesos puede degradar representaciones útiles fuera del dominio de ajuste según qué parámetros se actualicen (Kumar et al., 2022; Lee et al., 2023), pero no el resultado de esta receta sobre este material. Tampoco demuestra que todo método de adaptación falle con ese volumen: no se exploró una tasa de aprendizaje intermedia ni la familia de técnicas eficientes en parámetros.</w:t>
        </w:r>
      </w:ins>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058" w:author="Claude" w:date="2026-09-12T23:00:00Z">
        <w:r w:rsidDel="00000000" w:rsidR="00000000" w:rsidRPr="00000000">
          <w:rPr>
            <w:i w:val="0"/>
            <w:iCs w:val="0"/>
            <w:smallCaps w:val="0"/>
            <w:strike w:val="0"/>
            <w:u w:val="none"/>
            <w:shd w:fill="auto" w:val="clear"/>
            <w:vertAlign w:val="baseline"/>
            <w:rtl w:val="0"/>
          </w:rPr>
          <w:delText xml:space="preserve">La medición de retención abierta aporta un resultado especialmente claro y separado del banco de construcción. En COCO 2017 de validación, con 5.000 imágenes, la métrica de retención pasó </w:delText>
        </w:r>
      </w:del>
      <w:del w:id="9059" w:author="Claude" w:date="2026-09-12T23:00:00Z">
        <w:r w:rsidDel="00000000" w:rsidR="00000000" w:rsidRPr="00000000">
          <w:rPr>
            <w:rtl w:val="0"/>
          </w:rPr>
          <w:delText xml:space="preserve">de 0,4347 a 0,1247 en ese tramo</w:delText>
        </w:r>
      </w:del>
      <w:del w:id="9060" w:author="Claude" w:date="2026-09-12T23:00:00Z">
        <w:r w:rsidDel="00000000" w:rsidR="00000000" w:rsidRPr="00000000">
          <w:rPr>
            <w:i w:val="0"/>
            <w:iCs w:val="0"/>
            <w:smallCaps w:val="0"/>
            <w:strike w:val="0"/>
            <w:u w:val="none"/>
            <w:shd w:fill="auto" w:val="clear"/>
            <w:vertAlign w:val="baseline"/>
            <w:rtl w:val="0"/>
          </w:rPr>
          <w:delText xml:space="preserve">, una reducción del 71,3 %. La recuperación de la clase objetivo no compensó esa pérdida bajo la regla de aceptación. Además, </w:delText>
        </w:r>
      </w:del>
      <w:del w:id="9061" w:author="Claude" w:date="2026-09-12T23:00:00Z">
        <w:r w:rsidDel="00000000" w:rsidR="00000000" w:rsidRPr="00000000">
          <w:rPr>
            <w:rtl w:val="0"/>
          </w:rPr>
          <w:delText xml:space="preserve">el checkpoint evaluado provino</w:delText>
        </w:r>
      </w:del>
      <w:del w:id="9062" w:author="Claude" w:date="2026-09-12T23:00:00Z">
        <w:r w:rsidDel="00000000" w:rsidR="00000000" w:rsidRPr="00000000">
          <w:rPr>
            <w:i w:val="0"/>
            <w:iCs w:val="0"/>
            <w:smallCaps w:val="0"/>
            <w:strike w:val="0"/>
            <w:u w:val="none"/>
            <w:shd w:fill="auto" w:val="clear"/>
            <w:vertAlign w:val="baseline"/>
            <w:rtl w:val="0"/>
          </w:rPr>
          <w:delText xml:space="preserve"> de una ejecución detenida anticipadamente en la época 16 de 60, cuyo mejor punto había quedado en la primera época. La latencia de los checkpoints ajustados no se midió, y no se infieren efectos sobre clips o captura en vivo porque sólo se evaluaron sobre imágenes.</w:delText>
        </w:r>
      </w:del>
      <w:ins w:id="9063" w:author="Claude" w:date="2026-09-12T23:00:00Z">
        <w:r>
          <w:rPr>
            <w:rtl w:val="0"/>
          </w:rPr>
          <w:t xml:space="preserve">La rama no modificó la conclusión sobre el núcleo sin entrenamiento. Dejó una decisión de no adopción sustentada y auditable, no una promesa de mejoras posteriores.</w:t>
        </w:r>
      </w:ins>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del w:id="9067" w:author="Claude" w:date="2026-09-12T23:00:00Z"/>
          <w:i w:val="0"/>
          <w:iCs w:val="0"/>
          <w:smallCaps w:val="0"/>
          <w:strike w:val="0"/>
          <w:u w:val="none"/>
          <w:shd w:fill="auto" w:val="clear"/>
          <w:vertAlign w:val="baseline"/>
        </w:rPr>
      </w:pPr>
      <w:del w:id="9064" w:author="Claude" w:date="2026-09-12T23:00:00Z">
        <w:r w:rsidDel="00000000" w:rsidR="00000000" w:rsidRPr="00000000">
          <w:rPr>
            <w:i w:val="0"/>
            <w:iCs w:val="0"/>
            <w:smallCaps w:val="0"/>
            <w:strike w:val="0"/>
            <w:u w:val="none"/>
            <w:shd w:fill="auto" w:val="clear"/>
            <w:vertAlign w:val="baseline"/>
            <w:rtl w:val="0"/>
          </w:rPr>
          <w:delText xml:space="preserve">El entrenamiento utilizó 2.946 imágenes, procedentes de construction_site_safety y ppe_siabar, con 483 de validación; CHV se excluyó para proteger la separación con el banco. El aumento de capacidad hasta 10,35 millones de parámetros entrenables no resolvió la adopción. El diagnóstico del experimento apunta, por tanto, a la relación entre datos, capacidad y retención, y </w:delText>
        </w:r>
      </w:del>
      <w:del w:id="9065" w:author="Claude" w:date="2026-09-12T23:00:00Z">
        <w:r w:rsidDel="00000000" w:rsidR="00000000" w:rsidRPr="00000000">
          <w:rPr>
            <w:rtl w:val="0"/>
          </w:rPr>
          <w:delText xml:space="preserve">no permite reducir el resultado del primer tramo a falta de parámetros</w:delText>
        </w:r>
      </w:del>
      <w:del w:id="9066" w:author="Claude" w:date="2026-09-12T23:00:00Z">
        <w:r w:rsidDel="00000000" w:rsidR="00000000" w:rsidRPr="00000000">
          <w:rPr>
            <w:i w:val="0"/>
            <w:iCs w:val="0"/>
            <w:smallCaps w:val="0"/>
            <w:strike w:val="0"/>
            <w:u w:val="none"/>
            <w:shd w:fill="auto" w:val="clear"/>
            <w:vertAlign w:val="baseline"/>
            <w:rtl w:val="0"/>
          </w:rPr>
          <w:delText xml:space="preserve">. No demuestra, sin embargo, que todo método de adaptación falle con ese volumen: no se exploró una tasa de aprendizaje intermedia ni una familia completa de técnicas eficientes en parámetros.</w:delText>
        </w:r>
      </w:del>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del w:id="9070" w:author="Claude" w:date="2026-09-12T23:00:00Z"/>
          <w:i w:val="0"/>
          <w:iCs w:val="0"/>
          <w:smallCaps w:val="0"/>
          <w:strike w:val="0"/>
          <w:u w:val="none"/>
          <w:shd w:fill="auto" w:val="clear"/>
          <w:vertAlign w:val="baseline"/>
        </w:rPr>
      </w:pPr>
      <w:del w:id="9068" w:author="Claude" w:date="2026-09-12T23:00:00Z">
        <w:r w:rsidDel="00000000" w:rsidR="00000000" w:rsidRPr="00000000">
          <w:rPr>
            <w:rtl w:val="0"/>
          </w:rPr>
          <w:delText xml:space="preserve">El cierre del tercer tramo se sostiene</w:delText>
        </w:r>
      </w:del>
      <w:del w:id="9069" w:author="Claude" w:date="2026-09-12T23:00:00Z">
        <w:r w:rsidDel="00000000" w:rsidR="00000000" w:rsidRPr="00000000">
          <w:rPr>
            <w:i w:val="0"/>
            <w:iCs w:val="0"/>
            <w:smallCaps w:val="0"/>
            <w:strike w:val="0"/>
            <w:u w:val="none"/>
            <w:shd w:fill="auto" w:val="clear"/>
            <w:vertAlign w:val="baseline"/>
            <w:rtl w:val="0"/>
          </w:rPr>
          <w:delText xml:space="preserve"> primero en la escalera de activación y en que la variante ajustable no preservaba el linaje del perfil desplegado. La anomalía geométrica reproducida en el checkpoint publicado de la variante tiny reforzó esa restricción, sin atribuirla al adaptador del proyecto ni extenderla a toda la familia. El resultado de la jornada fue una decisión de no adopción sustentada y auditable, no una promesa de mejoras posteriores.</w:delText>
        </w:r>
      </w:del>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6">
      <w:pPr>
        <w:pStyle w:val="Heading2"/>
        <w:spacing w:after="0" w:before="0" w:line="480" w:lineRule="auto"/>
        <w:rPr/>
      </w:pPr>
      <w:r w:rsidDel="00000000" w:rsidR="00000000" w:rsidRPr="00000000">
        <w:rPr>
          <w:rtl w:val="0"/>
        </w:rPr>
        <w:t xml:space="preserve">18.6. Balance de objetivos y líneas de continuidad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objetivo general de diseñar, implementar y evaluar una plataforma experimental se alcanzó en el alcance documentado. Los objetivos específicos de revisión, operacionalización y diseño se materializaron en un protocolo, un núcleo de condiciones y fronteras entre componentes; los de implementación y evaluación se respaldaron en las verificaciones de la sección 17.4 y en los resultados de la sección 17.5. No se equipara ese cumplimiento con haber ejecutado todas las métricas o extensiones previstas: el estado por persona de CR-02, la evaluación MOT y la validez operativa en obra real mantienen los límites ya expuestos.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preguntas rectoras de la sección 16.7.3 reciben respuestas de distinta fuerza. El presupuesto temporal y sus extremos de medición quedaron instrumentados por tramos, sin cierre de una latencia completa desde el sensor para todas las fuentes. Las condiciones mínimas evaluables se concretaron en CR-01 y CR-02, pero la clasificación por persona y la alerta por episodio no resultaron equivalentes. La estrategia de datos produjo bancos identificables y una separación explícita de ajuste y evaluación, aunque la referencia humana no tuvo doble anotación independiente. La infraestructura permitió ejecutar la cadena, sin asegurar el presupuesto temporal de su perfil operativo. Las métricas distinguieron niveles de análisis y permitieron aceptar o refutar combinaciones. La adaptación paramétrica se resolvió mediante una decisión negativa de adopción, no mediante su omisión. Así se cierra el vínculo con las conclusiones metodológicas de la sección 17.1.11.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carácter asistivo permaneció como límite de interpretación. Se registraron evidencias y alertas para revisión humana, sin reconocer identidad personal, calificar cumplimiento normativo ni accionar medidas físicas. El desempeño medido no prueba reducción de incidentes, utilidad percibida por responsables de seguridad o aceptación de los usuarios: esos resultados requerirían otra evaluación. Las salvaguardas de acceso y conservación delimitan el tratamiento adoptado, sin convertir el prototipo en un sistema certificado.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1267278205"/>
          <w:tag w:val="goog_rdk_13"/>
        </w:sdtPr>
        <w:sdtContent>
          <w:commentRangeStart w:id="13"/>
        </w:sdtContent>
      </w:sdt>
      <w:del w:id="9071" w:author="Claude" w:date="2026-09-12T23:00:00Z">
        <w:r w:rsidDel="00000000" w:rsidR="00000000" w:rsidRPr="00000000">
          <w:rPr>
            <w:i w:val="0"/>
            <w:iCs w:val="0"/>
            <w:smallCaps w:val="0"/>
            <w:strike w:val="0"/>
            <w:u w:val="none"/>
            <w:shd w:fill="auto" w:val="clear"/>
            <w:vertAlign w:val="baseline"/>
            <w:rtl w:val="0"/>
          </w:rPr>
          <w:delText xml:space="preserve">Las continuidades justificadas se desprenden de lo que quedó fuera del protocolo ejecutado. La primera es ampliar la evidencia de cumplimiento sostenido y de obra no guionada, con anotación independiente y </w:delText>
        </w:r>
      </w:del>
      <w:del w:id="9072" w:author="Claude" w:date="2026-09-12T23:00:00Z">
        <w:r w:rsidDel="00000000" w:rsidR="00000000" w:rsidRPr="00000000">
          <w:rPr>
            <w:rtl w:val="0"/>
          </w:rPr>
          <w:delText xml:space="preserve">condiciones de acceso resueltas, antes de fijar una cota de falsas alarmas o generalizar el efecto del tracker. La segunda es evaluar la conservación de identidades con referencia apropiada, separando sus errores de los de percepción en escenas con múltiples personas. La tercera exige anotaciones y evaluadores adecuados antes de extender el núcleo a relaciones espaciales o condiciones de mayor complejidad.</w:delText>
        </w:r>
      </w:del>
      <w:ins w:id="9073" w:author="Claude" w:date="2026-09-12T23:00:00Z">
        <w:commentRangeStart w:id="27"/>
        <w:r>
          <w:rPr>
            <w:rtl w:val="0"/>
          </w:rPr>
          <w:t xml:space="preserve">La plataforma se diseñó para el catálogo completo</w:t>
        </w:r>
        <w:commentRangeEnd w:id="27"/>
        <w:r>
          <w:rPr>
            <w:rtl w:val="0"/>
          </w:rPr>
          <w:commentReference w:id="27"/>
        </w:r>
        <w:r>
          <w:rPr>
            <w:rtl w:val="0"/>
          </w:rPr>
          <w:t xml:space="preserve"> y se validó sobre su núcleo obligatorio. Las seis condiciones de riesgo quedaron operacionalizadas con su patrón, su severidad y su ventana de persistencia, y el motor de patrones las admite a todas: cuáles se activan es materia de configuración. El marco de métricas definió los tres niveles de evidencia y también las métricas de seguimiento multiobjeto. La arquitectura declaró desde el comienzo qué capacidades eran núcleo y cuáles complementarias previstas. Lo que el protocolo recortó fue el alcance de la validación, no el del diseño.</w:t>
        </w:r>
      </w:ins>
      <w:commentRangeEnd w:id="13"/>
      <w:r w:rsidDel="00000000" w:rsidR="00000000" w:rsidRPr="00000000">
        <w:commentReference w:id="13"/>
      </w: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ns w:id="9074" w:author="Claude" w:date="2026-09-12T23:00:00Z"/>
          <w:i w:val="0"/>
          <w:iCs w:val="0"/>
          <w:smallCaps w:val="0"/>
          <w:strike w:val="0"/>
          <w:u w:val="none"/>
          <w:shd w:fill="auto" w:val="clear"/>
          <w:vertAlign w:val="baseline"/>
        </w:rPr>
      </w:pPr>
      <w:ins w:id="9075" w:author="Claude" w:date="2026-09-12T23:00:00Z">
        <w:r>
          <w:rPr>
            <w:rtl w:val="0"/>
          </w:rPr>
          <w:t xml:space="preserve">Por eso las extensiones condicionadas encuentran su lugar ya definido. Las condiciones CR-03 a CR-06 se incorporan por configuración y esperan lo que el núcleo no necesitó: una referencia humana de relaciones espaciales y, para la zona restringida, una parametrización de la escena. Las métricas de seguimiento multiobjeto esperan identidades anotadas, no capacidad nueva, porque la identidad temporal ya está implementada y medida. La cota de falsas alarmas espera horas de obra anotada, y la adaptación del modelo, un corpus independiente del banco bajo el protocolo que la rama comparativa dejó fijado. En todos los casos lo que falta es evidencia, no arquitectura.</w:t>
        </w:r>
      </w:ins>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del w:id="9077" w:author="Claude" w:date="2026-09-12T23:00:00Z"/>
          <w:i w:val="0"/>
          <w:iCs w:val="0"/>
          <w:smallCaps w:val="0"/>
          <w:strike w:val="0"/>
          <w:u w:val="none"/>
          <w:shd w:fill="auto" w:val="clear"/>
          <w:vertAlign w:val="baseline"/>
        </w:rPr>
      </w:pPr>
      <w:del w:id="9076" w:author="Claude" w:date="2026-09-12T23:00:00Z">
        <w:r w:rsidDel="00000000" w:rsidR="00000000" w:rsidRPr="00000000">
          <w:rPr>
            <w:i w:val="0"/>
            <w:iCs w:val="0"/>
            <w:smallCaps w:val="0"/>
            <w:strike w:val="0"/>
            <w:u w:val="none"/>
            <w:shd w:fill="auto" w:val="clear"/>
            <w:vertAlign w:val="baseline"/>
            <w:rtl w:val="0"/>
          </w:rPr>
          <w:delText xml:space="preserve">En adaptación, una continuidad defendible exige un nuevo protocolo y un corpus independiente, junto con métodos eficientes en parámetros y criterios de retención; no consiste en continuar probando variantes contra el banco congelado hasta obtener una mejora. En distribución, los canales adicionales y la evaluación del consumo humano son extensiones distintas del servicio MQTT ya implementado. En reproducibilidad, la construcción y prueba integral del empaquetado definido permitirían comprobar una portabilidad que esta entrega no verificó. Estas posibilidades delimitan nuevas preguntas de trabajo y no comprometen su ejecución por el equipo.</w:delText>
        </w:r>
      </w:del>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pPr>
      <w:r w:rsidDel="00000000" w:rsidR="00000000" w:rsidRPr="00000000">
        <w:rPr>
          <w:i w:val="0"/>
          <w:iCs w:val="0"/>
          <w:smallCaps w:val="0"/>
          <w:strike w:val="0"/>
          <w:u w:val="none"/>
          <w:shd w:fill="auto" w:val="clear"/>
          <w:vertAlign w:val="baseline"/>
          <w:rtl w:val="0"/>
        </w:rPr>
        <w:t xml:space="preserve">El aporte final es una plataforma con evidencia que permite distinguir qué funcionó, bajo qué configuración, dónde dejó de hacerlo y qué observación falta para sostener una afirmación más fuerte. La detección open-vocabulary resultó un habilitador de experimentación y extensibilidad sin entrenamiento del núcleo; su valor quedó condicionado por la semántica del vocabulario, la observabilidad de la escena y la continuidad temporal. Esa respuesta acotada, junto con los resultados negativos y sus registros, constituye el cierre del proyecto.</w:t>
      </w:r>
    </w:p>
    <w:p w:rsidR="00000000" w:rsidDel="00000000" w:rsidP="00000000" w:rsidRDefault="00000000" w:rsidRPr="00000000" w14:paraId="0000003D">
      <w:pPr>
        <w:pStyle w:val="Heading1"/>
        <w:spacing w:after="0" w:before="0" w:line="480" w:lineRule="auto"/>
        <w:rPr/>
      </w:pPr>
      <w:r w:rsidDel="00000000" w:rsidR="00000000" w:rsidRPr="00000000">
        <w:rPr>
          <w:rtl w:val="0"/>
        </w:rPr>
        <w:t xml:space="preserve">19. Anexos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anexos conservan el soporte técnico, metodológico y documental de las secciones precedentes. Las comparativas de literatura, las capacidades de infraestructura y las prescripciones del protocolo se distinguen de los procedimientos efectivamente ejercidos. La reproducibilidad y las condiciones de reutilización de los materiales se desarrollan en los Anexos E y F.</w:t>
      </w:r>
    </w:p>
    <w:p w:rsidR="00000000" w:rsidDel="00000000" w:rsidP="00000000" w:rsidRDefault="00000000" w:rsidRPr="00000000" w14:paraId="0000003F">
      <w:pPr>
        <w:pStyle w:val="Heading2"/>
        <w:spacing w:after="0" w:before="0" w:line="480" w:lineRule="auto"/>
        <w:rPr/>
      </w:pPr>
      <w:r w:rsidDel="00000000" w:rsidR="00000000" w:rsidRPr="00000000">
        <w:rPr>
          <w:rtl w:val="0"/>
        </w:rPr>
        <w:t xml:space="preserve">19.1. Anexo A - Comparativas técnicas y estado del arte complementario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Anexo A reúne comparativas complementarias que </w:t>
      </w:r>
      <w:r w:rsidDel="00000000" w:rsidR="00000000" w:rsidRPr="00000000">
        <w:rPr>
          <w:rtl w:val="0"/>
        </w:rPr>
        <w:t xml:space="preserve">respaldan el estado del arte</w:t>
      </w:r>
      <w:r w:rsidDel="00000000" w:rsidR="00000000" w:rsidRPr="00000000">
        <w:rPr>
          <w:i w:val="0"/>
          <w:iCs w:val="0"/>
          <w:smallCaps w:val="0"/>
          <w:strike w:val="0"/>
          <w:u w:val="none"/>
          <w:shd w:fill="auto" w:val="clear"/>
          <w:vertAlign w:val="baseline"/>
          <w:rtl w:val="0"/>
        </w:rPr>
        <w:t xml:space="preserve">. La Tabla A.1 amplía el catálogo de alternativas de detección open-vocabulary y modelos relacionados; la Tabla A.2 sintetiza el alcance y las limitaciones de las métricas MOT tratadas en la sección 15.3.3.</w:t>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A.1</w:t>
      </w:r>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Matriz ampliada de alternativas de detección open-vocabulary y modelos relacionados</w:t>
      </w:r>
    </w:p>
    <w:tbl>
      <w:tblPr>
        <w:tblStyle w:val="Table1"/>
        <w:tblW w:w="12959.999999999998"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1512"/>
        <w:gridCol w:w="3024"/>
        <w:gridCol w:w="2232"/>
        <w:gridCol w:w="2160"/>
        <w:gridCol w:w="2376"/>
        <w:tblGridChange w:id="0">
          <w:tblGrid>
            <w:gridCol w:w="1656"/>
            <w:gridCol w:w="1512"/>
            <w:gridCol w:w="3024"/>
            <w:gridCol w:w="2232"/>
            <w:gridCol w:w="2160"/>
            <w:gridCol w:w="237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4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Modelo</w:t>
            </w:r>
          </w:p>
        </w:tc>
        <w:tc>
          <w:tcPr>
            <w:tcBorders>
              <w:bottom w:color="000000" w:space="0" w:sz="6" w:val="single"/>
            </w:tcBorders>
            <w:vAlign w:val="top"/>
          </w:tcPr>
          <w:p w:rsidR="00000000" w:rsidDel="00000000" w:rsidP="00000000" w:rsidRDefault="00000000" w:rsidRPr="00000000" w14:paraId="0000004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Familia</w:t>
            </w:r>
          </w:p>
        </w:tc>
        <w:tc>
          <w:tcPr>
            <w:tcBorders>
              <w:bottom w:color="000000" w:space="0" w:sz="6" w:val="single"/>
            </w:tcBorders>
            <w:vAlign w:val="top"/>
          </w:tcPr>
          <w:p w:rsidR="00000000" w:rsidDel="00000000" w:rsidP="00000000" w:rsidRDefault="00000000" w:rsidRPr="00000000" w14:paraId="0000004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Mecanismo visión-lenguaje</w:t>
            </w:r>
          </w:p>
        </w:tc>
        <w:tc>
          <w:tcPr>
            <w:tcBorders>
              <w:bottom w:color="000000" w:space="0" w:sz="6" w:val="single"/>
            </w:tcBorders>
            <w:vAlign w:val="top"/>
          </w:tcPr>
          <w:p w:rsidR="00000000" w:rsidDel="00000000" w:rsidP="00000000" w:rsidRDefault="00000000" w:rsidRPr="00000000" w14:paraId="0000004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AP zero-shot reportado</w:t>
            </w:r>
          </w:p>
        </w:tc>
        <w:tc>
          <w:tcPr>
            <w:tcBorders>
              <w:bottom w:color="000000" w:space="0" w:sz="6" w:val="single"/>
            </w:tcBorders>
            <w:vAlign w:val="top"/>
          </w:tcPr>
          <w:p w:rsidR="00000000" w:rsidDel="00000000" w:rsidP="00000000" w:rsidRDefault="00000000" w:rsidRPr="00000000" w14:paraId="0000004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Rendimiento reportado</w:t>
            </w:r>
          </w:p>
        </w:tc>
        <w:tc>
          <w:tcPr>
            <w:tcBorders>
              <w:bottom w:color="000000" w:space="0" w:sz="6" w:val="single"/>
            </w:tcBorders>
            <w:vAlign w:val="top"/>
          </w:tcPr>
          <w:p w:rsidR="00000000" w:rsidDel="00000000" w:rsidP="00000000" w:rsidRDefault="00000000" w:rsidRPr="00000000" w14:paraId="0000004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Licencia / disponibilidad</w:t>
            </w:r>
          </w:p>
        </w:tc>
      </w:tr>
      <w:tr>
        <w:trPr>
          <w:cantSplit w:val="1"/>
          <w:tblHeader w:val="0"/>
        </w:trPr>
        <w:tc>
          <w:tcP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DINO-X</w:t>
            </w:r>
          </w:p>
        </w:tc>
        <w:tc>
          <w:tcP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Universal Object Prompt</w:t>
            </w:r>
          </w:p>
        </w:tc>
        <w:tc>
          <w:tcP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59,8 (LVIS-minival)</w:t>
            </w:r>
          </w:p>
        </w:tc>
        <w:tc>
          <w:tcP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G-DINO 1.5 Pro</w:t>
            </w:r>
          </w:p>
        </w:tc>
        <w:tc>
          <w:tcP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Fusión cross-modal profunda</w:t>
            </w:r>
          </w:p>
        </w:tc>
        <w:tc>
          <w:tcP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55,7 (LVIS-minival)</w:t>
            </w:r>
          </w:p>
        </w:tc>
        <w:tc>
          <w:tcP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G-DINO 1.5 Edge</w:t>
            </w:r>
          </w:p>
        </w:tc>
        <w:tc>
          <w:tcP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Fusión cross-modal optimizada</w:t>
            </w:r>
          </w:p>
        </w:tc>
        <w:tc>
          <w:tcP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36,2 (LVIS-minival)</w:t>
            </w:r>
          </w:p>
        </w:tc>
        <w:tc>
          <w:tcP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75,2 FPS (A100, TensorRT)</w:t>
            </w:r>
          </w:p>
        </w:tc>
        <w:tc>
          <w:tcP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Grounding DINO Swin-L</w:t>
            </w:r>
          </w:p>
        </w:tc>
        <w:tc>
          <w:tcP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Feature Enhancer, selección de consultas guiada y decoder cross-modal</w:t>
            </w:r>
          </w:p>
        </w:tc>
        <w:tc>
          <w:tcP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52,5 (COCO); 26,1 mean AP (ODinW-35)</w:t>
            </w:r>
          </w:p>
        </w:tc>
        <w:tc>
          <w:tcP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Grounding DINO Swin-T</w:t>
            </w:r>
          </w:p>
        </w:tc>
        <w:tc>
          <w:tcP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Feature Enhancer, selección de consultas guiada y decoder cross-modal</w:t>
            </w:r>
          </w:p>
        </w:tc>
        <w:tc>
          <w:tcP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48,4 (COCO)</w:t>
            </w:r>
          </w:p>
        </w:tc>
        <w:tc>
          <w:tcP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MM-Grounding-DINO Tiny</w:t>
            </w:r>
          </w:p>
        </w:tc>
        <w:tc>
          <w:tcP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Pipeline unificado de grounding y detección</w:t>
            </w:r>
          </w:p>
        </w:tc>
        <w:tc>
          <w:tcP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50,4–50,6 (COCO); 35,7–41,4 (LVIS-minival)</w:t>
            </w:r>
          </w:p>
        </w:tc>
        <w:tc>
          <w:tcP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GLIP</w:t>
            </w:r>
          </w:p>
        </w:tc>
        <w:tc>
          <w:tcP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Dynamic Head + Swin</w:t>
            </w:r>
          </w:p>
        </w:tc>
        <w:tc>
          <w:tcP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Alineamiento región-palabra con fusión profunda</w:t>
            </w:r>
          </w:p>
        </w:tc>
        <w:tc>
          <w:tcP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49,8 (COCO); 26,9 (LVIS)</w:t>
            </w:r>
          </w:p>
        </w:tc>
        <w:tc>
          <w:tcP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MIT</w:t>
            </w:r>
          </w:p>
        </w:tc>
      </w:tr>
      <w:tr>
        <w:trPr>
          <w:cantSplit w:val="1"/>
          <w:tblHeader w:val="0"/>
        </w:trPr>
        <w:tc>
          <w:tcP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OV-DINO</w:t>
            </w:r>
          </w:p>
        </w:tc>
        <w:tc>
          <w:tcP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LASF + UniDI</w:t>
            </w:r>
          </w:p>
        </w:tc>
        <w:tc>
          <w:tcP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50,6 (COCO)</w:t>
            </w:r>
          </w:p>
        </w:tc>
        <w:tc>
          <w:tcP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OV-DETR</w:t>
            </w:r>
          </w:p>
        </w:tc>
        <w:tc>
          <w:tcP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Deformable DETR</w:t>
            </w:r>
          </w:p>
        </w:tc>
        <w:tc>
          <w:tcP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Matching condicional binario con prompts textuales o visuales</w:t>
            </w:r>
          </w:p>
        </w:tc>
        <w:tc>
          <w:tcP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17,4 novel (OV-LVIS); 29,4 AP50 novel (OV-COCO)</w:t>
            </w:r>
          </w:p>
        </w:tc>
        <w:tc>
          <w:tcP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BY-NC-SA 4.0</w:t>
            </w:r>
          </w:p>
        </w:tc>
      </w:tr>
      <w:tr>
        <w:trPr>
          <w:cantSplit w:val="1"/>
          <w:tblHeader w:val="0"/>
        </w:trPr>
        <w:tc>
          <w:tcP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APE-L (D)</w:t>
            </w:r>
          </w:p>
        </w:tc>
        <w:tc>
          <w:tcP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Alineamiento por producto punto y encoder cross-modal</w:t>
            </w:r>
          </w:p>
        </w:tc>
        <w:tc>
          <w:tcP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59,6 caja (LVIS); 58,3 caja (COCO)</w:t>
            </w:r>
          </w:p>
        </w:tc>
        <w:tc>
          <w:tcP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LLMDet</w:t>
            </w:r>
          </w:p>
        </w:tc>
        <w:tc>
          <w:tcP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 LLM</w:t>
            </w:r>
          </w:p>
        </w:tc>
        <w:tc>
          <w:tcP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Coentrenamiento con LLM; LLM descartado en inferencia</w:t>
            </w:r>
          </w:p>
        </w:tc>
        <w:tc>
          <w:tcP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51,1 (LVIS-minival)</w:t>
            </w:r>
          </w:p>
        </w:tc>
        <w:tc>
          <w:tcP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DetCLIPv3</w:t>
            </w:r>
          </w:p>
        </w:tc>
        <w:tc>
          <w:tcP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Formulación generativa con VLLM</w:t>
            </w:r>
          </w:p>
        </w:tc>
        <w:tc>
          <w:tcP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48,8 (LVIS-minival)</w:t>
            </w:r>
          </w:p>
        </w:tc>
        <w:tc>
          <w:tcP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r>
      <w:tr>
        <w:trPr>
          <w:cantSplit w:val="1"/>
          <w:tblHeader w:val="0"/>
        </w:trPr>
        <w:tc>
          <w:tcP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OWLv2 L/14</w:t>
            </w:r>
          </w:p>
        </w:tc>
        <w:tc>
          <w:tcP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ViT dual-encoder</w:t>
            </w:r>
          </w:p>
        </w:tc>
        <w:tc>
          <w:tcP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Autoentrenamiento escalable</w:t>
            </w:r>
          </w:p>
        </w:tc>
        <w:tc>
          <w:tcP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44,6 (LVIS rare)</w:t>
            </w:r>
          </w:p>
        </w:tc>
        <w:tc>
          <w:tcP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Detic</w:t>
            </w:r>
          </w:p>
        </w:tc>
        <w:tc>
          <w:tcP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Two-stage</w:t>
            </w:r>
          </w:p>
        </w:tc>
        <w:tc>
          <w:tcP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Embeddings CLIP como pesos del clasificador de regiones</w:t>
            </w:r>
          </w:p>
        </w:tc>
        <w:tc>
          <w:tcP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17,8 rare (OV-LVIS); 27,8 novel AP50 (OV-COCO)</w:t>
            </w:r>
          </w:p>
        </w:tc>
        <w:tc>
          <w:tcP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T-Rex2 Swin-L</w:t>
            </w:r>
          </w:p>
        </w:tc>
        <w:tc>
          <w:tcP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multimodal</w:t>
            </w:r>
          </w:p>
        </w:tc>
        <w:tc>
          <w:tcP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Prompts textuales y visuales con fusión tardía</w:t>
            </w:r>
          </w:p>
        </w:tc>
        <w:tc>
          <w:tcP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46,7 texto / 46,8 visual (LVIS-minival)</w:t>
            </w:r>
          </w:p>
        </w:tc>
        <w:tc>
          <w:tcP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 License 1.0; uso no comercial</w:t>
            </w:r>
          </w:p>
        </w:tc>
      </w:tr>
      <w:tr>
        <w:trPr>
          <w:cantSplit w:val="1"/>
          <w:tblHeader w:val="0"/>
        </w:trPr>
        <w:tc>
          <w:tcP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YOLOE-v8-L</w:t>
            </w:r>
          </w:p>
        </w:tc>
        <w:tc>
          <w:tcP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RepRTA + SAVPE + LRPC</w:t>
            </w:r>
          </w:p>
        </w:tc>
        <w:tc>
          <w:tcP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35,9 (LVIS-minival)</w:t>
            </w:r>
          </w:p>
        </w:tc>
        <w:tc>
          <w:tcP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102,5 FPS (T4, TensorRT)</w:t>
            </w:r>
          </w:p>
        </w:tc>
        <w:tc>
          <w:tcP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AGPL-3.0</w:t>
            </w:r>
          </w:p>
        </w:tc>
      </w:tr>
      <w:tr>
        <w:trPr>
          <w:cantSplit w:val="1"/>
          <w:tblHeader w:val="0"/>
        </w:trPr>
        <w:tc>
          <w:tcP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YOLO-World-L</w:t>
            </w:r>
          </w:p>
        </w:tc>
        <w:tc>
          <w:tcP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RepVL-PAN contrastivo</w:t>
            </w:r>
          </w:p>
        </w:tc>
        <w:tc>
          <w:tcP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35,4 (LVIS-minival)</w:t>
            </w:r>
          </w:p>
        </w:tc>
        <w:tc>
          <w:tcP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52,0 FPS (V100, PyTorch)</w:t>
            </w:r>
          </w:p>
        </w:tc>
        <w:tc>
          <w:tcP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GPL-3.0</w:t>
            </w:r>
          </w:p>
        </w:tc>
      </w:tr>
      <w:tr>
        <w:trPr>
          <w:cantSplit w:val="1"/>
          <w:tblHeader w:val="0"/>
        </w:trPr>
        <w:tc>
          <w:tcP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OmDet-Turbo-Base</w:t>
            </w:r>
          </w:p>
        </w:tc>
        <w:tc>
          <w:tcP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para tiempo real</w:t>
            </w:r>
          </w:p>
        </w:tc>
        <w:tc>
          <w:tcP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EFH + caché textual</w:t>
            </w:r>
          </w:p>
        </w:tc>
        <w:tc>
          <w:tcP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34,7 (LVIS-minival)</w:t>
            </w:r>
          </w:p>
        </w:tc>
        <w:tc>
          <w:tcP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100,2 FPS (A100, TensorRT + caché textual)</w:t>
            </w:r>
          </w:p>
        </w:tc>
        <w:tc>
          <w:tcP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YOLOE-v8-S</w:t>
            </w:r>
          </w:p>
        </w:tc>
        <w:tc>
          <w:tcP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RepRTA reparametrizable</w:t>
            </w:r>
          </w:p>
        </w:tc>
        <w:tc>
          <w:tcP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27,9 (LVIS-minival)</w:t>
            </w:r>
          </w:p>
        </w:tc>
        <w:tc>
          <w:tcP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305,8 FPS (T4, TensorRT)</w:t>
            </w:r>
          </w:p>
        </w:tc>
        <w:tc>
          <w:tcP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AGPL-3.0</w:t>
            </w:r>
          </w:p>
        </w:tc>
      </w:tr>
      <w:tr>
        <w:trPr>
          <w:cantSplit w:val="1"/>
          <w:tblHeader w:val="0"/>
        </w:trPr>
        <w:tc>
          <w:tcP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Florence-2-L</w:t>
            </w:r>
          </w:p>
        </w:tc>
        <w:tc>
          <w:tcP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Seq2Seq</w:t>
            </w:r>
          </w:p>
        </w:tc>
        <w:tc>
          <w:tcP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Generación condicionada por instrucciones</w:t>
            </w:r>
          </w:p>
        </w:tc>
        <w:tc>
          <w:tcP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37,5 (COCO)</w:t>
            </w:r>
          </w:p>
        </w:tc>
        <w:tc>
          <w:tcP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Variable</w:t>
            </w:r>
          </w:p>
        </w:tc>
        <w:tc>
          <w:tcP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MIT</w:t>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cifras conservan el protocolo, el conjunto de evaluación y el hardware informados por cada fuente; por ello, no constituyen un benchmark homogéneo. N/D indica información no reportada o no comparable. En DINO-X y Grounding DINO 1.5, la licencia Apache-2.0 corresponde al SDK de acceso y no a pesos abiertos. Fuente: elaboración propia basada en Cheng et al. (2024), Fu et al. (2025), Jiang et al. (2024), </w:t>
      </w:r>
      <w:r w:rsidDel="00000000" w:rsidR="00000000" w:rsidRPr="00000000">
        <w:rPr>
          <w:rtl w:val="0"/>
        </w:rPr>
        <w:t xml:space="preserve">L. H. Li et al. (2021)</w:t>
      </w:r>
      <w:r w:rsidDel="00000000" w:rsidR="00000000" w:rsidRPr="00000000">
        <w:rPr>
          <w:i w:val="0"/>
          <w:iCs w:val="0"/>
          <w:smallCaps w:val="0"/>
          <w:strike w:val="0"/>
          <w:u w:val="none"/>
          <w:shd w:fill="auto" w:val="clear"/>
          <w:vertAlign w:val="baseline"/>
          <w:rtl w:val="0"/>
        </w:rPr>
        <w:t xml:space="preserve">, Liu et al. (2024), Minderer et al. (2023), Ren, Chen, et al. (2024), Ren, Jiang, et al. (2024), </w:t>
      </w:r>
      <w:r w:rsidDel="00000000" w:rsidR="00000000" w:rsidRPr="00000000">
        <w:rPr>
          <w:rtl w:val="0"/>
        </w:rPr>
        <w:t xml:space="preserve">Shen et al. (2023)</w:t>
      </w:r>
      <w:r w:rsidDel="00000000" w:rsidR="00000000" w:rsidRPr="00000000">
        <w:rPr>
          <w:i w:val="0"/>
          <w:iCs w:val="0"/>
          <w:smallCaps w:val="0"/>
          <w:strike w:val="0"/>
          <w:u w:val="none"/>
          <w:shd w:fill="auto" w:val="clear"/>
          <w:vertAlign w:val="baseline"/>
          <w:rtl w:val="0"/>
        </w:rPr>
        <w:t xml:space="preserve">, A. Wang et al. (2025), H. Wang et al. (2024), Xiao et al. (2024), Yao et al. (2024), Zang et al. (2022), T. Zhao et al. (2024), X. Zhao et al. (2024) y X. Zhou et al. (2022).</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A.2</w:t>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Comparación conceptual de métricas MOT y sus límites para evaluar alertas temporales</w:t>
      </w:r>
    </w:p>
    <w:tbl>
      <w:tblPr>
        <w:tblStyle w:val="Table2"/>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296"/>
        <w:gridCol w:w="3456"/>
        <w:gridCol w:w="3744"/>
        <w:gridCol w:w="4464"/>
        <w:tblGridChange w:id="0">
          <w:tblGrid>
            <w:gridCol w:w="1296"/>
            <w:gridCol w:w="3456"/>
            <w:gridCol w:w="3744"/>
            <w:gridCol w:w="446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C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Métrica</w:t>
            </w:r>
          </w:p>
        </w:tc>
        <w:tc>
          <w:tcPr>
            <w:tcBorders>
              <w:bottom w:color="000000" w:space="0" w:sz="6" w:val="single"/>
            </w:tcBorders>
            <w:vAlign w:val="top"/>
          </w:tcPr>
          <w:p w:rsidR="00000000" w:rsidDel="00000000" w:rsidP="00000000" w:rsidRDefault="00000000" w:rsidRPr="00000000" w14:paraId="000000C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Qué caracteriza</w:t>
            </w:r>
          </w:p>
        </w:tc>
        <w:tc>
          <w:tcPr>
            <w:tcBorders>
              <w:bottom w:color="000000" w:space="0" w:sz="6" w:val="single"/>
            </w:tcBorders>
            <w:vAlign w:val="top"/>
          </w:tcPr>
          <w:p w:rsidR="00000000" w:rsidDel="00000000" w:rsidP="00000000" w:rsidRDefault="00000000" w:rsidRPr="00000000" w14:paraId="000000C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Sesgo principal</w:t>
            </w:r>
          </w:p>
        </w:tc>
        <w:tc>
          <w:tcPr>
            <w:tcBorders>
              <w:bottom w:color="000000" w:space="0" w:sz="6" w:val="single"/>
            </w:tcBorders>
            <w:vAlign w:val="top"/>
          </w:tcPr>
          <w:p w:rsidR="00000000" w:rsidDel="00000000" w:rsidP="00000000" w:rsidRDefault="00000000" w:rsidRPr="00000000" w14:paraId="000000C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Límite respecto de las alertas</w:t>
            </w:r>
          </w:p>
        </w:tc>
      </w:tr>
      <w:tr>
        <w:trPr>
          <w:cantSplit w:val="1"/>
          <w:tblHeader w:val="0"/>
        </w:trPr>
        <w:tc>
          <w:tcP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MOTA</w:t>
            </w:r>
          </w:p>
        </w:tc>
        <w:tc>
          <w:tcP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Errores acumulados de detección y cambios de identidad</w:t>
            </w:r>
          </w:p>
        </w:tc>
        <w:tc>
          <w:tcP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Está fuertemente condicionada por falsos positivos y falsos negativos del detector</w:t>
            </w:r>
          </w:p>
        </w:tc>
        <w:tc>
          <w:tcP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mide persistencia, oportunidad ni resolución de episodios de alerta</w:t>
            </w:r>
          </w:p>
        </w:tc>
      </w:tr>
      <w:tr>
        <w:trPr>
          <w:cantSplit w:val="1"/>
          <w:tblHeader w:val="0"/>
        </w:trPr>
        <w:tc>
          <w:tcP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IDF1</w:t>
            </w:r>
          </w:p>
        </w:tc>
        <w:tc>
          <w:tcP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Consistencia de identidad a lo largo de una secuencia</w:t>
            </w:r>
          </w:p>
        </w:tc>
        <w:tc>
          <w:tcP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Privilegia la correspondencia de identidad y exige anotaciones de trayectorias</w:t>
            </w:r>
          </w:p>
        </w:tc>
        <w:tc>
          <w:tcP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mide la condición semántica ni el comportamiento temporal de la alerta</w:t>
            </w:r>
          </w:p>
        </w:tc>
      </w:tr>
      <w:tr>
        <w:trPr>
          <w:cantSplit w:val="1"/>
          <w:tblHeader w:val="0"/>
        </w:trPr>
        <w:tc>
          <w:tcP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HOTA</w:t>
            </w:r>
          </w:p>
        </w:tc>
        <w:tc>
          <w:tcP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Calidad combinada de detección, asociación y localización</w:t>
            </w:r>
          </w:p>
        </w:tc>
        <w:tc>
          <w:tcP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Resume componentes del tracker y requiere referencia MOT explícita</w:t>
            </w:r>
          </w:p>
        </w:tc>
        <w:tc>
          <w:tcP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sustituye la evaluación por persona ni la evaluación por episodio temporal</w:t>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sectPr>
          <w:type w:val="nextPage"/>
          <w:pgSz w:h="12240" w:w="15840" w:orient="landscape"/>
          <w:pgMar w:bottom="1440" w:top="1440" w:left="1440" w:right="1440" w:header="720" w:footer="720"/>
        </w:sect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MOTA resume errores de detección y cambios de identidad; IDF1 enfatiza la continuidad de identidad; HOTA separa y combina detección, asociación y localización. Las tres caracterizan el seguimiento, pero no miden por sí mismas el estado semántico ni el episodio de alerta. Fuente: elaboración propia basada en Bernardin y Stiefelhagen (2008), Ristani et al. (2016) y Luiten et al. (2021).</w:t>
      </w:r>
    </w:p>
    <w:p w:rsidR="00000000" w:rsidDel="00000000" w:rsidP="00000000" w:rsidRDefault="00000000" w:rsidRPr="00000000" w14:paraId="000000D5">
      <w:pPr>
        <w:pStyle w:val="Heading2"/>
        <w:spacing w:after="0" w:before="0" w:line="480" w:lineRule="auto"/>
        <w:rPr/>
      </w:pPr>
      <w:r w:rsidDel="00000000" w:rsidR="00000000" w:rsidRPr="00000000">
        <w:rPr>
          <w:rtl w:val="0"/>
        </w:rPr>
        <w:t xml:space="preserve">19.2. Anexo B - Infraestructura, nodos y parámetros experimentales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Este anexo reúne la infraestructura de referencia y distingue sus capacidades de las funciones efectivamente utilizadas. Los roles CPN, EN y TN conservan el significado definido en la sección 17.1.4; no implican que cada servicio de la plataforma ocupe una máquina dedicada. Las especificaciones de fabricante describen el recurso, mientras que la sección 17.4 y los registros de corrida identifican su utilización experimental.</w:t>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B.1</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Equipo de referencia del nodo central de procesamiento</w:t>
      </w:r>
    </w:p>
    <w:tbl>
      <w:tblPr>
        <w:tblStyle w:val="Table3"/>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728"/>
        <w:gridCol w:w="3312"/>
        <w:gridCol w:w="4320"/>
        <w:tblGridChange w:id="0">
          <w:tblGrid>
            <w:gridCol w:w="1728"/>
            <w:gridCol w:w="3312"/>
            <w:gridCol w:w="4320"/>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D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0D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Especificación registrada</w:t>
            </w:r>
          </w:p>
        </w:tc>
        <w:tc>
          <w:tcPr>
            <w:tcBorders>
              <w:bottom w:color="000000" w:space="0" w:sz="6" w:val="single"/>
            </w:tcBorders>
            <w:vAlign w:val="top"/>
          </w:tcPr>
          <w:p w:rsidR="00000000" w:rsidDel="00000000" w:rsidP="00000000" w:rsidRDefault="00000000" w:rsidRPr="00000000" w14:paraId="000000D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Alcance de la declaración</w:t>
            </w:r>
          </w:p>
        </w:tc>
      </w:tr>
      <w:tr>
        <w:trPr>
          <w:cantSplit w:val="1"/>
          <w:tblHeader w:val="0"/>
        </w:trPr>
        <w:tc>
          <w:tcP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Equipo</w:t>
            </w:r>
          </w:p>
        </w:tc>
        <w:tc>
          <w:tcP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HP Victus 15, modelo 15-FB2024LA</w:t>
            </w:r>
          </w:p>
        </w:tc>
        <w:tc>
          <w:tcP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Equipo utilizado como recurso central de procesamiento.</w:t>
            </w:r>
          </w:p>
        </w:tc>
      </w:tr>
      <w:tr>
        <w:trPr>
          <w:cantSplit w:val="1"/>
          <w:tblHeader w:val="0"/>
        </w:trPr>
        <w:tc>
          <w:tcP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Procesador</w:t>
            </w:r>
          </w:p>
        </w:tc>
        <w:tc>
          <w:tcP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AMD Ryzen 5 8645HS, 6 núcleos y 12 hilos</w:t>
            </w:r>
          </w:p>
        </w:tc>
        <w:tc>
          <w:tcP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 del hardware; no constituye una medición de ocupación durante las corridas.</w:t>
            </w:r>
          </w:p>
        </w:tc>
      </w:tr>
      <w:tr>
        <w:trPr>
          <w:cantSplit w:val="1"/>
          <w:tblHeader w:val="0"/>
        </w:trPr>
        <w:tc>
          <w:tcP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GPU</w:t>
            </w:r>
          </w:p>
        </w:tc>
        <w:tc>
          <w:tcP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GeForce RTX 4060 Laptop, 8 GB de memoria</w:t>
            </w:r>
          </w:p>
        </w:tc>
        <w:tc>
          <w:tcP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 de inferencia del prototipo. Las latencias corresponden a las condiciones de la sección 17.5.5.</w:t>
            </w:r>
          </w:p>
        </w:tc>
      </w:tr>
      <w:tr>
        <w:trPr>
          <w:cantSplit w:val="1"/>
          <w:tblHeader w:val="0"/>
        </w:trPr>
        <w:tc>
          <w:tcP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y almacenamiento</w:t>
            </w:r>
          </w:p>
        </w:tc>
        <w:tc>
          <w:tcP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32 GB DDR5 y unidad SSD NVMe de 1 TB</w:t>
            </w:r>
          </w:p>
        </w:tc>
        <w:tc>
          <w:tcP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Capacidad registrada del equipo, no memoria o espacio consumidos por una ejecución.</w:t>
            </w:r>
          </w:p>
        </w:tc>
      </w:tr>
      <w:tr>
        <w:trPr>
          <w:cantSplit w:val="1"/>
          <w:tblHeader w:val="0"/>
        </w:trPr>
        <w:tc>
          <w:tcP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de ejecución</w:t>
            </w:r>
          </w:p>
        </w:tc>
        <w:tc>
          <w:tcP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Linux mediante WSL2 sobre el equipo con Windows 11</w:t>
            </w:r>
          </w:p>
        </w:tc>
        <w:tc>
          <w:tcP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entorno efectivo no fue Windows nativo.</w:t>
            </w:r>
          </w:p>
        </w:tc>
      </w:tr>
      <w:tr>
        <w:trPr>
          <w:cantSplit w:val="1"/>
          <w:tblHeader w:val="0"/>
        </w:trPr>
        <w:tc>
          <w:tcP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Decodificación</w:t>
            </w:r>
          </w:p>
        </w:tc>
        <w:tc>
          <w:tcP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Por software en las corridas reportadas</w:t>
            </w:r>
          </w:p>
        </w:tc>
        <w:tc>
          <w:tcP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disponibilidad de NVDEC en el hardware no se presenta como aceleración ejercida.</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Identificación del equipo y de sus componentes según el inventario experimental y las fichas de HP Inc. (s. f.), Advanced Micro Devices, Inc. (s. f.) y NVIDIA (s. f.-a). La capacidad nominal del equipo se distingue de su rendimiento medido.</w:t>
      </w:r>
    </w:p>
    <w:p w:rsidR="00000000" w:rsidDel="00000000" w:rsidP="00000000" w:rsidRDefault="00000000" w:rsidRPr="00000000" w14:paraId="000000EF">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B.2</w:t>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Fuente de captura propia y capacidades del nodo de borde</w:t>
      </w:r>
    </w:p>
    <w:tbl>
      <w:tblPr>
        <w:tblStyle w:val="Table4"/>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728"/>
        <w:gridCol w:w="3024"/>
        <w:gridCol w:w="4608"/>
        <w:tblGridChange w:id="0">
          <w:tblGrid>
            <w:gridCol w:w="1728"/>
            <w:gridCol w:w="3024"/>
            <w:gridCol w:w="460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F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0F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Especificación de referencia</w:t>
            </w:r>
          </w:p>
        </w:tc>
        <w:tc>
          <w:tcPr>
            <w:tcBorders>
              <w:bottom w:color="000000" w:space="0" w:sz="6" w:val="single"/>
            </w:tcBorders>
            <w:vAlign w:val="top"/>
          </w:tcPr>
          <w:p w:rsidR="00000000" w:rsidDel="00000000" w:rsidP="00000000" w:rsidRDefault="00000000" w:rsidRPr="00000000" w14:paraId="000000F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Utilización y límite</w:t>
            </w:r>
          </w:p>
        </w:tc>
      </w:tr>
      <w:tr>
        <w:trPr>
          <w:cantSplit w:val="1"/>
          <w:tblHeader w:val="0"/>
        </w:trPr>
        <w:tc>
          <w:tcP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Cámara</w:t>
            </w:r>
          </w:p>
        </w:tc>
        <w:tc>
          <w:tcP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Luxonis OAK-D Pro PoE</w:t>
            </w:r>
          </w:p>
        </w:tc>
        <w:tc>
          <w:tcP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Captura propia mediante DepthAI.</w:t>
            </w:r>
          </w:p>
        </w:tc>
      </w:tr>
      <w:tr>
        <w:trPr>
          <w:cantSplit w:val="1"/>
          <w:tblHeader w:val="0"/>
        </w:trPr>
        <w:tc>
          <w:tcP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Procesador de visión</w:t>
            </w:r>
          </w:p>
        </w:tc>
        <w:tc>
          <w:tcP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RVC2</w:t>
            </w:r>
          </w:p>
        </w:tc>
        <w:tc>
          <w:tcP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Soporte del dispositivo; no ejecutó el detector OVD del núcleo.</w:t>
            </w:r>
          </w:p>
        </w:tc>
      </w:tr>
      <w:tr>
        <w:trPr>
          <w:cantSplit w:val="1"/>
          <w:tblHeader w:val="0"/>
        </w:trPr>
        <w:tc>
          <w:tcP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Sensor RGB</w:t>
            </w:r>
          </w:p>
        </w:tc>
        <w:tc>
          <w:tcP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Sony IMX378, hasta 12 MP</w:t>
            </w:r>
          </w:p>
        </w:tc>
        <w:tc>
          <w:tcP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resolución de la fuente se registró por corrida; no se presupone uso de la resolución máxima.</w:t>
            </w:r>
          </w:p>
        </w:tc>
      </w:tr>
      <w:tr>
        <w:trPr>
          <w:cantSplit w:val="1"/>
          <w:tblHeader w:val="0"/>
        </w:trPr>
        <w:tc>
          <w:tcP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Sensores estéreo</w:t>
            </w:r>
          </w:p>
        </w:tc>
        <w:tc>
          <w:tcP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Dos sensores OV9282</w:t>
            </w:r>
          </w:p>
        </w:tc>
        <w:tc>
          <w:tcP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Capacidad de hardware; la evaluación del núcleo no se fundamentó en profundidad estéreo.</w:t>
            </w:r>
          </w:p>
        </w:tc>
      </w:tr>
      <w:tr>
        <w:trPr>
          <w:cantSplit w:val="1"/>
          <w:tblHeader w:val="0"/>
        </w:trPr>
        <w:tc>
          <w:tcP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Conexión</w:t>
            </w:r>
          </w:p>
        </w:tc>
        <w:tc>
          <w:tcP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Alimentación PoE y Gigabit Ethernet</w:t>
            </w:r>
          </w:p>
        </w:tc>
        <w:tc>
          <w:tcP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Integración de la fuente de captura al entorno experimental.</w:t>
            </w:r>
          </w:p>
        </w:tc>
      </w:tr>
      <w:tr>
        <w:trPr>
          <w:cantSplit w:val="1"/>
          <w:tblHeader w:val="0"/>
        </w:trPr>
        <w:tc>
          <w:tcP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Preselección de personas</w:t>
            </w:r>
          </w:p>
        </w:tc>
        <w:tc>
          <w:tcP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Filtro opcional en el dispositivo, con degradación segura</w:t>
            </w:r>
          </w:p>
        </w:tc>
        <w:tc>
          <w:tcP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Implementado y caracterizado fuera del régimen evaluativo; permaneció deshabilitado en las corridas de evaluación.</w:t>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características del dispositivo se apoyan en la documentación de Luxonis (s. f.). Su disponibilidad no implica que todas sus funciones hayan sido utilizadas. La preselección no existe para las fuentes RTSP de la plataforma.</w:t>
      </w:r>
    </w:p>
    <w:p w:rsidR="00000000" w:rsidDel="00000000" w:rsidP="00000000" w:rsidRDefault="00000000" w:rsidRPr="00000000" w14:paraId="0000010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B.3</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Entorno de software de procesamiento: utilizado y no ejercido</w:t>
      </w:r>
    </w:p>
    <w:tbl>
      <w:tblPr>
        <w:tblStyle w:val="Table5"/>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800"/>
        <w:gridCol w:w="3024"/>
        <w:gridCol w:w="4536"/>
        <w:tblGridChange w:id="0">
          <w:tblGrid>
            <w:gridCol w:w="1800"/>
            <w:gridCol w:w="3024"/>
            <w:gridCol w:w="453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0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10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Estado en el trabajo</w:t>
            </w:r>
          </w:p>
        </w:tc>
        <w:tc>
          <w:tcPr>
            <w:tcBorders>
              <w:bottom w:color="000000" w:space="0" w:sz="6" w:val="single"/>
            </w:tcBorders>
            <w:vAlign w:val="top"/>
          </w:tcPr>
          <w:p w:rsidR="00000000" w:rsidDel="00000000" w:rsidP="00000000" w:rsidRDefault="00000000" w:rsidRPr="00000000" w14:paraId="0000010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Información necesaria para repetir una corrida</w:t>
            </w:r>
          </w:p>
        </w:tc>
      </w:tr>
      <w:tr>
        <w:trPr>
          <w:cantSplit w:val="1"/>
          <w:tblHeader w:val="0"/>
        </w:trPr>
        <w:tc>
          <w:tcP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Python y dependencias</w:t>
            </w:r>
          </w:p>
        </w:tc>
        <w:tc>
          <w:tcP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Entornos separados por componente</w:t>
            </w:r>
          </w:p>
        </w:tc>
        <w:tc>
          <w:tcP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Revisión del código y dependencias de la ejecución que se reproduce.</w:t>
            </w:r>
          </w:p>
        </w:tc>
      </w:tr>
      <w:tr>
        <w:trPr>
          <w:cantSplit w:val="1"/>
          <w:tblHeader w:val="0"/>
        </w:trPr>
        <w:tc>
          <w:tcP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Inferencia</w:t>
            </w:r>
          </w:p>
        </w:tc>
        <w:tc>
          <w:tcP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Adaptadores de Grounding DINO y YOLOE integrados</w:t>
            </w:r>
          </w:p>
        </w:tc>
        <w:tc>
          <w:tcP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checkpoint, precisión numérica, resolución y umbrales efectivos.</w:t>
            </w:r>
          </w:p>
        </w:tc>
      </w:tr>
      <w:tr>
        <w:trPr>
          <w:cantSplit w:val="1"/>
          <w:tblHeader w:val="0"/>
        </w:trPr>
        <w:tc>
          <w:tcP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Transporte interno</w:t>
            </w:r>
          </w:p>
        </w:tc>
        <w:tc>
          <w:tcP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ZeroMQ con serialización msgpack</w:t>
            </w:r>
          </w:p>
        </w:tc>
        <w:tc>
          <w:tcP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eventos, configuración del bus y orden de inicialización.</w:t>
            </w:r>
          </w:p>
        </w:tc>
      </w:tr>
      <w:tr>
        <w:trPr>
          <w:cantSplit w:val="1"/>
          <w:tblHeader w:val="0"/>
        </w:trPr>
        <w:tc>
          <w:tcP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Gobierno de servicios</w:t>
            </w:r>
          </w:p>
        </w:tc>
        <w:tc>
          <w:tcP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HTTP gobernado por configuración</w:t>
            </w:r>
          </w:p>
        </w:tc>
        <w:tc>
          <w:tcP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Parámetros de medios, control y distribución vinculados a la ejecución.</w:t>
            </w:r>
          </w:p>
        </w:tc>
      </w:tr>
      <w:tr>
        <w:trPr>
          <w:cantSplit w:val="1"/>
          <w:tblHeader w:val="0"/>
        </w:trPr>
        <w:tc>
          <w:tcP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TensorRT, ONNX Runtime y DeepStream</w:t>
            </w:r>
          </w:p>
        </w:tc>
        <w:tc>
          <w:tcP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Alternativas del análisis previo, no runtimes utilizados en los resultados presentados</w:t>
            </w:r>
          </w:p>
        </w:tc>
        <w:tc>
          <w:tcP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se atribuyen al prototipo optimizaciones ni latencias de estas alternativas.</w:t>
            </w:r>
          </w:p>
        </w:tc>
      </w:tr>
      <w:tr>
        <w:trPr>
          <w:cantSplit w:val="1"/>
          <w:tblHeader w:val="0"/>
        </w:trPr>
        <w:tc>
          <w:tcP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Contenedores</w:t>
            </w:r>
          </w:p>
        </w:tc>
        <w:tc>
          <w:tcP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Definidos y validados por configuración; despliegue no verificado</w:t>
            </w:r>
          </w:p>
        </w:tc>
        <w:tc>
          <w:tcP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construcción y prueba integral no forman parte de la evidencia ejecutada.</w:t>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tabla describe la implementación de la sección 17.4, no una recomendación de versiones actuales. Los manuales de TensorRT, DeepStream y ONNX Runtime documentan alternativas consideradas, no su adopción efectiva (NVIDIA, 2026a, 2026b; ONNX Runtime, s. f.).</w:t>
      </w:r>
    </w:p>
    <w:p w:rsidR="00000000" w:rsidDel="00000000" w:rsidP="00000000" w:rsidRDefault="00000000" w:rsidRPr="00000000" w14:paraId="0000011F">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B.4</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Recurso institucional para la rama de ajuste fino</w:t>
      </w:r>
    </w:p>
    <w:tbl>
      <w:tblPr>
        <w:tblStyle w:val="Table6"/>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872"/>
        <w:gridCol w:w="3024"/>
        <w:gridCol w:w="4464"/>
        <w:tblGridChange w:id="0">
          <w:tblGrid>
            <w:gridCol w:w="1872"/>
            <w:gridCol w:w="3024"/>
            <w:gridCol w:w="446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2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Aspecto</w:t>
            </w:r>
          </w:p>
        </w:tc>
        <w:tc>
          <w:tcPr>
            <w:tcBorders>
              <w:bottom w:color="000000" w:space="0" w:sz="6" w:val="single"/>
            </w:tcBorders>
            <w:vAlign w:val="top"/>
          </w:tcPr>
          <w:p w:rsidR="00000000" w:rsidDel="00000000" w:rsidP="00000000" w:rsidRDefault="00000000" w:rsidRPr="00000000" w14:paraId="0000012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Recurso de referencia</w:t>
            </w:r>
          </w:p>
        </w:tc>
        <w:tc>
          <w:tcPr>
            <w:tcBorders>
              <w:bottom w:color="000000" w:space="0" w:sz="6" w:val="single"/>
            </w:tcBorders>
            <w:vAlign w:val="top"/>
          </w:tcPr>
          <w:p w:rsidR="00000000" w:rsidDel="00000000" w:rsidP="00000000" w:rsidRDefault="00000000" w:rsidRPr="00000000" w14:paraId="0000012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declarado</w:t>
            </w:r>
          </w:p>
        </w:tc>
      </w:tr>
      <w:tr>
        <w:trPr>
          <w:cantSplit w:val="1"/>
          <w:tblHeader w:val="0"/>
        </w:trPr>
        <w:tc>
          <w:tcP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Institución</w:t>
            </w:r>
          </w:p>
        </w:tc>
        <w:tc>
          <w:tcP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Clúster Mendieta, CCAD-UNC</w:t>
            </w:r>
          </w:p>
        </w:tc>
        <w:tc>
          <w:tcP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 de cómputo institucional de entrenamiento.</w:t>
            </w:r>
          </w:p>
        </w:tc>
      </w:tr>
      <w:tr>
        <w:trPr>
          <w:cantSplit w:val="1"/>
          <w:tblHeader w:val="0"/>
        </w:trPr>
        <w:tc>
          <w:tcP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GPU por nodo</w:t>
            </w:r>
          </w:p>
        </w:tc>
        <w:tc>
          <w:tcP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Dos NVIDIA A30, con 24 GB por GPU</w:t>
            </w:r>
          </w:p>
        </w:tc>
        <w:tc>
          <w:tcP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disponibilidad por nodo no implica entrenamiento multi-GPU.</w:t>
            </w:r>
          </w:p>
        </w:tc>
      </w:tr>
      <w:tr>
        <w:trPr>
          <w:cantSplit w:val="1"/>
          <w:tblHeader w:val="0"/>
        </w:trPr>
        <w:tc>
          <w:tcP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Asignación mínima de referencia</w:t>
            </w:r>
          </w:p>
        </w:tc>
        <w:tc>
          <w:tcP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Medio nodo, con 10 núcleos de CPU y una GPU</w:t>
            </w:r>
          </w:p>
        </w:tc>
        <w:tc>
          <w:tcP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asignación de cada trabajo pertenece a su registro de ejecución.</w:t>
            </w:r>
          </w:p>
        </w:tc>
      </w:tr>
      <w:tr>
        <w:trPr>
          <w:cantSplit w:val="1"/>
          <w:tblHeader w:val="0"/>
        </w:trPr>
        <w:tc>
          <w:tcP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del nodo</w:t>
            </w:r>
          </w:p>
        </w:tc>
        <w:tc>
          <w:tcP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64 GB</w:t>
            </w:r>
          </w:p>
        </w:tc>
        <w:tc>
          <w:tcP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Especificación de infraestructura, no utilización medida.</w:t>
            </w:r>
          </w:p>
        </w:tc>
      </w:tr>
      <w:tr>
        <w:trPr>
          <w:cantSplit w:val="1"/>
          <w:tblHeader w:val="0"/>
        </w:trPr>
        <w:tc>
          <w:tcP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Función en el proyecto</w:t>
            </w:r>
          </w:p>
        </w:tc>
        <w:tc>
          <w:tcP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y evaluación técnica de las variantes de la rama comparativa</w:t>
            </w:r>
          </w:p>
        </w:tc>
        <w:tc>
          <w:tcP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TN no formó parte del camino de inferencia en vivo del prototipo.</w:t>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Infraestructura según el relevamiento utilizado por el proyecto y la documentación de CCAD y NVIDIA (Centro de Computación de Alto Desempeño, 2026; NVIDIA, 2022). Los veredictos de adopción se informan en la sección 17.5.6.</w:t>
      </w:r>
    </w:p>
    <w:p w:rsidR="00000000" w:rsidDel="00000000" w:rsidP="00000000" w:rsidRDefault="00000000" w:rsidRPr="00000000" w14:paraId="00000134">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B.5</w:t>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Identificación de las ejecuciones de ajuste fino</w:t>
      </w:r>
    </w:p>
    <w:tbl>
      <w:tblPr>
        <w:tblStyle w:val="Table7"/>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7344"/>
        <w:tblGridChange w:id="0">
          <w:tblGrid>
            <w:gridCol w:w="2016"/>
            <w:gridCol w:w="734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3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Elemento</w:t>
            </w:r>
          </w:p>
        </w:tc>
        <w:tc>
          <w:tcPr>
            <w:tcBorders>
              <w:bottom w:color="000000" w:space="0" w:sz="6" w:val="single"/>
            </w:tcBorders>
            <w:vAlign w:val="top"/>
          </w:tcPr>
          <w:p w:rsidR="00000000" w:rsidDel="00000000" w:rsidP="00000000" w:rsidRDefault="00000000" w:rsidRPr="00000000" w14:paraId="0000013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Registro conservado o condición aplicada</w:t>
            </w:r>
          </w:p>
        </w:tc>
      </w:tr>
      <w:tr>
        <w:trPr>
          <w:cantSplit w:val="1"/>
          <w:tblHeader w:val="0"/>
        </w:trPr>
        <w:tc>
          <w:tcP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Plataforma</w:t>
            </w:r>
          </w:p>
        </w:tc>
        <w:tc>
          <w:tcP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Linux del clúster y ejecución de trabajos de entrenamiento.</w:t>
            </w:r>
          </w:p>
        </w:tc>
      </w:tr>
      <w:tr>
        <w:trPr>
          <w:cantSplit w:val="1"/>
          <w:tblHeader w:val="0"/>
        </w:trPr>
        <w:tc>
          <w:tcP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 de referencia</w:t>
            </w:r>
          </w:p>
        </w:tc>
        <w:tc>
          <w:tcP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YOLOE-26s; línea base separada del núcleo zero-shot de la plataforma.</w:t>
            </w:r>
          </w:p>
        </w:tc>
      </w:tr>
      <w:tr>
        <w:trPr>
          <w:cantSplit w:val="1"/>
          <w:tblHeader w:val="0"/>
        </w:trPr>
        <w:tc>
          <w:tcP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Primer tramo</w:t>
            </w:r>
          </w:p>
        </w:tc>
        <w:tc>
          <w:tcP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de la proyección de clases, con registro de los parámetros entrenables y del optimizador.</w:t>
            </w:r>
          </w:p>
        </w:tc>
      </w:tr>
      <w:tr>
        <w:trPr>
          <w:cantSplit w:val="1"/>
          <w:tblHeader w:val="0"/>
        </w:trPr>
        <w:tc>
          <w:tcP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Segundo tramo</w:t>
            </w:r>
          </w:p>
        </w:tc>
        <w:tc>
          <w:tcP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del detector con las rutas de prompt congeladas; ejecución evaluada con SGD explícito desde el peso base.</w:t>
            </w:r>
          </w:p>
        </w:tc>
      </w:tr>
      <w:tr>
        <w:trPr>
          <w:cantSplit w:val="1"/>
          <w:tblHeader w:val="0"/>
        </w:trPr>
        <w:tc>
          <w:tcP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Datos</w:t>
            </w:r>
          </w:p>
        </w:tc>
        <w:tc>
          <w:tcP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Particiones de entrenamiento y validación de construction_site_safety y ppe_siabar, disjuntas del banco de evaluación según la regla aplicada.</w:t>
            </w:r>
          </w:p>
        </w:tc>
      </w:tr>
      <w:tr>
        <w:trPr>
          <w:cantSplit w:val="1"/>
          <w:tblHeader w:val="0"/>
        </w:trPr>
        <w:tc>
          <w:tcP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Artefactos</w:t>
            </w:r>
          </w:p>
        </w:tc>
        <w:tc>
          <w:tcP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Configuración, registros de entrenamiento, checkpoint evaluado, referencia de evaluación y veredicto.</w:t>
            </w:r>
          </w:p>
        </w:tc>
      </w:tr>
      <w:tr>
        <w:trPr>
          <w:cantSplit w:val="1"/>
          <w:tblHeader w:val="0"/>
        </w:trPr>
        <w:tc>
          <w:tcP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Alcance</w:t>
            </w:r>
          </w:p>
        </w:tc>
        <w:tc>
          <w:tcP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Evaluación sobre imágenes. No se atribuyen mediciones de clips ni de captura en vivo a los checkpoints ajustados.</w:t>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tabla conserva las condiciones materiales de la rama documentada en la sección 17.4.7. No transforma opciones candidatas de entrenamiento distribuido en procedimientos ejecutados.</w:t>
      </w:r>
    </w:p>
    <w:p w:rsidR="00000000" w:rsidDel="00000000" w:rsidP="00000000" w:rsidRDefault="00000000" w:rsidRPr="00000000" w14:paraId="0000014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B.6</w:t>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Parámetros de referencia y configuraciones identificadoras del núcleo</w:t>
      </w:r>
    </w:p>
    <w:tbl>
      <w:tblPr>
        <w:tblStyle w:val="Table8"/>
        <w:tblW w:w="9360.000000000002"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88"/>
        <w:gridCol w:w="3816"/>
        <w:gridCol w:w="3456"/>
        <w:tblGridChange w:id="0">
          <w:tblGrid>
            <w:gridCol w:w="2088"/>
            <w:gridCol w:w="3816"/>
            <w:gridCol w:w="345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4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Parámetro</w:t>
            </w:r>
          </w:p>
        </w:tc>
        <w:tc>
          <w:tcPr>
            <w:tcBorders>
              <w:bottom w:color="000000" w:space="0" w:sz="6" w:val="single"/>
            </w:tcBorders>
            <w:vAlign w:val="top"/>
          </w:tcPr>
          <w:p w:rsidR="00000000" w:rsidDel="00000000" w:rsidP="00000000" w:rsidRDefault="00000000" w:rsidRPr="00000000" w14:paraId="0000014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Valor o regla</w:t>
            </w:r>
          </w:p>
        </w:tc>
        <w:tc>
          <w:tcPr>
            <w:tcBorders>
              <w:bottom w:color="000000" w:space="0" w:sz="6" w:val="single"/>
            </w:tcBorders>
            <w:vAlign w:val="top"/>
          </w:tcPr>
          <w:p w:rsidR="00000000" w:rsidDel="00000000" w:rsidP="00000000" w:rsidRDefault="00000000" w:rsidRPr="00000000" w14:paraId="0000014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Interpretación</w:t>
            </w:r>
          </w:p>
        </w:tc>
      </w:tr>
      <w:tr>
        <w:trPr>
          <w:cantSplit w:val="1"/>
          <w:tblHeader w:val="0"/>
        </w:trPr>
        <w:tc>
          <w:tcP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y cadencia de la fuente</w:t>
            </w:r>
          </w:p>
        </w:tc>
        <w:tc>
          <w:tcP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Declaradas por fuente y corrida</w:t>
            </w:r>
          </w:p>
        </w:tc>
        <w:tc>
          <w:tcP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equivalen a la resolución de entrada del detector ni a los FPS efectivos.</w:t>
            </w:r>
          </w:p>
        </w:tc>
      </w:tr>
      <w:tr>
        <w:trPr>
          <w:cantSplit w:val="1"/>
          <w:tblHeader w:val="0"/>
        </w:trPr>
        <w:tc>
          <w:tcP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gdino-tiny-560</w:t>
            </w:r>
          </w:p>
        </w:tc>
        <w:tc>
          <w:tcP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560 px; box_threshold 0,30; text_threshold 0,25; NMS IoU 0,50; fp16</w:t>
            </w:r>
          </w:p>
        </w:tc>
        <w:tc>
          <w:tcP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Combinación operativa que debe identificarse completa.</w:t>
            </w:r>
          </w:p>
        </w:tc>
      </w:tr>
      <w:tr>
        <w:trPr>
          <w:cantSplit w:val="1"/>
          <w:tblHeader w:val="0"/>
        </w:trPr>
        <w:tc>
          <w:tcP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gdino-base-560</w:t>
            </w:r>
          </w:p>
        </w:tc>
        <w:tc>
          <w:tcP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560 px, con los mismos umbrales del perfil anterior</w:t>
            </w:r>
          </w:p>
        </w:tc>
        <w:tc>
          <w:tcP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Contraste especializado; el cambio de perfil no implica equivalencia de latencia.</w:t>
            </w:r>
          </w:p>
        </w:tc>
      </w:tr>
      <w:tr>
        <w:trPr>
          <w:cantSplit w:val="1"/>
          <w:tblHeader w:val="0"/>
        </w:trPr>
        <w:tc>
          <w:tcP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gdino-tiny de 800 px</w:t>
            </w:r>
          </w:p>
        </w:tc>
        <w:tc>
          <w:tcP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box_threshold 0,35</w:t>
            </w:r>
          </w:p>
        </w:tc>
        <w:tc>
          <w:tcP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permite atribuir exclusivamente a la resolución una diferencia de calidad frente a 560 px.</w:t>
            </w:r>
          </w:p>
        </w:tc>
      </w:tr>
      <w:tr>
        <w:trPr>
          <w:cantSplit w:val="1"/>
          <w:tblHeader w:val="0"/>
        </w:trPr>
        <w:tc>
          <w:tcP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Confirmación de CR-01 / CR-02</w:t>
            </w:r>
          </w:p>
        </w:tc>
        <w:tc>
          <w:tcP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4.000 / 7.000 ms</w:t>
            </w:r>
          </w:p>
        </w:tc>
        <w:tc>
          <w:tcP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Ventanas metodológicas de evidencia; no son límites derivados de normativa.</w:t>
            </w:r>
          </w:p>
        </w:tc>
      </w:tr>
      <w:tr>
        <w:trPr>
          <w:cantSplit w:val="1"/>
          <w:tblHeader w:val="0"/>
        </w:trPr>
        <w:tc>
          <w:tcP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de CR-01 / CR-02</w:t>
            </w:r>
          </w:p>
        </w:tc>
        <w:tc>
          <w:tcP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2.000 / 3.000 ms</w:t>
            </w:r>
          </w:p>
        </w:tc>
        <w:tc>
          <w:tcP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Histéresis del motor de patrones.</w:t>
            </w:r>
          </w:p>
        </w:tc>
      </w:tr>
      <w:tr>
        <w:trPr>
          <w:cantSplit w:val="1"/>
          <w:tblHeader w:val="0"/>
        </w:trPr>
        <w:tc>
          <w:tcP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Granularidad</w:t>
            </w:r>
          </w:p>
        </w:tc>
        <w:tc>
          <w:tcP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scene o subject, declarada en el conjunto de patrones</w:t>
            </w:r>
          </w:p>
        </w:tc>
        <w:tc>
          <w:tcP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Cada resultado se vincula con la granularidad que lo produjo.</w:t>
            </w:r>
          </w:p>
        </w:tc>
      </w:tr>
      <w:tr>
        <w:trPr>
          <w:cantSplit w:val="1"/>
          <w:tblHeader w:val="0"/>
        </w:trPr>
        <w:tc>
          <w:tcP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 de re-confirmación del motor</w:t>
            </w:r>
          </w:p>
        </w:tc>
        <w:tc>
          <w:tcP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cooldown en la configuración del núcleo</w:t>
            </w:r>
          </w:p>
        </w:tc>
        <w:tc>
          <w:tcP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política de notificación se aplica en distribución.</w:t>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Configuraciones efectivas según la sección 17.4.4. El presupuesto metodológico de latencia se conserva en la sección 17.1.7; los valores de esta tabla no lo reemplazan por un resultado medido. Para YOLOE se aplican los umbrales propios de su adaptador y no los campos inertes de otra familia.</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B.7</w:t>
      </w:r>
    </w:p>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Topología y fronteras operativas de la ejecución en vivo</w:t>
      </w:r>
    </w:p>
    <w:tbl>
      <w:tblPr>
        <w:tblStyle w:val="Table9"/>
        <w:tblW w:w="12885.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3210"/>
        <w:gridCol w:w="9675"/>
        <w:tblGridChange w:id="0">
          <w:tblGrid>
            <w:gridCol w:w="3210"/>
            <w:gridCol w:w="9675"/>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6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Aspecto</w:t>
            </w:r>
          </w:p>
        </w:tc>
        <w:tc>
          <w:tcPr>
            <w:tcBorders>
              <w:bottom w:color="000000" w:space="0" w:sz="6" w:val="single"/>
            </w:tcBorders>
            <w:vAlign w:val="top"/>
          </w:tcPr>
          <w:p w:rsidR="00000000" w:rsidDel="00000000" w:rsidP="00000000" w:rsidRDefault="00000000" w:rsidRPr="00000000" w14:paraId="0000016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Materialización y alcance</w:t>
            </w:r>
          </w:p>
        </w:tc>
      </w:tr>
      <w:tr>
        <w:trPr>
          <w:cantSplit w:val="1"/>
          <w:tblHeader w:val="0"/>
        </w:trPr>
        <w:tc>
          <w:tcP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Fuentes</w:t>
            </w:r>
          </w:p>
        </w:tc>
        <w:tc>
          <w:tcP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Captura OAK-D por SDK y fuentes de video RTSP.</w:t>
            </w:r>
          </w:p>
        </w:tc>
      </w:tr>
      <w:tr>
        <w:trPr>
          <w:cantSplit w:val="1"/>
          <w:tblHeader w:val="0"/>
        </w:trPr>
        <w:tc>
          <w:tcP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Gobierno</w:t>
            </w:r>
          </w:p>
        </w:tc>
        <w:tc>
          <w:tcP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Servicios HTTP de medios, control y distribución; el orquestador y la consola son sus clientes.</w:t>
            </w:r>
          </w:p>
        </w:tc>
      </w:tr>
      <w:tr>
        <w:trPr>
          <w:cantSplit w:val="1"/>
          <w:tblHeader w:val="0"/>
        </w:trPr>
        <w:tc>
          <w:tcP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Dato en ejecución</w:t>
            </w:r>
          </w:p>
        </w:tc>
        <w:tc>
          <w:tcP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Canal de detecciones entre medios y control, y canal de alertas entre control y distribución.</w:t>
            </w:r>
          </w:p>
        </w:tc>
      </w:tr>
      <w:tr>
        <w:trPr>
          <w:cantSplit w:val="1"/>
          <w:tblHeader w:val="0"/>
        </w:trPr>
        <w:tc>
          <w:tcP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Orden de arranque con distribución</w:t>
            </w:r>
          </w:p>
        </w:tc>
        <w:tc>
          <w:tcP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 distribución y medios. El distribuidor requiere la identificación de la corrida de control.</w:t>
            </w:r>
          </w:p>
        </w:tc>
      </w:tr>
      <w:tr>
        <w:trPr>
          <w:cantSplit w:val="1"/>
          <w:tblHeader w:val="0"/>
        </w:trPr>
        <w:tc>
          <w:tcP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Sincronización de publicación</w:t>
            </w:r>
          </w:p>
        </w:tc>
        <w:tc>
          <w:tcP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publicador de alertas espera la suscripción del distribuidor; la protección inicial no se atribuye sólo al orden de arranque.</w:t>
            </w:r>
          </w:p>
        </w:tc>
      </w:tr>
      <w:tr>
        <w:trPr>
          <w:cantSplit w:val="1"/>
          <w:tblHeader w:val="0"/>
        </w:trPr>
        <w:tc>
          <w:tcP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Conservación</w:t>
            </w:r>
          </w:p>
        </w:tc>
        <w:tc>
          <w:tcP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Persistencia de eventos antes de publicación y registros de entrega independientes.</w:t>
            </w:r>
          </w:p>
        </w:tc>
      </w:tr>
      <w:tr>
        <w:trPr>
          <w:cantSplit w:val="1"/>
          <w:tblHeader w:val="0"/>
        </w:trPr>
        <w:tc>
          <w:tcP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Temporalidad</w:t>
            </w:r>
          </w:p>
        </w:tc>
        <w:tc>
          <w:tcP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Relojes y extremos declarados por tramo. La medición de captura hasta el dequeue sólo se sostuvo para OAK-D.</w:t>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sectPr>
          <w:type w:val="nextPage"/>
          <w:pgSz w:h="12240" w:w="15840" w:orient="landscape"/>
          <w:pgMar w:bottom="1440" w:top="1440" w:left="1440" w:right="1440" w:header="720" w:footer="720"/>
        </w:sect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Síntesis de las fronteras operativas de la sección 17.4. Los esquemas versionados conservan su función al distribuir los servicios; una topología admitida por el diseño no constituye, por sí sola, una prueba de desempeño.</w:t>
      </w:r>
    </w:p>
    <w:p w:rsidR="00000000" w:rsidDel="00000000" w:rsidP="00000000" w:rsidRDefault="00000000" w:rsidRPr="00000000" w14:paraId="00000178">
      <w:pPr>
        <w:pStyle w:val="Heading2"/>
        <w:spacing w:after="0" w:before="0" w:line="480" w:lineRule="auto"/>
        <w:rPr/>
      </w:pPr>
      <w:r w:rsidDel="00000000" w:rsidR="00000000" w:rsidRPr="00000000">
        <w:rPr>
          <w:rtl w:val="0"/>
        </w:rPr>
        <w:t xml:space="preserve">19.3. Anexo C - Prompts, datos, datasets, benchmarks y logística</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 conserva el catálogo metodológico de prompts y la logística de datos de la sección 17.1. Las Tablas C.1, C.2 y C.3 describen opciones y condiciones del protocolo, no una declaración de que todas fueron ejecutadas. Su estado de ejercicio se informa en la sección 17.5.7.</w:t>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C.1</w:t>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Catálogo de prompts candidatos por condición de riesgo</w:t>
      </w:r>
    </w:p>
    <w:tbl>
      <w:tblPr>
        <w:tblStyle w:val="Table10"/>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008"/>
        <w:gridCol w:w="2088"/>
        <w:gridCol w:w="4680"/>
        <w:gridCol w:w="5184"/>
        <w:tblGridChange w:id="0">
          <w:tblGrid>
            <w:gridCol w:w="1008"/>
            <w:gridCol w:w="2088"/>
            <w:gridCol w:w="4680"/>
            <w:gridCol w:w="518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7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Código</w:t>
            </w:r>
          </w:p>
        </w:tc>
        <w:tc>
          <w:tcPr>
            <w:tcBorders>
              <w:bottom w:color="000000" w:space="0" w:sz="6" w:val="single"/>
            </w:tcBorders>
            <w:vAlign w:val="top"/>
          </w:tcPr>
          <w:p w:rsidR="00000000" w:rsidDel="00000000" w:rsidP="00000000" w:rsidRDefault="00000000" w:rsidRPr="00000000" w14:paraId="0000017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Eje de variación</w:t>
            </w:r>
          </w:p>
        </w:tc>
        <w:tc>
          <w:tcPr>
            <w:tcBorders>
              <w:bottom w:color="000000" w:space="0" w:sz="6" w:val="single"/>
            </w:tcBorders>
            <w:vAlign w:val="top"/>
          </w:tcPr>
          <w:p w:rsidR="00000000" w:rsidDel="00000000" w:rsidP="00000000" w:rsidRDefault="00000000" w:rsidRPr="00000000" w14:paraId="0000017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Prompt candidato (inglés)</w:t>
            </w:r>
          </w:p>
        </w:tc>
        <w:tc>
          <w:tcPr>
            <w:tcBorders>
              <w:bottom w:color="000000" w:space="0" w:sz="6" w:val="single"/>
            </w:tcBorders>
            <w:vAlign w:val="top"/>
          </w:tcPr>
          <w:p w:rsidR="00000000" w:rsidDel="00000000" w:rsidP="00000000" w:rsidRDefault="00000000" w:rsidRPr="00000000" w14:paraId="0000017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Estrategia</w:t>
            </w:r>
          </w:p>
        </w:tc>
      </w:tr>
      <w:tr>
        <w:trPr>
          <w:cantSplit w:val="1"/>
          <w:tblHeader w:val="0"/>
        </w:trPr>
        <w:tc>
          <w:tcP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hard hat</w:t>
            </w:r>
          </w:p>
        </w:tc>
        <w:tc>
          <w:tcP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Frase nominal con negación explícita</w:t>
            </w:r>
          </w:p>
        </w:tc>
      </w:tr>
      <w:tr>
        <w:trPr>
          <w:cantSplit w:val="1"/>
          <w:tblHeader w:val="0"/>
        </w:trPr>
        <w:tc>
          <w:tcP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 worker without safety helmet</w:t>
            </w:r>
          </w:p>
        </w:tc>
        <w:tc>
          <w:tcP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Términos específicos del dominio</w:t>
            </w:r>
          </w:p>
        </w:tc>
      </w:tr>
      <w:tr>
        <w:trPr>
          <w:cantSplit w:val="1"/>
          <w:tblHeader w:val="0"/>
        </w:trPr>
        <w:tc>
          <w:tcP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observable</w:t>
            </w:r>
          </w:p>
        </w:tc>
        <w:tc>
          <w:tcP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 bare head on construction site</w:t>
            </w:r>
          </w:p>
        </w:tc>
        <w:tc>
          <w:tcP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resultante, sin negación directa</w:t>
            </w:r>
          </w:p>
        </w:tc>
      </w:tr>
      <w:tr>
        <w:trPr>
          <w:cantSplit w:val="1"/>
          <w:tblHeader w:val="0"/>
        </w:trPr>
        <w:tc>
          <w:tcP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w:t>
            </w:r>
          </w:p>
        </w:tc>
        <w:tc>
          <w:tcP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photo of a hard hat</w:t>
            </w:r>
          </w:p>
        </w:tc>
        <w:tc>
          <w:tcP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 estándar CLIP para detección de presencia</w:t>
            </w:r>
          </w:p>
        </w:tc>
      </w:tr>
      <w:tr>
        <w:trPr>
          <w:cantSplit w:val="1"/>
          <w:tblHeader w:val="0"/>
        </w:trPr>
        <w:tc>
          <w:tcP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Indirecta</w:t>
            </w:r>
          </w:p>
        </w:tc>
        <w:tc>
          <w:tcP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hard hat ; person</w:t>
            </w:r>
          </w:p>
        </w:tc>
        <w:tc>
          <w:tcP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entidades; relación evaluada externamente</w:t>
            </w:r>
          </w:p>
        </w:tc>
      </w:tr>
      <w:tr>
        <w:trPr>
          <w:cantSplit w:val="1"/>
          <w:tblHeader w:val="0"/>
        </w:trPr>
        <w:tc>
          <w:tcP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reflective vest</w:t>
            </w:r>
          </w:p>
        </w:tc>
        <w:tc>
          <w:tcP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Frase nominal con negación</w:t>
            </w:r>
          </w:p>
        </w:tc>
      </w:tr>
      <w:tr>
        <w:trPr>
          <w:cantSplit w:val="1"/>
          <w:tblHeader w:val="0"/>
        </w:trPr>
        <w:tc>
          <w:tcP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worker without high-visibility vest</w:t>
            </w:r>
          </w:p>
        </w:tc>
        <w:tc>
          <w:tcP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 técnico de seguridad</w:t>
            </w:r>
          </w:p>
        </w:tc>
      </w:tr>
      <w:tr>
        <w:trPr>
          <w:cantSplit w:val="1"/>
          <w:tblHeader w:val="0"/>
        </w:trPr>
        <w:tc>
          <w:tcP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Descripción visual</w:t>
            </w:r>
          </w:p>
        </w:tc>
        <w:tc>
          <w:tcP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bright colored safety clothing</w:t>
            </w:r>
          </w:p>
        </w:tc>
        <w:tc>
          <w:tcP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Descripción visual del atributo ausente</w:t>
            </w:r>
          </w:p>
        </w:tc>
      </w:tr>
      <w:tr>
        <w:trPr>
          <w:cantSplit w:val="1"/>
          <w:tblHeader w:val="0"/>
        </w:trPr>
        <w:tc>
          <w:tcP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w:t>
            </w:r>
          </w:p>
        </w:tc>
        <w:tc>
          <w:tcP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photo of a reflective safety vest</w:t>
            </w:r>
          </w:p>
        </w:tc>
        <w:tc>
          <w:tcP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 estándar CLIP</w:t>
            </w:r>
          </w:p>
        </w:tc>
      </w:tr>
      <w:tr>
        <w:trPr>
          <w:cantSplit w:val="1"/>
          <w:tblHeader w:val="0"/>
        </w:trPr>
        <w:tc>
          <w:tcP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Indirecta</w:t>
            </w:r>
          </w:p>
        </w:tc>
        <w:tc>
          <w:tcP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reflective vest ; person</w:t>
            </w:r>
          </w:p>
        </w:tc>
        <w:tc>
          <w:tcP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entidades</w:t>
            </w:r>
          </w:p>
        </w:tc>
      </w:tr>
      <w:tr>
        <w:trPr>
          <w:cantSplit w:val="1"/>
          <w:tblHeader w:val="0"/>
        </w:trPr>
        <w:tc>
          <w:tcP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on scaffolding without harness</w:t>
            </w:r>
          </w:p>
        </w:tc>
        <w:tc>
          <w:tcP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Contexto espacial + negación</w:t>
            </w:r>
          </w:p>
        </w:tc>
      </w:tr>
      <w:tr>
        <w:trPr>
          <w:cantSplit w:val="1"/>
          <w:tblHeader w:val="0"/>
        </w:trPr>
        <w:tc>
          <w:tcP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worker at height without fall protection equipment</w:t>
            </w:r>
          </w:p>
        </w:tc>
        <w:tc>
          <w:tcP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 técnico ampliado</w:t>
            </w:r>
          </w:p>
        </w:tc>
      </w:tr>
      <w:tr>
        <w:trPr>
          <w:cantSplit w:val="1"/>
          <w:tblHeader w:val="0"/>
        </w:trPr>
        <w:tc>
          <w:tcP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Descompuesta</w:t>
            </w:r>
          </w:p>
        </w:tc>
        <w:tc>
          <w:tcP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on scaffolding ; safety harness ; fall arrest harness</w:t>
            </w:r>
          </w:p>
        </w:tc>
        <w:tc>
          <w:tcP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persona en altura y elementos de protección</w:t>
            </w:r>
          </w:p>
        </w:tc>
      </w:tr>
      <w:tr>
        <w:trPr>
          <w:cantSplit w:val="1"/>
          <w:tblHeader w:val="0"/>
        </w:trPr>
        <w:tc>
          <w:tcP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observable</w:t>
            </w:r>
          </w:p>
        </w:tc>
        <w:tc>
          <w:tcP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unprotected worker on elevated platform</w:t>
            </w:r>
          </w:p>
        </w:tc>
        <w:tc>
          <w:tcP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resultante sin negación explícita del EPP</w:t>
            </w:r>
          </w:p>
        </w:tc>
      </w:tr>
      <w:tr>
        <w:trPr>
          <w:cantSplit w:val="1"/>
          <w:tblHeader w:val="0"/>
        </w:trPr>
        <w:tc>
          <w:tcP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unprotected edge with person nearby</w:t>
            </w:r>
          </w:p>
        </w:tc>
        <w:tc>
          <w:tcP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compuesta: borde + persona</w:t>
            </w:r>
          </w:p>
        </w:tc>
      </w:tr>
      <w:tr>
        <w:trPr>
          <w:cantSplit w:val="1"/>
          <w:tblHeader w:val="0"/>
        </w:trPr>
        <w:tc>
          <w:tcP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elevated platform without guardrail near workers</w:t>
            </w:r>
          </w:p>
        </w:tc>
        <w:tc>
          <w:tcPr>
            <w:vAlign w:val="top"/>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Términos de protección colectiva</w:t>
            </w:r>
          </w:p>
        </w:tc>
      </w:tr>
      <w:tr>
        <w:trPr>
          <w:cantSplit w:val="1"/>
          <w:tblHeader w:val="0"/>
        </w:trPr>
        <w:tc>
          <w:tcP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Descompuesta</w:t>
            </w:r>
          </w:p>
        </w:tc>
        <w:tc>
          <w:tcP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platform edge ; guardrail ; safety railing ; person at height</w:t>
            </w:r>
          </w:p>
        </w:tc>
        <w:tc>
          <w:tcP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de borde, protección colectiva y persona</w:t>
            </w:r>
          </w:p>
        </w:tc>
      </w:tr>
      <w:tr>
        <w:trPr>
          <w:cantSplit w:val="1"/>
          <w:tblHeader w:val="0"/>
        </w:trPr>
        <w:tc>
          <w:tcP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CR-05 (a)</w:t>
            </w:r>
          </w:p>
        </w:tc>
        <w:tc>
          <w:tcP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maquinaria</w:t>
            </w:r>
          </w:p>
        </w:tc>
        <w:tc>
          <w:tcP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excavator ; backhoe loader ; dump truck ; crane ; heavy machinery</w:t>
            </w:r>
          </w:p>
        </w:tc>
        <w:tc>
          <w:tcP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de maquinaria a detectar individualmente</w:t>
            </w:r>
          </w:p>
        </w:tc>
      </w:tr>
      <w:tr>
        <w:trPr>
          <w:cantSplit w:val="1"/>
          <w:tblHeader w:val="0"/>
        </w:trPr>
        <w:tc>
          <w:tcP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CR-05 (b)</w:t>
            </w:r>
          </w:p>
        </w:tc>
        <w:tc>
          <w:tcP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humanas</w:t>
            </w:r>
          </w:p>
        </w:tc>
        <w:tc>
          <w:tcP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 construction worker ; pedestrian</w:t>
            </w:r>
          </w:p>
        </w:tc>
        <w:tc>
          <w:tcP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humanas a detectar individualmente</w:t>
            </w:r>
          </w:p>
        </w:tc>
      </w:tr>
      <w:tr>
        <w:trPr>
          <w:cantSplit w:val="1"/>
          <w:tblHeader w:val="0"/>
        </w:trPr>
        <w:tc>
          <w:tcP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CR-06 (a)</w:t>
            </w:r>
          </w:p>
        </w:tc>
        <w:tc>
          <w:tcP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persona</w:t>
            </w:r>
          </w:p>
        </w:tc>
        <w:tc>
          <w:tcP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 worker ; pedestrian</w:t>
            </w:r>
          </w:p>
        </w:tc>
        <w:tc>
          <w:tcP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cuya posición se evalúa contra el polígono</w:t>
            </w:r>
          </w:p>
        </w:tc>
      </w:tr>
      <w:tr>
        <w:trPr>
          <w:cantSplit w:val="1"/>
          <w:tblHeader w:val="0"/>
        </w:trPr>
        <w:tc>
          <w:tcP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CR-06 (b)</w:t>
            </w:r>
          </w:p>
        </w:tc>
        <w:tc>
          <w:tcP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Elementos auxiliares</w:t>
            </w:r>
          </w:p>
        </w:tc>
        <w:tc>
          <w:tcP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restricted area sign ; caution tape ; warning tape ; barrier ; safety cone</w:t>
            </w:r>
          </w:p>
        </w:tc>
        <w:tc>
          <w:tcP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Elementos delimitadores de referencia visual</w:t>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C.2</w:t>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Variables de sensibilidad candidatas para el Environment-Based Evaluation</w:t>
      </w:r>
    </w:p>
    <w:tbl>
      <w:tblPr>
        <w:tblStyle w:val="Table11"/>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304"/>
        <w:gridCol w:w="5328"/>
        <w:gridCol w:w="5328"/>
        <w:tblGridChange w:id="0">
          <w:tblGrid>
            <w:gridCol w:w="2304"/>
            <w:gridCol w:w="5328"/>
            <w:gridCol w:w="532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D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Variable</w:t>
            </w:r>
          </w:p>
        </w:tc>
        <w:tc>
          <w:tcPr>
            <w:tcBorders>
              <w:bottom w:color="000000" w:space="0" w:sz="6" w:val="single"/>
            </w:tcBorders>
            <w:vAlign w:val="top"/>
          </w:tcPr>
          <w:p w:rsidR="00000000" w:rsidDel="00000000" w:rsidP="00000000" w:rsidRDefault="00000000" w:rsidRPr="00000000" w14:paraId="000001D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Niveles o condiciones retenidas</w:t>
            </w:r>
          </w:p>
        </w:tc>
        <w:tc>
          <w:tcPr>
            <w:tcBorders>
              <w:bottom w:color="000000" w:space="0" w:sz="6" w:val="single"/>
            </w:tcBorders>
            <w:vAlign w:val="top"/>
          </w:tcPr>
          <w:p w:rsidR="00000000" w:rsidDel="00000000" w:rsidP="00000000" w:rsidRDefault="00000000" w:rsidRPr="00000000" w14:paraId="000001D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dentro del protocolo</w:t>
            </w:r>
          </w:p>
        </w:tc>
      </w:tr>
      <w:tr>
        <w:trPr>
          <w:cantSplit w:val="1"/>
          <w:tblHeader w:val="0"/>
        </w:trPr>
        <w:tc>
          <w:tcP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Iluminación</w:t>
            </w:r>
          </w:p>
        </w:tc>
        <w:tc>
          <w:tcP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Controlada; mixta; natural cuando el entorno lo permita.</w:t>
            </w:r>
          </w:p>
        </w:tc>
        <w:tc>
          <w:tcP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Define condición base y barridos univariados de sensibilidad.</w:t>
            </w:r>
          </w:p>
        </w:tc>
      </w:tr>
      <w:tr>
        <w:trPr>
          <w:cantSplit w:val="1"/>
          <w:tblHeader w:val="0"/>
        </w:trPr>
        <w:tc>
          <w:tcP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de fuente</w:t>
            </w:r>
          </w:p>
        </w:tc>
        <w:tc>
          <w:tcP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1280 × 720 como base; 1920 × 1080 como variante de sensibilidad si la configuración lo permite.</w:t>
            </w:r>
          </w:p>
        </w:tc>
        <w:tc>
          <w:tcP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Estima el costo-beneficio entre visibilidad, carga computacional y estabilidad del pipeline.</w:t>
            </w:r>
          </w:p>
        </w:tc>
      </w:tr>
      <w:tr>
        <w:trPr>
          <w:cantSplit w:val="1"/>
          <w:tblHeader w:val="0"/>
        </w:trPr>
        <w:tc>
          <w:tcP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Distancia cámara-sujeto</w:t>
            </w:r>
          </w:p>
        </w:tc>
        <w:tc>
          <w:tcP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Rangos a cerrar en instancia de análisis y diseño arquitectónico según campo visual y tamaño aparente; guía inicial: 5-10 m y 10-20 m.</w:t>
            </w:r>
          </w:p>
        </w:tc>
        <w:tc>
          <w:tcP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observar el efecto de escala de objeto sin fijar una geometría de cámara antes del diseño del EBE.</w:t>
            </w:r>
          </w:p>
        </w:tc>
      </w:tr>
      <w:tr>
        <w:trPr>
          <w:cantSplit w:val="1"/>
          <w:tblHeader w:val="0"/>
        </w:trPr>
        <w:tc>
          <w:tcP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Oclusión</w:t>
            </w:r>
          </w:p>
        </w:tc>
        <w:tc>
          <w:tcP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Baja y media; la oclusión severa no se adopta como obligación de aceptación.</w:t>
            </w:r>
          </w:p>
        </w:tc>
        <w:tc>
          <w:tcP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Tensiona la robustez sin convertir la campaña en irreproducible.</w:t>
            </w:r>
          </w:p>
        </w:tc>
      </w:tr>
      <w:tr>
        <w:trPr>
          <w:cantSplit w:val="1"/>
          <w:tblHeader w:val="0"/>
        </w:trPr>
        <w:tc>
          <w:tcP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Tracker</w:t>
            </w:r>
          </w:p>
        </w:tc>
        <w:tc>
          <w:tcP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Deshabilitado y habilitado cuando aplique.</w:t>
            </w:r>
          </w:p>
        </w:tc>
        <w:tc>
          <w:tcP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medir el aporte del tracking a estabilidad, persistencia y reducción de falsas alarmas.</w:t>
            </w:r>
          </w:p>
        </w:tc>
      </w:tr>
      <w:tr>
        <w:trPr>
          <w:cantSplit w:val="1"/>
          <w:tblHeader w:val="0"/>
        </w:trPr>
        <w:tc>
          <w:tcP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Matriz de prompts</w:t>
            </w:r>
          </w:p>
        </w:tc>
        <w:tc>
          <w:tcP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 acotado de variantes por condición.</w:t>
            </w:r>
          </w:p>
        </w:tc>
        <w:tc>
          <w:tcP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seleccionar y congelar el prompt primario antes de las corridas comparativas finales.</w:t>
            </w:r>
          </w:p>
        </w:tc>
      </w:tr>
      <w:tr>
        <w:trPr>
          <w:cantSplit w:val="1"/>
          <w:tblHeader w:val="0"/>
        </w:trPr>
        <w:tc>
          <w:tcP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Composición del vocabulario activo</w:t>
            </w:r>
          </w:p>
        </w:tc>
        <w:tc>
          <w:tcP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Configuraciones pequeñas y medianas, explícitamente documentadas.</w:t>
            </w:r>
          </w:p>
        </w:tc>
        <w:tc>
          <w:tcP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medir si la cantidad y tipo de consultas activas impacta precisión, latencia o ambas.</w:t>
            </w:r>
          </w:p>
        </w:tc>
      </w:tr>
    </w:tbl>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1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C.3</w:t>
      </w:r>
    </w:p>
    <w:p w:rsidR="00000000" w:rsidDel="00000000" w:rsidP="00000000" w:rsidRDefault="00000000" w:rsidRPr="00000000" w14:paraId="000001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Logística de conversión y acceso de los datasets retenidos</w:t>
      </w:r>
    </w:p>
    <w:tbl>
      <w:tblPr>
        <w:tblStyle w:val="Table12"/>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232"/>
        <w:gridCol w:w="2016"/>
        <w:gridCol w:w="2448"/>
        <w:gridCol w:w="2016"/>
        <w:gridCol w:w="4248"/>
        <w:tblGridChange w:id="0">
          <w:tblGrid>
            <w:gridCol w:w="2232"/>
            <w:gridCol w:w="2016"/>
            <w:gridCol w:w="2448"/>
            <w:gridCol w:w="2016"/>
            <w:gridCol w:w="424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F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Dataset</w:t>
            </w:r>
          </w:p>
        </w:tc>
        <w:tc>
          <w:tcPr>
            <w:tcBorders>
              <w:bottom w:color="000000" w:space="0" w:sz="6" w:val="single"/>
            </w:tcBorders>
            <w:vAlign w:val="top"/>
          </w:tcPr>
          <w:p w:rsidR="00000000" w:rsidDel="00000000" w:rsidP="00000000" w:rsidRDefault="00000000" w:rsidRPr="00000000" w14:paraId="000001F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nativo</w:t>
            </w:r>
          </w:p>
        </w:tc>
        <w:tc>
          <w:tcPr>
            <w:tcBorders>
              <w:bottom w:color="000000" w:space="0" w:sz="6" w:val="single"/>
            </w:tcBorders>
            <w:vAlign w:val="top"/>
          </w:tcPr>
          <w:p w:rsidR="00000000" w:rsidDel="00000000" w:rsidP="00000000" w:rsidRDefault="00000000" w:rsidRPr="00000000" w14:paraId="000001F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de trabajo</w:t>
            </w:r>
          </w:p>
        </w:tc>
        <w:tc>
          <w:tcPr>
            <w:tcBorders>
              <w:bottom w:color="000000" w:space="0" w:sz="6" w:val="single"/>
            </w:tcBorders>
            <w:vAlign w:val="top"/>
          </w:tcPr>
          <w:p w:rsidR="00000000" w:rsidDel="00000000" w:rsidP="00000000" w:rsidRDefault="00000000" w:rsidRPr="00000000" w14:paraId="000001F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Vía de acceso</w:t>
            </w:r>
          </w:p>
        </w:tc>
        <w:tc>
          <w:tcPr>
            <w:tcBorders>
              <w:bottom w:color="000000" w:space="0" w:sz="6" w:val="single"/>
            </w:tcBorders>
            <w:vAlign w:val="top"/>
          </w:tcPr>
          <w:p w:rsidR="00000000" w:rsidDel="00000000" w:rsidP="00000000" w:rsidRDefault="00000000" w:rsidRPr="00000000" w14:paraId="000001F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Observación</w:t>
            </w:r>
          </w:p>
        </w:tc>
      </w:tr>
      <w:tr>
        <w:trPr>
          <w:cantSplit w:val="1"/>
          <w:tblHeader w:val="0"/>
        </w:trPr>
        <w:tc>
          <w:tcP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SHEL5K</w:t>
            </w:r>
          </w:p>
        </w:tc>
        <w:tc>
          <w:tcP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Pascal VOC</w:t>
            </w:r>
          </w:p>
        </w:tc>
        <w:tc>
          <w:tcP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Mendeley Data</w:t>
            </w:r>
          </w:p>
        </w:tc>
        <w:tc>
          <w:tcP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801902204"/>
                <w:tag w:val="goog_rdk_14"/>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Conversión directa VOC→YOLO; para el pipeline de Grounding DINO, VOC→COCO→ODVG.</w:t>
                </w:r>
              </w:sdtContent>
            </w:sdt>
          </w:p>
        </w:tc>
      </w:tr>
      <w:tr>
        <w:trPr>
          <w:cantSplit w:val="1"/>
          <w:tblHeader w:val="0"/>
        </w:trPr>
        <w:tc>
          <w:tcP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w:t>
            </w:r>
          </w:p>
        </w:tc>
        <w:tc>
          <w:tcP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Formato nativo a inspeccionar</w:t>
            </w:r>
          </w:p>
        </w:tc>
        <w:tc>
          <w:tcP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Repositorio del autor</w:t>
            </w:r>
          </w:p>
        </w:tc>
        <w:tc>
          <w:tcP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Revisar estructura del paquete y términos de uso al descargar; cita obligatoria.</w:t>
            </w:r>
          </w:p>
        </w:tc>
      </w:tr>
      <w:tr>
        <w:trPr>
          <w:cantSplit w:val="1"/>
          <w:tblHeader w:val="0"/>
        </w:trPr>
        <w:tc>
          <w:tcP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construction_site_safety</w:t>
            </w:r>
          </w:p>
        </w:tc>
        <w:tc>
          <w:tcP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 (Roboflow)</w:t>
            </w:r>
          </w:p>
        </w:tc>
        <w:tc>
          <w:tcP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w:t>
            </w:r>
          </w:p>
        </w:tc>
        <w:tc>
          <w:tcPr>
            <w:vAlign w:val="top"/>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579601402"/>
                <w:tag w:val="goog_rdk_15"/>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Requiere conversión YOLO→COCO→ODVG para el pipeline de Grounding DINO.</w:t>
                </w:r>
              </w:sdtContent>
            </w:sdt>
          </w:p>
        </w:tc>
      </w:tr>
      <w:tr>
        <w:trPr>
          <w:cantSplit w:val="1"/>
          <w:tblHeader w:val="0"/>
        </w:trPr>
        <w:tc>
          <w:tcP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ppe_siabar</w:t>
            </w:r>
          </w:p>
        </w:tc>
        <w:tc>
          <w:tcPr>
            <w:vAlign w:val="top"/>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 (Roboflow)</w:t>
            </w:r>
          </w:p>
        </w:tc>
        <w:tc>
          <w:tcPr>
            <w:vAlign w:val="top"/>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w:t>
            </w:r>
          </w:p>
        </w:tc>
        <w:tc>
          <w:tcPr>
            <w:vAlign w:val="top"/>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941280362"/>
                <w:tag w:val="goog_rdk_16"/>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Requiere conversión YOLO→COCO→ODVG para el pipeline de Grounding DINO.</w:t>
                </w:r>
              </w:sdtContent>
            </w:sdt>
          </w:p>
        </w:tc>
      </w:tr>
    </w:tbl>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secuencia de gestión se describe en la sección 17.1.6.5 y los volúmenes y versiones por fuente en la Tabla 23. El esfuerzo de conversión es directo cuando basta un paso y en dos pasos cuando exige inspección o normalización previa.</w:t>
      </w:r>
    </w:p>
    <w:p w:rsidR="00000000" w:rsidDel="00000000" w:rsidP="00000000" w:rsidRDefault="00000000" w:rsidRPr="00000000" w14:paraId="0000020C">
      <w:pPr>
        <w:pStyle w:val="Heading2"/>
        <w:pageBreakBefore w:val="1"/>
        <w:spacing w:after="0" w:before="0" w:line="480" w:lineRule="auto"/>
        <w:rPr/>
      </w:pPr>
      <w:r w:rsidDel="00000000" w:rsidR="00000000" w:rsidRPr="00000000">
        <w:rPr>
          <w:rtl w:val="0"/>
        </w:rPr>
        <w:t xml:space="preserve">19.4. Anexo D - Métricas, instrumentación y bitácora experimental</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Tablas D.1, D.2 y D.3 conservan los compromisos y los insumos del protocolo de medición. La existencia de una métrica en este anexo no implica que se haya calculado; la sección 17.5 distingue los resultados producidos de las métricas no ejecutadas o no consolidadas.</w:t>
      </w:r>
    </w:p>
    <w:p w:rsidR="00000000" w:rsidDel="00000000" w:rsidP="00000000" w:rsidRDefault="00000000" w:rsidRPr="00000000" w14:paraId="000002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D.1</w:t>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Métricas de rendimiento del pipeline y uso de recursos</w:t>
      </w:r>
    </w:p>
    <w:tbl>
      <w:tblPr>
        <w:tblStyle w:val="Table13"/>
        <w:tblW w:w="12960.000000000002"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4320"/>
        <w:gridCol w:w="2448"/>
        <w:gridCol w:w="1584"/>
        <w:gridCol w:w="2592"/>
        <w:tblGridChange w:id="0">
          <w:tblGrid>
            <w:gridCol w:w="2016"/>
            <w:gridCol w:w="4320"/>
            <w:gridCol w:w="2448"/>
            <w:gridCol w:w="1584"/>
            <w:gridCol w:w="259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1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Métrica</w:t>
            </w:r>
          </w:p>
        </w:tc>
        <w:tc>
          <w:tcPr>
            <w:tcBorders>
              <w:bottom w:color="000000" w:space="0" w:sz="6" w:val="single"/>
            </w:tcBorders>
            <w:vAlign w:val="top"/>
          </w:tcPr>
          <w:p w:rsidR="00000000" w:rsidDel="00000000" w:rsidP="00000000" w:rsidRDefault="00000000" w:rsidRPr="00000000" w14:paraId="0000021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Definición operativa</w:t>
            </w:r>
          </w:p>
        </w:tc>
        <w:tc>
          <w:tcPr>
            <w:tcBorders>
              <w:bottom w:color="000000" w:space="0" w:sz="6" w:val="single"/>
            </w:tcBorders>
            <w:vAlign w:val="top"/>
          </w:tcPr>
          <w:p w:rsidR="00000000" w:rsidDel="00000000" w:rsidP="00000000" w:rsidRDefault="00000000" w:rsidRPr="00000000" w14:paraId="0000021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de reporte</w:t>
            </w:r>
          </w:p>
        </w:tc>
        <w:tc>
          <w:tcPr>
            <w:tcBorders>
              <w:bottom w:color="000000" w:space="0" w:sz="6" w:val="single"/>
            </w:tcBorders>
            <w:vAlign w:val="top"/>
          </w:tcPr>
          <w:p w:rsidR="00000000" w:rsidDel="00000000" w:rsidP="00000000" w:rsidRDefault="00000000" w:rsidRPr="00000000" w14:paraId="0000021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Compromiso</w:t>
            </w:r>
          </w:p>
        </w:tc>
        <w:tc>
          <w:tcPr>
            <w:tcBorders>
              <w:bottom w:color="000000" w:space="0" w:sz="6" w:val="single"/>
            </w:tcBorders>
            <w:vAlign w:val="top"/>
          </w:tcPr>
          <w:p w:rsidR="00000000" w:rsidDel="00000000" w:rsidP="00000000" w:rsidRDefault="00000000" w:rsidRPr="00000000" w14:paraId="0000021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Criterio de estabilidad</w:t>
            </w:r>
          </w:p>
        </w:tc>
      </w:tr>
      <w:tr>
        <w:trPr>
          <w:cantSplit w:val="1"/>
          <w:tblHeader w:val="0"/>
        </w:trPr>
        <w:tc>
          <w:tcP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FPS efectivos</w:t>
            </w:r>
          </w:p>
        </w:tc>
        <w:tc>
          <w:tcP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Cuadros completamente procesados por segundo al final del pipeline.</w:t>
            </w:r>
          </w:p>
        </w:tc>
        <w:tc>
          <w:tcP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Media, P50, P95, P99 y variación</w:t>
            </w:r>
          </w:p>
        </w:tc>
        <w:tc>
          <w:tcPr>
            <w:vAlign w:val="top"/>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Período de calentamiento previo y corrida sostenida</w:t>
            </w:r>
          </w:p>
        </w:tc>
      </w:tr>
      <w:tr>
        <w:trPr>
          <w:cantSplit w:val="1"/>
          <w:tblHeader w:val="0"/>
        </w:trPr>
        <w:tc>
          <w:tcP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Latencia G2A</w:t>
            </w:r>
          </w:p>
        </w:tc>
        <w:tc>
          <w:tcPr>
            <w:vAlign w:val="top"/>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Intervalo entre el dequeue de la unidad visual y la disponibilidad del resultado de inferencia. La captura y el transporte hasta el dequeue se informan aparte como capture_to_host.</w:t>
            </w:r>
          </w:p>
        </w:tc>
        <w:tc>
          <w:tcPr>
            <w:vAlign w:val="top"/>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ms (P50, P95, P99)</w:t>
            </w:r>
          </w:p>
        </w:tc>
        <w:tc>
          <w:tcPr>
            <w:vAlign w:val="top"/>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Hitos y dominio de reloj declarados</w:t>
            </w:r>
          </w:p>
        </w:tc>
      </w:tr>
      <w:tr>
        <w:trPr>
          <w:cantSplit w:val="1"/>
          <w:tblHeader w:val="0"/>
        </w:trPr>
        <w:tc>
          <w:tcP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Jitter</w:t>
            </w:r>
          </w:p>
        </w:tc>
        <w:tc>
          <w:tcPr>
            <w:vAlign w:val="top"/>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Variabilidad de la latencia entre cuadros consecutivos.</w:t>
            </w:r>
          </w:p>
        </w:tc>
        <w:tc>
          <w:tcPr>
            <w:vAlign w:val="top"/>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ms (desv. est. / coef. variación)</w:t>
            </w:r>
          </w:p>
        </w:tc>
        <w:tc>
          <w:tcPr>
            <w:vAlign w:val="top"/>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Reportar junto con G2A</w:t>
            </w:r>
          </w:p>
        </w:tc>
      </w:tr>
      <w:tr>
        <w:trPr>
          <w:cantSplit w:val="1"/>
          <w:tblHeader w:val="0"/>
        </w:trPr>
        <w:tc>
          <w:tcP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 de VRAM</w:t>
            </w:r>
          </w:p>
        </w:tc>
        <w:tc>
          <w:tcPr>
            <w:vAlign w:val="top"/>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de video ocupada por modelo, tensores y buffers.</w:t>
            </w:r>
          </w:p>
        </w:tc>
        <w:tc>
          <w:tcPr>
            <w:vAlign w:val="top"/>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MB y %</w:t>
            </w:r>
          </w:p>
        </w:tc>
        <w:tc>
          <w:tcPr>
            <w:vAlign w:val="top"/>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crecimiento monótono</w:t>
            </w:r>
          </w:p>
        </w:tc>
      </w:tr>
      <w:tr>
        <w:trPr>
          <w:cantSplit w:val="1"/>
          <w:tblHeader w:val="0"/>
        </w:trPr>
        <w:tc>
          <w:tcP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Utilización GPU</w:t>
            </w:r>
          </w:p>
        </w:tc>
        <w:tc>
          <w:tcPr>
            <w:vAlign w:val="top"/>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Porcentaje de ocupación de la GPU durante la corrida.</w:t>
            </w:r>
          </w:p>
        </w:tc>
        <w:tc>
          <w:tcPr>
            <w:vAlign w:val="top"/>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t>
            </w:r>
          </w:p>
        </w:tc>
        <w:tc>
          <w:tcPr>
            <w:vAlign w:val="top"/>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Registrar media y picos</w:t>
            </w:r>
          </w:p>
        </w:tc>
      </w:tr>
      <w:tr>
        <w:trPr>
          <w:cantSplit w:val="1"/>
          <w:tblHeader w:val="0"/>
        </w:trPr>
        <w:tc>
          <w:tcP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 de RAM/CPU</w:t>
            </w:r>
          </w:p>
        </w:tc>
        <w:tc>
          <w:tcP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Consumo de memoria del sistema y presión sobre CPU del proceso completo.</w:t>
            </w:r>
          </w:p>
        </w:tc>
        <w:tc>
          <w:tcPr>
            <w:vAlign w:val="top"/>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MB/GB y %CPU</w:t>
            </w:r>
          </w:p>
        </w:tc>
        <w:tc>
          <w:tcPr>
            <w:vAlign w:val="top"/>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Registrar serie temporal</w:t>
            </w:r>
          </w:p>
        </w:tc>
      </w:tr>
    </w:tbl>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2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D.2</w:t>
      </w:r>
    </w:p>
    <w:p w:rsidR="00000000" w:rsidDel="00000000" w:rsidP="00000000" w:rsidRDefault="00000000" w:rsidRPr="00000000" w14:paraId="000002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Insumos mínimos requeridos antes de iniciar una campaña de medición</w:t>
      </w:r>
    </w:p>
    <w:tbl>
      <w:tblPr>
        <w:tblStyle w:val="Table14"/>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944"/>
        <w:gridCol w:w="2880"/>
        <w:gridCol w:w="2448"/>
        <w:gridCol w:w="2736"/>
        <w:gridCol w:w="2952"/>
        <w:tblGridChange w:id="0">
          <w:tblGrid>
            <w:gridCol w:w="1944"/>
            <w:gridCol w:w="2880"/>
            <w:gridCol w:w="2448"/>
            <w:gridCol w:w="2736"/>
            <w:gridCol w:w="295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3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Familia de métricas</w:t>
            </w:r>
          </w:p>
        </w:tc>
        <w:tc>
          <w:tcPr>
            <w:tcBorders>
              <w:bottom w:color="000000" w:space="0" w:sz="6" w:val="single"/>
            </w:tcBorders>
            <w:vAlign w:val="top"/>
          </w:tcPr>
          <w:p w:rsidR="00000000" w:rsidDel="00000000" w:rsidP="00000000" w:rsidRDefault="00000000" w:rsidRPr="00000000" w14:paraId="0000023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Ground truth o insumo</w:t>
            </w:r>
          </w:p>
        </w:tc>
        <w:tc>
          <w:tcPr>
            <w:tcBorders>
              <w:bottom w:color="000000" w:space="0" w:sz="6" w:val="single"/>
            </w:tcBorders>
            <w:vAlign w:val="top"/>
          </w:tcPr>
          <w:p w:rsidR="00000000" w:rsidDel="00000000" w:rsidP="00000000" w:rsidRDefault="00000000" w:rsidRPr="00000000" w14:paraId="0000023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Instrumentación mínima</w:t>
            </w:r>
          </w:p>
        </w:tc>
        <w:tc>
          <w:tcPr>
            <w:tcBorders>
              <w:bottom w:color="000000" w:space="0" w:sz="6" w:val="single"/>
            </w:tcBorders>
            <w:vAlign w:val="top"/>
          </w:tcPr>
          <w:p w:rsidR="00000000" w:rsidDel="00000000" w:rsidP="00000000" w:rsidRDefault="00000000" w:rsidRPr="00000000" w14:paraId="0000023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Herramientas o artefactos</w:t>
            </w:r>
          </w:p>
        </w:tc>
        <w:tc>
          <w:tcPr>
            <w:tcBorders>
              <w:bottom w:color="000000" w:space="0" w:sz="6" w:val="single"/>
            </w:tcBorders>
            <w:vAlign w:val="top"/>
          </w:tcPr>
          <w:p w:rsidR="00000000" w:rsidDel="00000000" w:rsidP="00000000" w:rsidRDefault="00000000" w:rsidRPr="00000000" w14:paraId="0000023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Salida mínima</w:t>
            </w:r>
          </w:p>
        </w:tc>
      </w:tr>
      <w:tr>
        <w:trPr>
          <w:cantSplit w:val="1"/>
          <w:tblHeader w:val="0"/>
        </w:trPr>
        <w:tc>
          <w:tcPr>
            <w:vAlign w:val="top"/>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(AP, P/R)</w:t>
            </w:r>
          </w:p>
        </w:tc>
        <w:tc>
          <w:tcPr>
            <w:vAlign w:val="top"/>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Bounding boxes y etiquetas por imagen o cuadro.</w:t>
            </w:r>
          </w:p>
        </w:tc>
        <w:tc>
          <w:tcPr>
            <w:vAlign w:val="top"/>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Export de predicciones por corrida.</w:t>
            </w:r>
          </w:p>
        </w:tc>
        <w:tc>
          <w:tcPr>
            <w:vAlign w:val="top"/>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pycocotools o conversión COCO equivalente.</w:t>
            </w:r>
          </w:p>
        </w:tc>
        <w:tc>
          <w:tcPr>
            <w:vAlign w:val="top"/>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 y P/R por variante, con punto operativo o criterio de reporte explícitamente declarado.</w:t>
            </w:r>
          </w:p>
        </w:tc>
      </w:tr>
      <w:tr>
        <w:trPr>
          <w:cantSplit w:val="1"/>
          <w:tblHeader w:val="0"/>
        </w:trPr>
        <w:tc>
          <w:tcPr>
            <w:vAlign w:val="top"/>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Tracking (HOTA, DetA / AssA, IDF1, MOTA, IDSW / Frag)</w:t>
            </w:r>
          </w:p>
        </w:tc>
        <w:tc>
          <w:tcPr>
            <w:vAlign w:val="top"/>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Boxes y track_id persistente por cuadro.</w:t>
            </w:r>
          </w:p>
        </w:tc>
        <w:tc>
          <w:tcPr>
            <w:vAlign w:val="top"/>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Export MOT-compatible sobre subset anotado.</w:t>
            </w:r>
          </w:p>
        </w:tc>
        <w:tc>
          <w:tcPr>
            <w:vAlign w:val="top"/>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TrackEval u otra implementación equivalente.</w:t>
            </w:r>
          </w:p>
        </w:tc>
        <w:tc>
          <w:tcPr>
            <w:vAlign w:val="top"/>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Métricas MOT sobre subset, con declaración explícita de qué métricas fueron ejecutadas y cuáles no.</w:t>
            </w:r>
          </w:p>
        </w:tc>
      </w:tr>
      <w:tr>
        <w:trPr>
          <w:cantSplit w:val="1"/>
          <w:tblHeader w:val="0"/>
        </w:trPr>
        <w:tc>
          <w:tcPr>
            <w:vAlign w:val="top"/>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Pipeline (FPS, latencia G2A, jitter)</w:t>
            </w:r>
          </w:p>
        </w:tc>
        <w:tc>
          <w:tcPr>
            <w:vAlign w:val="top"/>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requiere GT semántico.</w:t>
            </w:r>
          </w:p>
        </w:tc>
        <w:tc>
          <w:tcPr>
            <w:vAlign w:val="top"/>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Timestamps por etapa del pipeline.</w:t>
            </w:r>
          </w:p>
        </w:tc>
        <w:tc>
          <w:tcPr>
            <w:vAlign w:val="top"/>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internos y scripts de agregación.</w:t>
            </w:r>
          </w:p>
        </w:tc>
        <w:tc>
          <w:tcPr>
            <w:vAlign w:val="top"/>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P50/P95/P99, promedio y variación.</w:t>
            </w:r>
          </w:p>
        </w:tc>
      </w:tr>
      <w:tr>
        <w:trPr>
          <w:cantSplit w:val="1"/>
          <w:tblHeader w:val="0"/>
        </w:trPr>
        <w:tc>
          <w:tcPr>
            <w:vAlign w:val="top"/>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Alerta y patrón (t_alert-system; t_alert-notification si aplica; TTFD; SDR)</w:t>
            </w:r>
          </w:p>
        </w:tc>
        <w:tc>
          <w:tcPr>
            <w:vAlign w:val="top"/>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Inicio anotado de la condición de riesgo, duración o intervalo temporal del evento, severidad asignada y criterio de activación del patrón.</w:t>
            </w:r>
          </w:p>
        </w:tc>
        <w:tc>
          <w:tcPr>
            <w:vAlign w:val="top"/>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con timestamps de primera evidencia positiva, inicio de patrón candidato si corresponde, patrón confirmado, alerta registrada y disponibilidad, consulta o notificación si aplica.</w:t>
            </w:r>
          </w:p>
        </w:tc>
        <w:tc>
          <w:tcP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Motor de patrones instrumentado, registro interno de alertas, event log del pipeline, bitácora de corrida y scripts de agregación temporal.</w:t>
            </w:r>
          </w:p>
        </w:tc>
        <w:tc>
          <w:tcPr>
            <w:vAlign w:val="top"/>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TTFD, SDR y t_alert-system por episodio. t_alert-notification sólo si existe trayecto instrumentado. Toda métrica sin insumos se declara no aplicable.</w:t>
            </w:r>
          </w:p>
        </w:tc>
      </w:tr>
      <w:tr>
        <w:trPr>
          <w:cantSplit w:val="1"/>
          <w:tblHeader w:val="0"/>
        </w:trPr>
        <w:tc>
          <w:tcPr>
            <w:vAlign w:val="top"/>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Recursos (VRAM, GPU, RAM, CPU)</w:t>
            </w:r>
          </w:p>
        </w:tc>
        <w:tc>
          <w:tcPr>
            <w:vAlign w:val="top"/>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requiere GT semántico.</w:t>
            </w:r>
          </w:p>
        </w:tc>
        <w:tc>
          <w:tcPr>
            <w:vAlign w:val="top"/>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Muestreo periódico durante la corrida.</w:t>
            </w:r>
          </w:p>
        </w:tc>
        <w:tc>
          <w:tcPr>
            <w:vAlign w:val="top"/>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nvidia-smi, psutil u otras herramientas del sistema.</w:t>
            </w:r>
          </w:p>
        </w:tc>
        <w:tc>
          <w:tcPr>
            <w:vAlign w:val="top"/>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Series temporales y resumen.</w:t>
            </w:r>
          </w:p>
        </w:tc>
      </w:tr>
      <w:tr>
        <w:trPr>
          <w:cantSplit w:val="1"/>
          <w:tblHeader w:val="0"/>
        </w:trPr>
        <w:tc>
          <w:tcPr>
            <w:vAlign w:val="top"/>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Fine-tuning</w:t>
            </w:r>
          </w:p>
        </w:tc>
        <w:tc>
          <w:tcPr>
            <w:vAlign w:val="top"/>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Split train/eval disjunto y baseline zero-shot explícita.</w:t>
            </w:r>
          </w:p>
        </w:tc>
        <w:tc>
          <w:tcPr>
            <w:vAlign w:val="top"/>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Registro de entrenamiento y evaluación.</w:t>
            </w:r>
          </w:p>
        </w:tc>
        <w:tc>
          <w:tcPr>
            <w:vAlign w:val="top"/>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de entrenamiento y scripts comparativos.</w:t>
            </w:r>
          </w:p>
        </w:tc>
        <w:tc>
          <w:tcPr>
            <w:vAlign w:val="top"/>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Deltas y costo de entrenamiento, cuando aplique.</w:t>
            </w:r>
          </w:p>
        </w:tc>
      </w:tr>
    </w:tbl>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25A">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D.3</w:t>
      </w:r>
    </w:p>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Campos mínimos recomendados para la bitácora experimental</w:t>
      </w:r>
    </w:p>
    <w:tbl>
      <w:tblPr>
        <w:tblStyle w:val="Table15"/>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232"/>
        <w:gridCol w:w="6048"/>
        <w:gridCol w:w="4680"/>
        <w:tblGridChange w:id="0">
          <w:tblGrid>
            <w:gridCol w:w="2232"/>
            <w:gridCol w:w="6048"/>
            <w:gridCol w:w="4680"/>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5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Campo</w:t>
            </w:r>
          </w:p>
        </w:tc>
        <w:tc>
          <w:tcPr>
            <w:tcBorders>
              <w:bottom w:color="000000" w:space="0" w:sz="6" w:val="single"/>
            </w:tcBorders>
            <w:vAlign w:val="top"/>
          </w:tcPr>
          <w:p w:rsidR="00000000" w:rsidDel="00000000" w:rsidP="00000000" w:rsidRDefault="00000000" w:rsidRPr="00000000" w14:paraId="0000025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Contenido mínimo recomendado</w:t>
            </w:r>
          </w:p>
        </w:tc>
        <w:tc>
          <w:tcPr>
            <w:tcBorders>
              <w:bottom w:color="000000" w:space="0" w:sz="6" w:val="single"/>
            </w:tcBorders>
            <w:vAlign w:val="top"/>
          </w:tcPr>
          <w:p w:rsidR="00000000" w:rsidDel="00000000" w:rsidP="00000000" w:rsidRDefault="00000000" w:rsidRPr="00000000" w14:paraId="0000025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en la interpretación</w:t>
            </w:r>
          </w:p>
        </w:tc>
      </w:tr>
      <w:tr>
        <w:trPr>
          <w:cantSplit w:val="1"/>
          <w:tblHeader w:val="0"/>
        </w:trPr>
        <w:tc>
          <w:tcPr>
            <w:vAlign w:val="top"/>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w:t>
            </w:r>
          </w:p>
        </w:tc>
        <w:tc>
          <w:tcPr>
            <w:vAlign w:val="top"/>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Fecha, nombre de la corrida, responsable y objetivo.</w:t>
            </w:r>
          </w:p>
        </w:tc>
        <w:tc>
          <w:tcPr>
            <w:vAlign w:val="top"/>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rastrear la prueba.</w:t>
            </w:r>
          </w:p>
        </w:tc>
      </w:tr>
      <w:tr>
        <w:trPr>
          <w:cantSplit w:val="1"/>
          <w:tblHeader w:val="0"/>
        </w:trPr>
        <w:tc>
          <w:tcPr>
            <w:vAlign w:val="top"/>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w:t>
            </w:r>
          </w:p>
        </w:tc>
        <w:tc>
          <w:tcPr>
            <w:vAlign w:val="top"/>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Nombre, versión, checkpoint y variante zero-shot o fine-tuned.</w:t>
            </w:r>
          </w:p>
        </w:tc>
        <w:tc>
          <w:tcPr>
            <w:vAlign w:val="top"/>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Vincula resultados con artefactos concretos.</w:t>
            </w:r>
          </w:p>
        </w:tc>
      </w:tr>
      <w:tr>
        <w:trPr>
          <w:cantSplit w:val="1"/>
          <w:tblHeader w:val="0"/>
        </w:trPr>
        <w:tc>
          <w:tcPr>
            <w:vAlign w:val="top"/>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Entrada</w:t>
            </w:r>
          </w:p>
        </w:tc>
        <w:tc>
          <w:tcPr>
            <w:vAlign w:val="top"/>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Dataset o clip, resolución, FPS de origen y protocolo de video.</w:t>
            </w:r>
          </w:p>
        </w:tc>
        <w:tc>
          <w:tcPr>
            <w:vAlign w:val="top"/>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Contextualiza comparaciones.</w:t>
            </w:r>
          </w:p>
        </w:tc>
      </w:tr>
      <w:tr>
        <w:trPr>
          <w:cantSplit w:val="1"/>
          <w:tblHeader w:val="0"/>
        </w:trPr>
        <w:tc>
          <w:tcPr>
            <w:vAlign w:val="top"/>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Parámetros</w:t>
            </w:r>
          </w:p>
        </w:tc>
        <w:tc>
          <w:tcPr>
            <w:vAlign w:val="top"/>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Umbral, vocabulario activo, NMS, tracker on/off, ventana de persistencia, criterio de activación/desactivación del patrón e histéresis si aplica.</w:t>
            </w:r>
          </w:p>
        </w:tc>
        <w:tc>
          <w:tcPr>
            <w:vAlign w:val="top"/>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Hace reproducible la corrida y permite interpretar la confirmación o descarte de patrones.</w:t>
            </w:r>
          </w:p>
        </w:tc>
      </w:tr>
      <w:tr>
        <w:trPr>
          <w:cantSplit w:val="1"/>
          <w:tblHeader w:val="0"/>
        </w:trPr>
        <w:tc>
          <w:tcPr>
            <w:vAlign w:val="top"/>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Hardware</w:t>
            </w:r>
          </w:p>
        </w:tc>
        <w:tc>
          <w:tcPr>
            <w:vAlign w:val="top"/>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CPU, GPU, VRAM, RAM y equipo o nodo utilizado.</w:t>
            </w:r>
          </w:p>
        </w:tc>
        <w:tc>
          <w:tcPr>
            <w:vAlign w:val="top"/>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interpretar latencia y uso de recursos.</w:t>
            </w:r>
          </w:p>
        </w:tc>
      </w:tr>
      <w:tr>
        <w:trPr>
          <w:cantSplit w:val="1"/>
          <w:tblHeader w:val="0"/>
        </w:trPr>
        <w:tc>
          <w:tcPr>
            <w:vAlign w:val="top"/>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de software</w:t>
            </w:r>
          </w:p>
        </w:tc>
        <w:tc>
          <w:tcPr>
            <w:vAlign w:val="top"/>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Sistema operativo, versiones de runtime, framework, librerías críticas y herramientas de instrumentación.</w:t>
            </w:r>
          </w:p>
        </w:tc>
        <w:tc>
          <w:tcPr>
            <w:vAlign w:val="top"/>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reproducir la corrida y contextualizar diferencias de rendimiento o compatibilidad.</w:t>
            </w:r>
          </w:p>
        </w:tc>
      </w:tr>
      <w:tr>
        <w:trPr>
          <w:cantSplit w:val="1"/>
          <w:tblHeader w:val="0"/>
        </w:trPr>
        <w:tc>
          <w:tcPr>
            <w:vAlign w:val="top"/>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Temporalidad y logs</w:t>
            </w:r>
          </w:p>
        </w:tc>
        <w:tc>
          <w:tcPr>
            <w:vAlign w:val="top"/>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temporal declarada, período de calentamiento, duración efectiva de la corrida, ubicación de logs crudos y artefactos de evaluación.</w:t>
            </w:r>
          </w:p>
        </w:tc>
        <w:tc>
          <w:tcPr>
            <w:vAlign w:val="top"/>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validar trazabilidad temporal y auditar métricas derivadas del pipeline y de alerta.</w:t>
            </w:r>
          </w:p>
        </w:tc>
      </w:tr>
      <w:tr>
        <w:trPr>
          <w:cantSplit w:val="1"/>
          <w:tblHeader w:val="0"/>
        </w:trPr>
        <w:tc>
          <w:tcPr>
            <w:vAlign w:val="top"/>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Eventos de patrón y alerta</w:t>
            </w:r>
          </w:p>
        </w:tc>
        <w:tc>
          <w:tcPr>
            <w:vAlign w:val="top"/>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Timestamps de primera evidencia positiva, inicio de patrón candidato si corresponde, patrón confirmado, alerta registrada y notificación o consulta si aplica; identificador del patrón y regla aplicada.</w:t>
            </w:r>
          </w:p>
        </w:tc>
        <w:tc>
          <w:tcPr>
            <w:vAlign w:val="top"/>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reconstruir por qué y cuándo una detección se transformó en patrón confirmado y alerta registrada.</w:t>
            </w:r>
          </w:p>
        </w:tc>
      </w:tr>
      <w:tr>
        <w:trPr>
          <w:cantSplit w:val="1"/>
          <w:tblHeader w:val="0"/>
        </w:trPr>
        <w:tc>
          <w:tcPr>
            <w:vAlign w:val="top"/>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Resultados</w:t>
            </w:r>
          </w:p>
        </w:tc>
        <w:tc>
          <w:tcP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Métricas calculadas, unidades y métricas no ejecutadas.</w:t>
            </w:r>
          </w:p>
        </w:tc>
        <w:tc>
          <w:tcPr>
            <w:vAlign w:val="top"/>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Consolida la salida cuantitativa.</w:t>
            </w:r>
          </w:p>
        </w:tc>
      </w:tr>
      <w:tr>
        <w:trPr>
          <w:cantSplit w:val="1"/>
          <w:tblHeader w:val="0"/>
        </w:trPr>
        <w:tc>
          <w:tcPr>
            <w:vAlign w:val="top"/>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Observaciones</w:t>
            </w:r>
          </w:p>
        </w:tc>
        <w:tc>
          <w:tcPr>
            <w:vAlign w:val="top"/>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Errores, cuellos de botella y cambios no planificados.</w:t>
            </w:r>
          </w:p>
        </w:tc>
        <w:tc>
          <w:tcPr>
            <w:vAlign w:val="top"/>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Evita lecturas descontextualizadas.</w:t>
            </w:r>
          </w:p>
        </w:tc>
      </w:tr>
    </w:tbl>
    <w:p w:rsidR="00000000" w:rsidDel="00000000" w:rsidP="00000000" w:rsidRDefault="00000000" w:rsidRPr="00000000" w14:paraId="0000027D">
      <w:pPr>
        <w:spacing w:after="0" w:before="0" w:line="480" w:lineRule="auto"/>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7E">
      <w:pPr>
        <w:pStyle w:val="Heading2"/>
        <w:spacing w:after="0" w:before="0" w:line="480" w:lineRule="auto"/>
        <w:rPr/>
      </w:pPr>
      <w:sdt>
        <w:sdtPr>
          <w:id w:val="517898850"/>
          <w:tag w:val="goog_rdk_17"/>
        </w:sdtPr>
        <w:sdtContent>
          <w:commentRangeStart w:id="14"/>
        </w:sdtContent>
      </w:sdt>
      <w:r w:rsidDel="00000000" w:rsidR="00000000" w:rsidRPr="00000000">
        <w:rPr>
          <w:rtl w:val="0"/>
        </w:rPr>
        <w:t xml:space="preserve">19.5. Anexo E - Reproducibilidad y comprobación de la evidencia</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reproducción se organiza por material y por nivel de evaluación. Deben conservarse juntas la entrada identificada, su referencia humana, la configuración efectiva y las salidas primarias. No resulta suficiente repetir el nombre de un modelo ni disponer de una tabla agregada. La Tabla E.1 distingue los objetos que se mantienen estables y la comprobación que respalda cada reconstrucción.</w:t>
      </w:r>
      <w:ins w:id="9078" w:author="Claude" w:date="2026-09-12T23:00:00Z">
        <w:r>
          <w:rPr>
            <w:rtl w:val="0"/>
          </w:rPr>
          <w:t xml:space="preserve"> Todos los elementos que siguen se alcanzan desde el repositorio de documentación del proyecto citado en la sección 17.6.1, </w:t>
        </w:r>
        <w:commentRangeStart w:id="28"/>
        <w:r>
          <w:rPr>
            <w:rtl w:val="0"/>
          </w:rPr>
          <w:t xml:space="preserve">que mantiene un mapa de artefactos</w:t>
        </w:r>
        <w:commentRangeEnd w:id="28"/>
        <w:r>
          <w:rPr>
            <w:rtl w:val="0"/>
          </w:rPr>
          <w:commentReference w:id="28"/>
        </w:r>
        <w:r>
          <w:rPr>
            <w:rtl w:val="0"/>
          </w:rPr>
          <w:t xml:space="preserve"> con la ubicación de cada uno; el material audiovisual se conserva con acceso autorizado y se solicita por esa misma vía.</w:t>
        </w:r>
      </w:ins>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E.1</w:t>
      </w:r>
    </w:p>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Artefactos de referencia y comprobaciones de reproducción</w:t>
      </w:r>
    </w:p>
    <w:tbl>
      <w:tblPr>
        <w:tblStyle w:val="Table16"/>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3888"/>
        <w:gridCol w:w="3816"/>
        <w:tblGridChange w:id="0">
          <w:tblGrid>
            <w:gridCol w:w="1656"/>
            <w:gridCol w:w="3888"/>
            <w:gridCol w:w="381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8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w:t>
            </w:r>
          </w:p>
        </w:tc>
        <w:tc>
          <w:tcPr>
            <w:tcBorders>
              <w:bottom w:color="000000" w:space="0" w:sz="6" w:val="single"/>
            </w:tcBorders>
            <w:vAlign w:val="top"/>
          </w:tcPr>
          <w:p w:rsidR="00000000" w:rsidDel="00000000" w:rsidP="00000000" w:rsidRDefault="00000000" w:rsidRPr="00000000" w14:paraId="0000028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Elementos que se conservan</w:t>
            </w:r>
          </w:p>
        </w:tc>
        <w:tc>
          <w:tcPr>
            <w:tcBorders>
              <w:bottom w:color="000000" w:space="0" w:sz="6" w:val="single"/>
            </w:tcBorders>
            <w:vAlign w:val="top"/>
          </w:tcPr>
          <w:p w:rsidR="00000000" w:rsidDel="00000000" w:rsidP="00000000" w:rsidRDefault="00000000" w:rsidRPr="00000000" w14:paraId="0000028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Comprobación pertinente</w:t>
            </w:r>
          </w:p>
        </w:tc>
      </w:tr>
      <w:tr>
        <w:trPr>
          <w:cantSplit w:val="1"/>
          <w:tblHeader w:val="0"/>
        </w:trPr>
        <w:tc>
          <w:tcPr>
            <w:vAlign w:val="top"/>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de imágenes</w:t>
            </w:r>
          </w:p>
        </w:tc>
        <w:tc>
          <w:tcPr>
            <w:vAlign w:val="top"/>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080" w:author="Claude" w:date="2026-09-12T23:00:00Z">
              <w:r w:rsidDel="00000000" w:rsidR="00000000" w:rsidRPr="00000000">
                <w:rPr>
                  <w:i w:val="0"/>
                  <w:iCs w:val="0"/>
                  <w:smallCaps w:val="0"/>
                  <w:strike w:val="0"/>
                  <w:u w:val="none"/>
                  <w:shd w:fill="auto" w:val="clear"/>
                  <w:vertAlign w:val="baseline"/>
                  <w:rtl w:val="0"/>
                </w:rPr>
                <w:delText xml:space="preserve">bench_v3.json, manifiesto de composición, anotaciones y referencia de cada fuente</w:delText>
              </w:r>
            </w:del>
            <w:ins w:id="9079" w:author="Claude" w:date="2026-09-12T23:00:00Z">
              <w:r>
                <w:rPr>
                  <w:rtl w:val="0"/>
                </w:rPr>
                <w:t xml:space="preserve">El banco bench_v3 con su manifiesto de composición, las anotaciones y la referencia de cada fuente</w:t>
              </w:r>
            </w:ins>
          </w:p>
        </w:tc>
        <w:tc>
          <w:tcPr>
            <w:vAlign w:val="top"/>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Integridad del archivo y de sus estratos; reproducción de la construcción del banco.</w:t>
            </w:r>
          </w:p>
        </w:tc>
      </w:tr>
      <w:tr>
        <w:trPr>
          <w:cantSplit w:val="1"/>
          <w:tblHeader w:val="0"/>
        </w:trPr>
        <w:tc>
          <w:tcPr>
            <w:vAlign w:val="top"/>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w:t>
            </w:r>
          </w:p>
        </w:tc>
        <w:tc>
          <w:tcPr>
            <w:vAlign w:val="top"/>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Conjuntos de prompts identificados y congelados</w:t>
            </w:r>
          </w:p>
        </w:tc>
        <w:tc>
          <w:tcPr>
            <w:vAlign w:val="top"/>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Coincidencia del contenido con el utilizado por la corrida; no basta el nombre del conjunto.</w:t>
            </w:r>
          </w:p>
        </w:tc>
      </w:tr>
      <w:tr>
        <w:trPr>
          <w:cantSplit w:val="1"/>
          <w:tblHeader w:val="0"/>
        </w:trPr>
        <w:tc>
          <w:tcP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temporal</w:t>
            </w:r>
          </w:p>
        </w:tc>
        <w:tc>
          <w:tcP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082" w:author="Claude" w:date="2026-09-12T23:00:00Z">
              <w:r w:rsidDel="00000000" w:rsidR="00000000" w:rsidRPr="00000000">
                <w:rPr>
                  <w:i w:val="0"/>
                  <w:iCs w:val="0"/>
                  <w:smallCaps w:val="0"/>
                  <w:strike w:val="0"/>
                  <w:u w:val="none"/>
                  <w:shd w:fill="auto" w:val="clear"/>
                  <w:vertAlign w:val="baseline"/>
                  <w:rtl w:val="0"/>
                </w:rPr>
                <w:delText xml:space="preserve">Manifiesto, clips elegibles y referencia clip_gt.v2</w:delText>
              </w:r>
            </w:del>
            <w:ins w:id="9081" w:author="Claude" w:date="2026-09-12T23:00:00Z">
              <w:r>
                <w:rPr>
                  <w:rtl w:val="0"/>
                </w:rPr>
                <w:t xml:space="preserve">Manifiesto, clips elegibles y referencia temporal humana</w:t>
              </w:r>
            </w:ins>
          </w:p>
        </w:tc>
        <w:tc>
          <w:tcPr>
            <w:vAlign w:val="top"/>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Integridad, pertenencia al estrato, episodios y exclusiones; correspondencia de las correcciones de anotación.</w:t>
            </w:r>
          </w:p>
        </w:tc>
      </w:tr>
      <w:tr>
        <w:trPr>
          <w:cantSplit w:val="1"/>
          <w:tblHeader w:val="0"/>
        </w:trPr>
        <w:tc>
          <w:tcPr>
            <w:vAlign w:val="top"/>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Corrida de medios</w:t>
            </w:r>
          </w:p>
        </w:tc>
        <w:tc>
          <w:tcPr>
            <w:vAlign w:val="top"/>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Detecciones, configuración efectiva, manifiesto y procedencia</w:t>
            </w:r>
          </w:p>
        </w:tc>
        <w:tc>
          <w:tcPr>
            <w:vAlign w:val="top"/>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 y parámetros aplicados, fuente e identificación de cada unidad visual.</w:t>
            </w:r>
          </w:p>
        </w:tc>
      </w:tr>
      <w:tr>
        <w:trPr>
          <w:cantSplit w:val="1"/>
          <w:tblHeader w:val="0"/>
        </w:trPr>
        <w:tc>
          <w:tcP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Corrida de control</w:t>
            </w:r>
          </w:p>
        </w:tc>
        <w:tc>
          <w:tcPr>
            <w:vAlign w:val="top"/>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Eventos del patrón, alertas, configuración y métricas</w:t>
            </w:r>
          </w:p>
        </w:tc>
        <w:tc>
          <w:tcPr>
            <w:vAlign w:val="top"/>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Relectura de la evidencia bajo el mismo evaluador y reglas temporales.</w:t>
            </w:r>
          </w:p>
        </w:tc>
      </w:tr>
      <w:tr>
        <w:trPr>
          <w:cantSplit w:val="1"/>
          <w:tblHeader w:val="0"/>
        </w:trPr>
        <w:tc>
          <w:tcPr>
            <w:vAlign w:val="top"/>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Distribución</w:t>
            </w:r>
          </w:p>
        </w:tc>
        <w:tc>
          <w:tcPr>
            <w:vAlign w:val="top"/>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Registro de notificaciones, descartes definitivos y resumen</w:t>
            </w:r>
          </w:p>
        </w:tc>
        <w:tc>
          <w:tcPr>
            <w:vAlign w:val="top"/>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Correspondencia alerta–intento–resultado, sin contar como alertas distintas los registros de una misma entrega.</w:t>
            </w:r>
          </w:p>
        </w:tc>
      </w:tr>
      <w:tr>
        <w:trPr>
          <w:cantSplit w:val="1"/>
          <w:tblHeader w:val="0"/>
        </w:trPr>
        <w:tc>
          <w:tcPr>
            <w:vAlign w:val="top"/>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Resultados derivados</w:t>
            </w:r>
          </w:p>
        </w:tc>
        <w:tc>
          <w:tcPr>
            <w:vAlign w:val="top"/>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Evaluaciones por clip y resúmenes por condición, escenario y estrato</w:t>
            </w:r>
          </w:p>
        </w:tc>
        <w:tc>
          <w:tcPr>
            <w:vAlign w:val="top"/>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Coincidencia de numeradores, denominadores y reglas de agregación.</w:t>
            </w:r>
          </w:p>
        </w:tc>
      </w:tr>
    </w:tbl>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El inventario por componente se desarrolla en la sección 17.4.5. Las huellas de integridad identifican contenidos; no acreditan derechos de uso ni validez de una anotación.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083" w:author="Claude" w:date="2026-09-12T23:00:00Z">
        <w:r w:rsidDel="00000000" w:rsidR="00000000" w:rsidRPr="00000000">
          <w:rPr>
            <w:i w:val="0"/>
            <w:iCs w:val="0"/>
            <w:smallCaps w:val="0"/>
            <w:strike w:val="0"/>
            <w:u w:val="none"/>
            <w:shd w:fill="auto" w:val="clear"/>
            <w:vertAlign w:val="baseline"/>
            <w:rtl w:val="0"/>
          </w:rPr>
          <w:delText xml:space="preserve">La Tabla E.2 consigna la identificación de los contenidos congelados. La huella completa del manifiesto temporal corresponde al banco de 47 clips; no sustituye a la referencia histórica utilizada por los experimentos sobre el bloque de rodaje. Las identificaciones abreviadas se contrastan con el valor completo conservado en el manifiesto respectivo.</w:delText>
        </w:r>
      </w:del>
      <w:ins w:id="9084" w:author="Claude" w:date="2026-09-12T23:00:00Z">
        <w:r>
          <w:rPr>
            <w:rtl w:val="0"/>
          </w:rPr>
          <w:t xml:space="preserve">La Tabla E.2 consigna las dos huellas que identifican los materiales congelados sobre los que se sostienen las comparaciones: el banco de imágenes y el manifiesto del banco temporal de 47 clips. Este último no sustituye a la referencia histórica utilizada por los experimentos sobre el bloque de rodaje, cuya huella acompaña a ese manifiesto.</w:t>
        </w:r>
      </w:ins>
    </w:p>
    <w:p w:rsidR="00000000" w:rsidDel="00000000" w:rsidP="00000000" w:rsidRDefault="00000000" w:rsidRPr="00000000" w14:paraId="000002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E.2</w:t>
      </w:r>
    </w:p>
    <w:p w:rsidR="00000000" w:rsidDel="00000000" w:rsidP="00000000" w:rsidRDefault="00000000" w:rsidRPr="00000000" w14:paraId="000002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Huellas de referencia de los materiales congelados</w:t>
      </w:r>
    </w:p>
    <w:tbl>
      <w:tblPr>
        <w:tblStyle w:val="Table17"/>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4392"/>
        <w:gridCol w:w="3312"/>
        <w:tblGridChange w:id="0">
          <w:tblGrid>
            <w:gridCol w:w="1656"/>
            <w:gridCol w:w="4392"/>
            <w:gridCol w:w="331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9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w:t>
            </w:r>
          </w:p>
        </w:tc>
        <w:tc>
          <w:tcPr>
            <w:tcBorders>
              <w:bottom w:color="000000" w:space="0" w:sz="6" w:val="single"/>
            </w:tcBorders>
            <w:vAlign w:val="top"/>
          </w:tcPr>
          <w:p w:rsidR="00000000" w:rsidDel="00000000" w:rsidP="00000000" w:rsidRDefault="00000000" w:rsidRPr="00000000" w14:paraId="0000029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Identificación conservada</w:t>
            </w:r>
          </w:p>
        </w:tc>
        <w:tc>
          <w:tcPr>
            <w:tcBorders>
              <w:bottom w:color="000000" w:space="0" w:sz="6" w:val="single"/>
            </w:tcBorders>
            <w:vAlign w:val="top"/>
          </w:tcPr>
          <w:p w:rsidR="00000000" w:rsidDel="00000000" w:rsidP="00000000" w:rsidRDefault="00000000" w:rsidRPr="00000000" w14:paraId="000002A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Alcance de la comprobación</w:t>
            </w:r>
          </w:p>
        </w:tc>
      </w:tr>
      <w:tr>
        <w:trPr>
          <w:cantSplit w:val="1"/>
          <w:tblHeader w:val="0"/>
        </w:trPr>
        <w:tc>
          <w:tcPr>
            <w:vAlign w:val="top"/>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Manifiesto del banco temporal de 47 clips</w:t>
            </w:r>
          </w:p>
        </w:tc>
        <w:tc>
          <w:tcPr>
            <w:vAlign w:val="top"/>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3f14f50a53c0d6c57b429378544dcfb6ed87fc942640db302c53ba1470001a75</w:t>
            </w:r>
          </w:p>
        </w:tc>
        <w:tc>
          <w:tcPr>
            <w:vAlign w:val="top"/>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Huella SHA-256 completa del manifiesto.</w:t>
            </w:r>
          </w:p>
        </w:tc>
      </w:tr>
      <w:tr>
        <w:trPr>
          <w:cantSplit w:val="1"/>
          <w:tblHeader w:val="0"/>
        </w:trPr>
        <w:tc>
          <w:tcPr>
            <w:vAlign w:val="top"/>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086" w:author="Claude" w:date="2026-09-12T23:00:00Z">
              <w:r w:rsidDel="00000000" w:rsidR="00000000" w:rsidRPr="00000000">
                <w:rPr>
                  <w:i w:val="0"/>
                  <w:iCs w:val="0"/>
                  <w:smallCaps w:val="0"/>
                  <w:strike w:val="0"/>
                  <w:u w:val="none"/>
                  <w:shd w:fill="auto" w:val="clear"/>
                  <w:vertAlign w:val="baseline"/>
                  <w:rtl w:val="0"/>
                </w:rPr>
                <w:delText xml:space="preserve">Banco de imágenes bench_v3.json</w:delText>
              </w:r>
            </w:del>
            <w:ins w:id="9085" w:author="Claude" w:date="2026-09-12T23:00:00Z">
              <w:r>
                <w:rPr>
                  <w:rtl w:val="0"/>
                </w:rPr>
                <w:t xml:space="preserve">Banco de imágenes bench_v3</w:t>
              </w:r>
            </w:ins>
          </w:p>
        </w:tc>
        <w:tc>
          <w:tcPr>
            <w:vAlign w:val="top"/>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088" w:author="Claude" w:date="2026-09-12T23:00:00Z">
              <w:r w:rsidDel="00000000" w:rsidR="00000000" w:rsidRPr="00000000">
                <w:rPr>
                  <w:i w:val="0"/>
                  <w:iCs w:val="0"/>
                  <w:smallCaps w:val="0"/>
                  <w:strike w:val="0"/>
                  <w:u w:val="none"/>
                  <w:shd w:fill="auto" w:val="clear"/>
                  <w:vertAlign w:val="baseline"/>
                  <w:rtl w:val="0"/>
                </w:rPr>
                <w:delText xml:space="preserve">4557024ecc4ee497…a4462</w:delText>
              </w:r>
            </w:del>
            <w:ins w:id="9087" w:author="Claude" w:date="2026-09-12T23:00:00Z">
              <w:commentRangeStart w:id="29"/>
              <w:r>
                <w:rPr>
                  <w:rtl w:val="0"/>
                </w:rPr>
                <w:t xml:space="preserve">4557024ecc4ee497</w:t>
              </w:r>
              <w:commentRangeEnd w:id="29"/>
              <w:r>
                <w:rPr>
                  <w:rtl w:val="0"/>
                </w:rPr>
                <w:commentReference w:id="29"/>
              </w:r>
              <w:r>
                <w:rPr>
                  <w:rtl w:val="0"/>
                </w:rPr>
                <w:t xml:space="preserve">ab1fad01d6819206395c10fd794010ed8c1d9198b19a4462</w:t>
              </w:r>
            </w:ins>
          </w:p>
        </w:tc>
        <w:tc>
          <w:tcPr>
            <w:vAlign w:val="top"/>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090" w:author="Claude" w:date="2026-09-12T23:00:00Z">
              <w:r w:rsidDel="00000000" w:rsidR="00000000" w:rsidRPr="00000000">
                <w:rPr>
                  <w:i w:val="0"/>
                  <w:iCs w:val="0"/>
                  <w:smallCaps w:val="0"/>
                  <w:strike w:val="0"/>
                  <w:u w:val="none"/>
                  <w:shd w:fill="auto" w:val="clear"/>
                  <w:vertAlign w:val="baseline"/>
                  <w:rtl w:val="0"/>
                </w:rPr>
                <w:delText xml:space="preserve">Abreviatura de identificación; el valor completo se contrasta con el manifiesto del banco.</w:delText>
              </w:r>
            </w:del>
            <w:ins w:id="9089" w:author="Claude" w:date="2026-09-12T23:00:00Z">
              <w:r>
                <w:rPr>
                  <w:rtl w:val="0"/>
                </w:rPr>
                <w:t xml:space="preserve">Huella SHA-256 completa del archivo del banco.</w:t>
              </w:r>
            </w:ins>
          </w:p>
        </w:tc>
      </w:tr>
      <w:tr>
        <w:trPr>
          <w:del w:id="9094" w:author="Claude" w:date="2026-09-12T23:00:00Z"/>
          <w:cantSplit w:val="1"/>
          <w:tblHeader w:val="0"/>
        </w:trPr>
        <w:tc>
          <w:tcPr>
            <w:vAlign w:val="top"/>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091" w:author="Claude" w:date="2026-09-12T23:00:00Z">
              <w:r w:rsidDel="00000000" w:rsidR="00000000" w:rsidRPr="00000000">
                <w:rPr>
                  <w:i w:val="0"/>
                  <w:iCs w:val="0"/>
                  <w:smallCaps w:val="0"/>
                  <w:strike w:val="0"/>
                  <w:u w:val="none"/>
                  <w:shd w:fill="auto" w:val="clear"/>
                  <w:vertAlign w:val="baseline"/>
                  <w:rtl w:val="0"/>
                </w:rPr>
                <w:delText xml:space="preserve">Estratos de obra de prueba y validación</w:delText>
              </w:r>
            </w:del>
          </w:p>
        </w:tc>
        <w:tc>
          <w:tcPr>
            <w:vAlign w:val="top"/>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092" w:author="Claude" w:date="2026-09-12T23:00:00Z">
              <w:r w:rsidDel="00000000" w:rsidR="00000000" w:rsidRPr="00000000">
                <w:rPr>
                  <w:i w:val="0"/>
                  <w:iCs w:val="0"/>
                  <w:smallCaps w:val="0"/>
                  <w:strike w:val="0"/>
                  <w:u w:val="none"/>
                  <w:shd w:fill="auto" w:val="clear"/>
                  <w:vertAlign w:val="baseline"/>
                  <w:rtl w:val="0"/>
                </w:rPr>
                <w:delText xml:space="preserve">e82eed03469665a3…af61a y b2326724b71e7776…4c58c</w:delText>
              </w:r>
            </w:del>
          </w:p>
        </w:tc>
        <w:tc>
          <w:tcPr>
            <w:vAlign w:val="top"/>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093" w:author="Claude" w:date="2026-09-12T23:00:00Z">
              <w:r w:rsidDel="00000000" w:rsidR="00000000" w:rsidRPr="00000000">
                <w:rPr>
                  <w:i w:val="0"/>
                  <w:iCs w:val="0"/>
                  <w:smallCaps w:val="0"/>
                  <w:strike w:val="0"/>
                  <w:u w:val="none"/>
                  <w:shd w:fill="auto" w:val="clear"/>
                  <w:vertAlign w:val="baseline"/>
                  <w:rtl w:val="0"/>
                </w:rPr>
                <w:delText xml:space="preserve">Identificación abreviada de cada partición; no se intercambian.</w:delText>
              </w:r>
            </w:del>
          </w:p>
        </w:tc>
      </w:tr>
      <w:tr>
        <w:trPr>
          <w:del w:id="9098" w:author="Claude" w:date="2026-09-12T23:00:00Z"/>
          <w:cantSplit w:val="1"/>
          <w:tblHeader w:val="0"/>
        </w:trPr>
        <w:tc>
          <w:tcPr>
            <w:vAlign w:val="top"/>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095" w:author="Claude" w:date="2026-09-12T23:00:00Z">
              <w:r w:rsidDel="00000000" w:rsidR="00000000" w:rsidRPr="00000000">
                <w:rPr>
                  <w:i w:val="0"/>
                  <w:iCs w:val="0"/>
                  <w:smallCaps w:val="0"/>
                  <w:strike w:val="0"/>
                  <w:u w:val="none"/>
                  <w:shd w:fill="auto" w:val="clear"/>
                  <w:vertAlign w:val="baseline"/>
                  <w:rtl w:val="0"/>
                </w:rPr>
                <w:delText xml:space="preserve">Estratos CHV y SHEL5K</w:delText>
              </w:r>
            </w:del>
          </w:p>
        </w:tc>
        <w:tc>
          <w:tcPr>
            <w:vAlign w:val="top"/>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096" w:author="Claude" w:date="2026-09-12T23:00:00Z">
              <w:r w:rsidDel="00000000" w:rsidR="00000000" w:rsidRPr="00000000">
                <w:rPr>
                  <w:i w:val="0"/>
                  <w:iCs w:val="0"/>
                  <w:smallCaps w:val="0"/>
                  <w:strike w:val="0"/>
                  <w:u w:val="none"/>
                  <w:shd w:fill="auto" w:val="clear"/>
                  <w:vertAlign w:val="baseline"/>
                  <w:rtl w:val="0"/>
                </w:rPr>
                <w:delText xml:space="preserve">6d15ff9b46407511…39a7 y bf35f63bcf726c1c…d1e0f</w:delText>
              </w:r>
            </w:del>
          </w:p>
        </w:tc>
        <w:tc>
          <w:tcPr>
            <w:vAlign w:val="top"/>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097" w:author="Claude" w:date="2026-09-12T23:00:00Z">
              <w:r w:rsidDel="00000000" w:rsidR="00000000" w:rsidRPr="00000000">
                <w:rPr>
                  <w:i w:val="0"/>
                  <w:iCs w:val="0"/>
                  <w:smallCaps w:val="0"/>
                  <w:strike w:val="0"/>
                  <w:u w:val="none"/>
                  <w:shd w:fill="auto" w:val="clear"/>
                  <w:vertAlign w:val="baseline"/>
                  <w:rtl w:val="0"/>
                </w:rPr>
                <w:delText xml:space="preserve">Identificación abreviada por fuente.</w:delText>
              </w:r>
            </w:del>
          </w:p>
        </w:tc>
      </w:tr>
      <w:tr>
        <w:trPr>
          <w:del w:id="9102" w:author="Claude" w:date="2026-09-12T23:00:00Z"/>
          <w:cantSplit w:val="1"/>
          <w:tblHeader w:val="0"/>
        </w:trPr>
        <w:tc>
          <w:tcPr>
            <w:vAlign w:val="top"/>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099" w:author="Claude" w:date="2026-09-12T23:00:00Z">
              <w:r w:rsidDel="00000000" w:rsidR="00000000" w:rsidRPr="00000000">
                <w:rPr>
                  <w:i w:val="0"/>
                  <w:iCs w:val="0"/>
                  <w:smallCaps w:val="0"/>
                  <w:strike w:val="0"/>
                  <w:u w:val="none"/>
                  <w:shd w:fill="auto" w:val="clear"/>
                  <w:vertAlign w:val="baseline"/>
                  <w:rtl w:val="0"/>
                </w:rPr>
                <w:delText xml:space="preserve">Manifiesto histórico del bloque de rodaje</w:delText>
              </w:r>
            </w:del>
          </w:p>
        </w:tc>
        <w:tc>
          <w:tcPr>
            <w:vAlign w:val="top"/>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100" w:author="Claude" w:date="2026-09-12T23:00:00Z">
              <w:r w:rsidDel="00000000" w:rsidR="00000000" w:rsidRPr="00000000">
                <w:rPr>
                  <w:i w:val="0"/>
                  <w:iCs w:val="0"/>
                  <w:smallCaps w:val="0"/>
                  <w:strike w:val="0"/>
                  <w:u w:val="none"/>
                  <w:shd w:fill="auto" w:val="clear"/>
                  <w:vertAlign w:val="baseline"/>
                  <w:rtl w:val="0"/>
                </w:rPr>
                <w:delText xml:space="preserve">cef5082e1eb1981c…260e8</w:delText>
              </w:r>
            </w:del>
          </w:p>
        </w:tc>
        <w:tc>
          <w:tcPr>
            <w:vAlign w:val="top"/>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101" w:author="Claude" w:date="2026-09-12T23:00:00Z">
              <w:r w:rsidDel="00000000" w:rsidR="00000000" w:rsidRPr="00000000">
                <w:rPr>
                  <w:i w:val="0"/>
                  <w:iCs w:val="0"/>
                  <w:smallCaps w:val="0"/>
                  <w:strike w:val="0"/>
                  <w:u w:val="none"/>
                  <w:shd w:fill="auto" w:val="clear"/>
                  <w:vertAlign w:val="baseline"/>
                  <w:rtl w:val="0"/>
                </w:rPr>
                <w:delText xml:space="preserve">Referencia de las comparaciones sobre ese bloque, no del banco completo.</w:delText>
              </w:r>
            </w:del>
          </w:p>
        </w:tc>
      </w:tr>
      <w:tr>
        <w:trPr>
          <w:del w:id="9106" w:author="Claude" w:date="2026-09-12T23:00:00Z"/>
          <w:cantSplit w:val="1"/>
          <w:tblHeader w:val="0"/>
        </w:trPr>
        <w:tc>
          <w:tcPr>
            <w:vAlign w:val="top"/>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103" w:author="Claude" w:date="2026-09-12T23:00:00Z">
              <w:r w:rsidDel="00000000" w:rsidR="00000000" w:rsidRPr="00000000">
                <w:rPr>
                  <w:i w:val="0"/>
                  <w:iCs w:val="0"/>
                  <w:smallCaps w:val="0"/>
                  <w:strike w:val="0"/>
                  <w:u w:val="none"/>
                  <w:shd w:fill="auto" w:val="clear"/>
                  <w:vertAlign w:val="baseline"/>
                  <w:rtl w:val="0"/>
                </w:rPr>
                <w:delText xml:space="preserve">Conjuntos cr01_cr02_v2_short, eind_v1 y edir_v1</w:delText>
              </w:r>
            </w:del>
          </w:p>
        </w:tc>
        <w:tc>
          <w:tcPr>
            <w:vAlign w:val="top"/>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104" w:author="Claude" w:date="2026-09-12T23:00:00Z">
              <w:r w:rsidDel="00000000" w:rsidR="00000000" w:rsidRPr="00000000">
                <w:rPr>
                  <w:i w:val="0"/>
                  <w:iCs w:val="0"/>
                  <w:smallCaps w:val="0"/>
                  <w:strike w:val="0"/>
                  <w:u w:val="none"/>
                  <w:shd w:fill="auto" w:val="clear"/>
                  <w:vertAlign w:val="baseline"/>
                  <w:rtl w:val="0"/>
                </w:rPr>
                <w:delText xml:space="preserve">df81fd48b6daf892…b309a, 7a0126f45eb1362a…ed770 y a1278d0c34cd13be…43703</w:delText>
              </w:r>
            </w:del>
          </w:p>
        </w:tc>
        <w:tc>
          <w:tcPr>
            <w:vAlign w:val="top"/>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del w:id="9105" w:author="Claude" w:date="2026-09-12T23:00:00Z">
              <w:r w:rsidDel="00000000" w:rsidR="00000000" w:rsidRPr="00000000">
                <w:rPr>
                  <w:i w:val="0"/>
                  <w:iCs w:val="0"/>
                  <w:smallCaps w:val="0"/>
                  <w:strike w:val="0"/>
                  <w:u w:val="none"/>
                  <w:shd w:fill="auto" w:val="clear"/>
                  <w:vertAlign w:val="baseline"/>
                  <w:rtl w:val="0"/>
                </w:rPr>
                <w:delText xml:space="preserve">Identificaciones abreviadas del contenido textual congelado.</w:delText>
              </w:r>
            </w:del>
          </w:p>
        </w:tc>
      </w:tr>
    </w:tbl>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w:t>
      </w:r>
      <w:del w:id="9107" w:author="Claude" w:date="2026-09-12T23:00:00Z">
        <w:r w:rsidDel="00000000" w:rsidR="00000000" w:rsidRPr="00000000">
          <w:rPr>
            <w:i w:val="0"/>
            <w:iCs w:val="0"/>
            <w:smallCaps w:val="0"/>
            <w:strike w:val="0"/>
            <w:u w:val="none"/>
            <w:shd w:fill="auto" w:val="clear"/>
            <w:vertAlign w:val="baseline"/>
            <w:rtl w:val="0"/>
          </w:rPr>
          <w:delText xml:space="preserve">El signo de elipsis identifica una abreviatura, no un valor utilizable para una verificación criptográfica completa. Las comprobaciones se realizan con las huellas completas que acompañan a los artefactos, sin completarlas por inferencia. Fuente: elaboración propia a partir de los materiales congelados.</w:delText>
        </w:r>
      </w:del>
      <w:ins w:id="9108" w:author="Claude" w:date="2026-09-12T23:00:00Z">
        <w:r>
          <w:rPr>
            <w:rtl w:val="0"/>
          </w:rPr>
          <w:t xml:space="preserve">Las huellas de los estratos del banco de imágenes, de los conjuntos de prompts y del manifiesto histórico del bloque de rodaje acompañan a cada artefacto en el repositorio de documentación y no se transcriben. Una huella identifica un contenido; no acredita derechos de uso ni validez de una anotación. Fuente: elaboración propia a partir de los materiales congelados.</w:t>
        </w:r>
      </w:ins>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109" w:author="Claude" w:date="2026-09-12T23:00:00Z">
        <w:r w:rsidDel="00000000" w:rsidR="00000000" w:rsidRPr="00000000">
          <w:rPr>
            <w:rtl w:val="0"/>
          </w:rPr>
          <w:delText xml:space="preserve">Los materiales identificados en la Tabla E.2 se reproducen por caminos distintos, que las secuencias siguientes describen. La comprobación del banco de imágenes comienza por reconstruirlo</w:delText>
        </w:r>
      </w:del>
      <w:del w:id="9110" w:author="Claude" w:date="2026-09-12T23:00:00Z">
        <w:r w:rsidDel="00000000" w:rsidR="00000000" w:rsidRPr="00000000">
          <w:rPr>
            <w:i w:val="0"/>
            <w:iCs w:val="0"/>
            <w:smallCaps w:val="0"/>
            <w:strike w:val="0"/>
            <w:u w:val="none"/>
            <w:shd w:fill="auto" w:val="clear"/>
            <w:vertAlign w:val="baseline"/>
            <w:rtl w:val="0"/>
          </w:rPr>
          <w:delText xml:space="preserve"> desde las fuentes y particiones identificadas, sin reemplazarlas por una descarga actual de contenido distinto. A continuación se verifica su integridad y se evalúan las predicciones conservadas contra la referencia correspondiente. La separación de los estratos de obra curada, CHV y SHEL5K se mantiene durante el reporte, porque la composición desbalanceada del banco condiciona el agregado. La semilla de la partición de calibración se conserva cuando se reproduce la evaluación del estado por persona.</w:delText>
        </w:r>
      </w:del>
      <w:ins w:id="9111" w:author="Claude" w:date="2026-09-12T23:00:00Z">
        <w:r>
          <w:rPr>
            <w:b w:val="1"/>
            <w:bCs w:val="1"/>
            <w:rtl w:val="0"/>
          </w:rPr>
          <w:t xml:space="preserve">Banco de imágenes.</w:t>
        </w:r>
        <w:r>
          <w:rPr>
            <w:rtl w:val="0"/>
          </w:rPr>
          <w:t xml:space="preserve"> </w:t>
        </w:r>
        <w:commentRangeStart w:id="30"/>
        <w:r>
          <w:rPr>
            <w:rtl w:val="0"/>
          </w:rPr>
          <w:t xml:space="preserve">Se reconstruye desde las fuentes y particiones identificadas</w:t>
        </w:r>
        <w:commentRangeEnd w:id="30"/>
        <w:r>
          <w:rPr>
            <w:rtl w:val="0"/>
          </w:rPr>
          <w:commentReference w:id="30"/>
        </w:r>
        <w:r>
          <w:rPr>
            <w:rtl w:val="0"/>
          </w:rPr>
          <w:t xml:space="preserve">, sin reemplazarlas por una descarga actual de contenido distinto; se verifica su huella contra la Tabla E.2; y se evalúan las predicciones conservadas de cada corrida contra la referencia, reportando por separado los estratos de obra curada, CHV y SHEL5K, porque la composición desbalanceada del banco condiciona el agregado. La semilla de la partición de calibración se conserva al reproducir la evaluación del estado por persona.</w:t>
        </w:r>
      </w:ins>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112" w:author="Claude" w:date="2026-09-12T23:00:00Z">
        <w:r w:rsidDel="00000000" w:rsidR="00000000" w:rsidRPr="00000000">
          <w:rPr>
            <w:i w:val="0"/>
            <w:iCs w:val="0"/>
            <w:smallCaps w:val="0"/>
            <w:strike w:val="0"/>
            <w:u w:val="none"/>
            <w:shd w:fill="auto" w:val="clear"/>
            <w:vertAlign w:val="baseline"/>
            <w:rtl w:val="0"/>
          </w:rPr>
          <w:delText xml:space="preserve">Para el banco temporal, la referencia se obtiene de las anotaciones humanas mediante una secuencia de conversión, validación y promoción al conjunto evaluable. El nivel de exportación de la herramienta de anotación debe corresponder al que espera el procedimiento de conversión: una exportación por tarea no se trata como una exportación por proyecto. Se comprueban los atributos, las correcciones adjudicadas, los intervalos de episodio y la pertenencia de cada clip al material reportable antes de calcular métricas.</w:delText>
        </w:r>
      </w:del>
      <w:ins w:id="9113" w:author="Claude" w:date="2026-09-12T23:00:00Z">
        <w:r>
          <w:rPr>
            <w:b w:val="1"/>
            <w:bCs w:val="1"/>
            <w:rtl w:val="0"/>
          </w:rPr>
          <w:t xml:space="preserve">Banco temporal.</w:t>
        </w:r>
        <w:r>
          <w:rPr>
            <w:rtl w:val="0"/>
          </w:rPr>
          <w:t xml:space="preserve"> La referencia se obtiene de las anotaciones humanas mediante conversión, validación y promoción al conjunto evaluable. El nivel de exportación de la herramienta de anotación debe corresponder al que espera la conversión: una exportación por tarea no se trata como una exportación por proyecto, porque el error produce una referencia negativa sin aviso. Antes de calcular métricas se comprueban los atributos, las correcciones adjudicadas, los intervalos de episodio y la pertenencia de cada clip al material reportable.</w:t>
        </w:r>
      </w:ins>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114" w:author="Claude" w:date="2026-09-12T23:00:00Z">
        <w:r w:rsidDel="00000000" w:rsidR="00000000" w:rsidRPr="00000000">
          <w:rPr>
            <w:i w:val="0"/>
            <w:iCs w:val="0"/>
            <w:smallCaps w:val="0"/>
            <w:strike w:val="0"/>
            <w:u w:val="none"/>
            <w:shd w:fill="auto" w:val="clear"/>
            <w:vertAlign w:val="baseline"/>
            <w:rtl w:val="0"/>
          </w:rPr>
          <w:delText xml:space="preserve">La secuencia operativa distingue construcción, procesamiento y evaluación. La construcción del banco de imágenes se realiza con build_bench_v3.py; las predicciones conservadas se contrastan mediante python -m eovrt_media.tools.evaluate, indicando la corrida con --run y la referencia con --bench-coco. La relectura de detecciones se ejecuta con eovrt-control replay --config, el consumo en vivo con eovrt-control live --config, y la evaluación contra la referencia temporal con eovrt-control evaluate-alerts. Los argumentos concretos deben identificar los artefactos de la ejecución que se reproduce; no se reemplazan por una configuración actual que haya cambiado. Esta secuencia identifica las operaciones de reproducción, no constituye un procedimiento de instalación o despliegue.</w:delText>
        </w:r>
      </w:del>
      <w:ins w:id="9115" w:author="Claude" w:date="2026-09-12T23:00:00Z">
        <w:r>
          <w:rPr>
            <w:b w:val="1"/>
            <w:bCs w:val="1"/>
            <w:rtl w:val="0"/>
          </w:rPr>
          <w:t xml:space="preserve">Relectura y evaluación.</w:t>
        </w:r>
        <w:r>
          <w:rPr>
            <w:rtl w:val="0"/>
          </w:rPr>
          <w:t xml:space="preserve"> Las detecciones conservadas de una corrida se releen con el plano de control bajo la misma configuración efectiva, y las alertas resultantes se evalúan contra la referencia temporal. Repetir la relectura con la misma configuración permite examinar el determinismo del motor; cambiar granularidad, evaluador, vocabulario o ventanas define otra combinación y exige identificarla como tal. Los clips positivos se evalúan por episodios; los negativos se conservan para el conteo de falsos positivos; las re-confirmaciones con la condición todavía activa se cuentan aparte y no se reclasifican como errores. Cada operación identifica los artefactos de la ejecución que se reproduce y no los reemplaza por una configuración actual que haya cambiado; esta secuencia describe la reproducción, no un procedimiento de instalación.</w:t>
        </w:r>
      </w:ins>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del w:id="9117" w:author="Claude" w:date="2026-09-12T23:00:00Z"/>
          <w:i w:val="0"/>
          <w:iCs w:val="0"/>
          <w:smallCaps w:val="0"/>
          <w:strike w:val="0"/>
          <w:u w:val="none"/>
          <w:shd w:fill="auto" w:val="clear"/>
          <w:vertAlign w:val="baseline"/>
        </w:rPr>
      </w:pPr>
      <w:del w:id="9116" w:author="Claude" w:date="2026-09-12T23:00:00Z">
        <w:r w:rsidDel="00000000" w:rsidR="00000000" w:rsidRPr="00000000">
          <w:rPr>
            <w:i w:val="0"/>
            <w:iCs w:val="0"/>
            <w:smallCaps w:val="0"/>
            <w:strike w:val="0"/>
            <w:u w:val="none"/>
            <w:shd w:fill="auto" w:val="clear"/>
            <w:vertAlign w:val="baseline"/>
            <w:rtl w:val="0"/>
          </w:rPr>
          <w:delText xml:space="preserve">La relectura del plano de control opera sobre los eventos de percepción conservados. Repetirla con la misma configuración permite examinar el determinismo del motor; cambiar granularidad, evaluador, vocabulario de origen o ventanas define otra combinación y exige identificarla como tal. Los clips positivos se evalúan por episodios con referencia aplicable; los negativos se conservan para el conteo de falsos positivos. Las re-confirmaciones con la condición todavía activa se contabilizan aparte y no se reclasifican como errores para modificar el F1.</w:delText>
        </w:r>
      </w:del>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118" w:author="Claude" w:date="2026-09-12T23:00:00Z">
        <w:r w:rsidDel="00000000" w:rsidR="00000000" w:rsidRPr="00000000">
          <w:rPr>
            <w:i w:val="0"/>
            <w:iCs w:val="0"/>
            <w:smallCaps w:val="0"/>
            <w:strike w:val="0"/>
            <w:u w:val="none"/>
            <w:shd w:fill="auto" w:val="clear"/>
            <w:vertAlign w:val="baseline"/>
            <w:rtl w:val="0"/>
          </w:rPr>
          <w:delText xml:space="preserve">La agregación conserva la unidad estadística y las exclusiones del procedimiento original. </w:delText>
        </w:r>
      </w:del>
      <w:del w:id="9119" w:author="Claude" w:date="2026-09-12T23:00:00Z">
        <w:r w:rsidDel="00000000" w:rsidR="00000000" w:rsidRPr="00000000">
          <w:rPr>
            <w:rtl w:val="0"/>
          </w:rPr>
          <w:delText xml:space="preserve">Un promedio de latencias por clip no se presenta como percentil, y los intervalos obtenidos mediante remuestreo mantienen la unidad y el pareamiento del contraste original. La precaución importa sobre todo al comparar granularidades con detecciones idénticas o cadencias obtenidas por remuestreo del mismo material.</w:delText>
        </w:r>
      </w:del>
      <w:ins w:id="9120" w:author="Claude" w:date="2026-09-12T23:00:00Z">
        <w:r>
          <w:rPr>
            <w:b w:val="1"/>
            <w:bCs w:val="1"/>
            <w:rtl w:val="0"/>
          </w:rPr>
          <w:t xml:space="preserve">Agregación.</w:t>
        </w:r>
        <w:r>
          <w:rPr>
            <w:rtl w:val="0"/>
          </w:rPr>
          <w:t xml:space="preserve"> Se conservan la unidad estadística y las exclusiones del procedimiento original: un promedio de latencias por clip no se presenta como percentil, los intervalos por remuestreo mantienen la unidad y el pareamiento del contraste original, y los percentiles de tramos con relojes distintos no se suman. La precaución importa sobre todo al comparar granularidades con detecciones idénticas o cadencias obtenidas del mismo material.</w:t>
        </w:r>
      </w:ins>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121" w:author="Claude" w:date="2026-09-12T23:00:00Z">
        <w:r w:rsidDel="00000000" w:rsidR="00000000" w:rsidRPr="00000000">
          <w:rPr>
            <w:i w:val="0"/>
            <w:iCs w:val="0"/>
            <w:smallCaps w:val="0"/>
            <w:strike w:val="0"/>
            <w:u w:val="none"/>
            <w:shd w:fill="auto" w:val="clear"/>
            <w:vertAlign w:val="baseline"/>
            <w:rtl w:val="0"/>
          </w:rPr>
          <w:delText xml:space="preserve">La repetición en vivo exige, además, fijar el entorno, verificar que los servicios estén preparados y establecer las suscripciones antes de publicar los datos pertinentes. Con distribución, el orden de lanzamiento fue control, distribución y medios. </w:delText>
        </w:r>
      </w:del>
      <w:del w:id="9122" w:author="Claude" w:date="2026-09-12T23:00:00Z">
        <w:r w:rsidDel="00000000" w:rsidR="00000000" w:rsidRPr="00000000">
          <w:rPr>
            <w:rtl w:val="0"/>
          </w:rPr>
          <w:delText xml:space="preserve">La espera de la suscripción por parte del publicador protege el comienzo del canal de alertas y no se sustituye por una pausa supuesta. El periodo de preparación del modelo permanece fuera de la ventana de medición.</w:delText>
        </w:r>
      </w:del>
      <w:ins w:id="9123" w:author="Claude" w:date="2026-09-12T23:00:00Z">
        <w:r>
          <w:rPr>
            <w:b w:val="1"/>
            <w:bCs w:val="1"/>
            <w:rtl w:val="0"/>
          </w:rPr>
          <w:t xml:space="preserve">Repetición en vivo.</w:t>
        </w:r>
        <w:r>
          <w:rPr>
            <w:rtl w:val="0"/>
          </w:rPr>
          <w:t xml:space="preserve"> Exige fijar el entorno, verificar que los servicios estén preparados y establecer las suscripciones antes de publicar: el orden de lanzamiento es control, distribución y medios, y la espera del publicador por su suscriptor protege el comienzo del canal de alertas sin sustituirse por una pausa supuesta. El periodo de preparación del modelo queda fuera de la ventana de medición. La latencia G2A se restringe al intervalo desde la salida del cuadro de la cola hasta el resultado de inferencia; al relacionarla con la literatura debe mantenerse explícita la diferencia con el extremo físico de captura (Bachhuber et al., 2018), y una medición ausente de RTSP no se completa con la cifra de captura de OAK-D.</w:t>
        </w:r>
      </w:ins>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del w:id="9126" w:author="Claude" w:date="2026-09-12T23:00:00Z"/>
          <w:i w:val="0"/>
          <w:iCs w:val="0"/>
          <w:smallCaps w:val="0"/>
          <w:strike w:val="0"/>
          <w:u w:val="none"/>
          <w:shd w:fill="auto" w:val="clear"/>
          <w:vertAlign w:val="baseline"/>
        </w:rPr>
      </w:pPr>
      <w:del w:id="9124" w:author="Claude" w:date="2026-09-12T23:00:00Z">
        <w:r w:rsidDel="00000000" w:rsidR="00000000" w:rsidRPr="00000000">
          <w:rPr>
            <w:i w:val="0"/>
            <w:iCs w:val="0"/>
            <w:smallCaps w:val="0"/>
            <w:strike w:val="0"/>
            <w:u w:val="none"/>
            <w:shd w:fill="auto" w:val="clear"/>
            <w:vertAlign w:val="baseline"/>
            <w:rtl w:val="0"/>
          </w:rPr>
          <w:delText xml:space="preserve">La definición de G2A aplicada en este trabajo se restringe al intervalo desde el dequeue hasta el resultado de inferencia. </w:delText>
        </w:r>
      </w:del>
      <w:del w:id="9125" w:author="Claude" w:date="2026-09-12T23:00:00Z">
        <w:r w:rsidDel="00000000" w:rsidR="00000000" w:rsidRPr="00000000">
          <w:rPr>
            <w:rtl w:val="0"/>
          </w:rPr>
          <w:delText xml:space="preserve">Al relacionarla con la literatura de latencia de video debe mantenerse explícita la diferencia con el extremo físico de captura (Bachhuber et al., 2018). Cada tramo conserva sus hitos y su dominio de reloj, de modo que una medición ausente de RTSP no se completa con la cifra de captura de OAK-D.</w:delText>
        </w:r>
      </w:del>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127" w:author="Claude" w:date="2026-09-12T23:00:00Z">
        <w:r w:rsidDel="00000000" w:rsidR="00000000" w:rsidRPr="00000000">
          <w:rPr>
            <w:i w:val="0"/>
            <w:iCs w:val="0"/>
            <w:smallCaps w:val="0"/>
            <w:strike w:val="0"/>
            <w:u w:val="none"/>
            <w:shd w:fill="auto" w:val="clear"/>
            <w:vertAlign w:val="baseline"/>
            <w:rtl w:val="0"/>
          </w:rPr>
          <w:delText xml:space="preserve">Las pruebas automatizadas y los verificadores descritos en la sección 17.6.3 permiten comprobar las propiedades para las que fueron construidos. </w:delText>
        </w:r>
      </w:del>
      <w:del w:id="9128" w:author="Claude" w:date="2026-09-12T23:00:00Z">
        <w:r w:rsidDel="00000000" w:rsidR="00000000" w:rsidRPr="00000000">
          <w:rPr>
            <w:rtl w:val="0"/>
          </w:rPr>
          <w:delText xml:space="preserve">La reproducción byte a byte del banco no equivale a una repetición independiente de toda la inferencia sobre otro equipo, y el empaquetado definido no acredita un despliegue ejecutado, según lo delimitado en la sección 17.6.4. El material conservado respalda la inspección y reconstrucción de las ejecuciones documentadas, sin presentar una validación externa de portabilidad que no existe.</w:delText>
        </w:r>
      </w:del>
      <w:ins w:id="9129" w:author="Claude" w:date="2026-09-12T23:00:00Z">
        <w:r>
          <w:rPr>
            <w:b w:val="1"/>
            <w:bCs w:val="1"/>
            <w:rtl w:val="0"/>
          </w:rPr>
          <w:t xml:space="preserve">Alcance.</w:t>
        </w:r>
        <w:r>
          <w:rPr>
            <w:rtl w:val="0"/>
          </w:rPr>
          <w:t xml:space="preserve"> Las pruebas automatizadas y las comprobaciones de la sección 17.6.3 verifican las propiedades para las que fueron construidas. La reproducción byte a byte del banco de imágenes acredita que el instrumento de evaluación es idéntico, y no sustituye a repetir la inferencia sobre otro equipo, cuyos tiempos dependen del hardware y del entorno de ejecución que cada corrida declara. El empaquetado en contenedores de la sección 17.6.4 provee ese entorno y fija las versiones de los servicios. El material conservado respalda la inspección y la reconstrucción de las ejecuciones documentadas.</w:t>
        </w:r>
      </w:ins>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BC">
      <w:pPr>
        <w:pStyle w:val="Heading2"/>
        <w:pageBreakBefore w:val="1"/>
        <w:spacing w:after="0" w:before="0" w:line="480" w:lineRule="auto"/>
        <w:rPr/>
      </w:pPr>
      <w:r w:rsidDel="00000000" w:rsidR="00000000" w:rsidRPr="00000000">
        <w:rPr>
          <w:rtl w:val="0"/>
        </w:rPr>
        <w:t xml:space="preserve">19.6. Anexo F - Procedencia, licencias y tratamiento del material</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acceso a código, pesos, anotaciones y material audiovisual se trata por separado. La licencia de un repositorio no se atribuye automáticamente a todos los pesos o datos que utiliza; del mismo modo, que un video sea públicamente visible no acredita autorización para redistribuirlo. La Tabla F.1 identifica las fuentes que sostuvieron las ejecuciones y el tratamiento documentado para cada una. Las cantidades efectivamente incorporadas se reportan en las secciones 17.4 y 17.5, y no se sustituyen por los volúmenes actuales de los portales de descarga.</w:t>
      </w:r>
      <w:ins w:id="9130" w:author="Claude" w:date="2026-09-12T23:00:00Z">
        <w:r>
          <w:rPr>
            <w:rtl w:val="0"/>
          </w:rPr>
          <w:t xml:space="preserve"> El material audiovisual del proyecto —los clips del rodaje propio y los recortes del lote de obra real— no se publica: se conserva en una carpeta de evidencia con acceso autorizado, que se solicita a los autores a través del repositorio de documentación citado en la sección 17.6.1.</w:t>
        </w:r>
      </w:ins>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F.1</w:t>
      </w:r>
    </w:p>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Procedencia de los datos y condiciones de conservación</w:t>
      </w:r>
    </w:p>
    <w:tbl>
      <w:tblPr>
        <w:tblStyle w:val="Table18"/>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3096"/>
        <w:gridCol w:w="4248"/>
        <w:tblGridChange w:id="0">
          <w:tblGrid>
            <w:gridCol w:w="2016"/>
            <w:gridCol w:w="3096"/>
            <w:gridCol w:w="424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C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Fuente</w:t>
            </w:r>
          </w:p>
        </w:tc>
        <w:tc>
          <w:tcPr>
            <w:tcBorders>
              <w:bottom w:color="000000" w:space="0" w:sz="6" w:val="single"/>
            </w:tcBorders>
            <w:vAlign w:val="top"/>
          </w:tcPr>
          <w:p w:rsidR="00000000" w:rsidDel="00000000" w:rsidP="00000000" w:rsidRDefault="00000000" w:rsidRPr="00000000" w14:paraId="000002C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Función en el proyecto</w:t>
            </w:r>
          </w:p>
        </w:tc>
        <w:tc>
          <w:tcPr>
            <w:tcBorders>
              <w:bottom w:color="000000" w:space="0" w:sz="6" w:val="single"/>
            </w:tcBorders>
            <w:vAlign w:val="top"/>
          </w:tcPr>
          <w:p w:rsidR="00000000" w:rsidDel="00000000" w:rsidP="00000000" w:rsidRDefault="00000000" w:rsidRPr="00000000" w14:paraId="000002C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Condición registrada y tratamiento</w:t>
            </w:r>
          </w:p>
        </w:tc>
      </w:tr>
      <w:tr>
        <w:trPr>
          <w:cantSplit w:val="1"/>
          <w:tblHeader w:val="0"/>
        </w:trPr>
        <w:tc>
          <w:tcPr>
            <w:vAlign w:val="top"/>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construction_site_safety</w:t>
            </w:r>
          </w:p>
        </w:tc>
        <w:tc>
          <w:tcPr>
            <w:vAlign w:val="top"/>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Obra curada del banco de imágenes y una parte del conjunto de ajuste</w:t>
            </w:r>
          </w:p>
        </w:tc>
        <w:tc>
          <w:tcPr>
            <w:vAlign w:val="top"/>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Roboflow con CC BY 4.0; atribución al conjunto utilizado.</w:t>
            </w:r>
          </w:p>
        </w:tc>
      </w:tr>
      <w:tr>
        <w:trPr>
          <w:cantSplit w:val="1"/>
          <w:tblHeader w:val="0"/>
        </w:trPr>
        <w:tc>
          <w:tcPr>
            <w:vAlign w:val="top"/>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w:t>
            </w:r>
          </w:p>
        </w:tc>
        <w:tc>
          <w:tcPr>
            <w:vAlign w:val="top"/>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 de evaluación de persona, casco y chaleco</w:t>
            </w:r>
          </w:p>
        </w:tc>
        <w:tc>
          <w:tcPr>
            <w:vAlign w:val="top"/>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licencia formal identificada; declaración informal de uso libre de los autores, con cita. Imágenes no redistribuidas.</w:t>
            </w:r>
          </w:p>
        </w:tc>
      </w:tr>
      <w:tr>
        <w:trPr>
          <w:cantSplit w:val="1"/>
          <w:tblHeader w:val="0"/>
        </w:trPr>
        <w:tc>
          <w:tcPr>
            <w:vAlign w:val="top"/>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SHEL5K</w:t>
            </w:r>
          </w:p>
        </w:tc>
        <w:tc>
          <w:tcPr>
            <w:vAlign w:val="top"/>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 de imágenes con cabeza descubierta</w:t>
            </w:r>
          </w:p>
        </w:tc>
        <w:tc>
          <w:tcPr>
            <w:vAlign w:val="top"/>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 4.0 en la versión identificada de Mendeley Data; atribución al artículo y al conjunto de datos.</w:t>
            </w:r>
          </w:p>
        </w:tc>
      </w:tr>
      <w:tr>
        <w:trPr>
          <w:cantSplit w:val="1"/>
          <w:tblHeader w:val="0"/>
        </w:trPr>
        <w:tc>
          <w:tcPr>
            <w:vAlign w:val="top"/>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ppe_siabar</w:t>
            </w:r>
          </w:p>
        </w:tc>
        <w:tc>
          <w:tcPr>
            <w:vAlign w:val="top"/>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Segunda fuente del conjunto de ajuste</w:t>
            </w:r>
          </w:p>
        </w:tc>
        <w:tc>
          <w:tcPr>
            <w:vAlign w:val="top"/>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SiaBar en Roboflow, con CC BY 4.0; atribución y separación respecto de la evaluación.</w:t>
            </w:r>
          </w:p>
        </w:tc>
      </w:tr>
      <w:tr>
        <w:trPr>
          <w:cantSplit w:val="1"/>
          <w:tblHeader w:val="0"/>
        </w:trPr>
        <w:tc>
          <w:tcPr>
            <w:vAlign w:val="top"/>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Copia de MOCS en Roboflow</w:t>
            </w:r>
          </w:p>
        </w:tc>
        <w:tc>
          <w:tcPr>
            <w:vAlign w:val="top"/>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Material del piloto de extensibilidad y referencia de entidades</w:t>
            </w:r>
          </w:p>
        </w:tc>
        <w:tc>
          <w:tcPr>
            <w:vAlign w:val="top"/>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 4.0 declarada por quien publicó la copia; no se atribuye esa declaración al conjunto original no verificado. Sin redistribución.</w:t>
            </w:r>
          </w:p>
        </w:tc>
      </w:tr>
      <w:tr>
        <w:trPr>
          <w:cantSplit w:val="1"/>
          <w:tblHeader w:val="0"/>
        </w:trPr>
        <w:tc>
          <w:tcPr>
            <w:vAlign w:val="top"/>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Rodaje propio</w:t>
            </w:r>
          </w:p>
        </w:tc>
        <w:tc>
          <w:tcPr>
            <w:vAlign w:val="top"/>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Bloque guionado del banco temporal</w:t>
            </w:r>
          </w:p>
        </w:tc>
        <w:tc>
          <w:tcPr>
            <w:vAlign w:val="top"/>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Participación de integrantes del proyecto, sin terceros en cuadro; situaciones actuadas y tratamiento de material propio.</w:t>
            </w:r>
          </w:p>
        </w:tc>
      </w:tr>
      <w:tr>
        <w:trPr>
          <w:cantSplit w:val="1"/>
          <w:tblHeader w:val="0"/>
        </w:trPr>
        <w:tc>
          <w:tcPr>
            <w:vAlign w:val="top"/>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Canal </w:t>
            </w:r>
            <w:r w:rsidDel="00000000" w:rsidR="00000000" w:rsidRPr="00000000">
              <w:rPr>
                <w:rtl w:val="0"/>
              </w:rPr>
              <w:t xml:space="preserve">YouTube</w:t>
            </w:r>
            <w:r w:rsidDel="00000000" w:rsidR="00000000" w:rsidRPr="00000000">
              <w:rPr>
                <w:i w:val="0"/>
                <w:iCs w:val="0"/>
                <w:smallCaps w:val="0"/>
                <w:strike w:val="0"/>
                <w:u w:val="none"/>
                <w:shd w:fill="auto" w:val="clear"/>
                <w:vertAlign w:val="baseline"/>
                <w:rtl w:val="0"/>
              </w:rPr>
              <w:t xml:space="preserve"> @HospitalConstruction</w:t>
            </w:r>
          </w:p>
        </w:tc>
        <w:tc>
          <w:tcPr>
            <w:vAlign w:val="top"/>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Escenas del estrato de obra real</w:t>
            </w:r>
          </w:p>
        </w:tc>
        <w:tc>
          <w:tcPr>
            <w:vAlign w:val="top"/>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Licencia estándar de YouTube, no Creative Commons. Uso académico y evaluativo declarado por el proyecto, con cita y sin redistribución; procedencia por video aún incompleta.</w:t>
            </w:r>
          </w:p>
        </w:tc>
      </w:tr>
    </w:tbl>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fuentes de imágenes se identifican mediante Roboflow Universe Projects (2026), Wang et al. (2021), Otgonbold et al. (2022), Gochoo (2022), SiaBar (2024) y MOCS (2024). La publicación del conjunto MOCS se atribuye a Xuehui et al. (2021). La cita del canal HospitalConstruction (s. f.) no reemplaza las fichas de los videos concretos.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 requiere una salvedad expresa. Se utilizó como conjunto académico de terceros para evaluación bajo la declaración de uso libre de sus autores y con la cita correspondiente, no como un recurso con licencia abierta formal plenamente caracterizada (Wang et al., 2021). Las imágenes originales no se redistribuyeron. Esta condición limita la manera de compartir el banco y no queda resuelta por la disponibilidad de anotaciones derivadas.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Para SHEL5K se conserva la identificación de la versión del conjunto, además de la referencia al artículo que describe su ampliación y evaluación (Gochoo, 2022; Otgonbold et al., 2022). Para la copia de MOCS se distinguen el artículo original y la copia efectivamente utilizada: la declaración del publicador de Roboflow no constituye una verificación de los derechos del original (MOCS, 2024; Xuehui et al., 2021). Las consultas bibliográficas a los portales no modifican las particiones ni los archivos congelados del experimento.</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responsables del rodaje y del material experimental fueron los autores del proyecto, Matías Lautaro Carrizo, Gabriel Agustín Guillaumet y Simon Llamosas, quienes representaron las situaciones del guion, sin terceros en cuadro. No se trató como evidencia de conducta laboral real de personas ajenas al estudio. El tratamiento documentado se sustentó en esa participación informada y en el control del material por el equipo; no se afirma la existencia de formularios firmados individuales que no se incorporaron como evidencia de esta entrega. Los datos personales y las constancias administrativas no integran el conjunto de artefactos destinado a difusión.</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material de obra real provino del canal @HospitalConstruction. El proyecto declaró un uso académico y evaluativo, con cita y sin redistribución; esa declaración no equivale a una licencia de libre reutilización ni a una conclusión jurídica sobre permisos. Los videos incorporaron procesamiento de terceros, como corrección de color, estabilización y recortes, por lo que no se equipararon con captura nativa de la cámara propia. Se verificó el uso de fragmentos a velocidad real para la evaluación temporal. El tratamiento previsto para publicar un fotograma de ese lote exige difuminar los rostros identificables.</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[[PENDIENTE: completar la dirección de origen y la fecha de acceso de cada video utilizado del lote de obra real · depende de las fichas de procedencia aportadas por el equipo.]]</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los modelos se registraron Apache-2.0 para Grounding DINO y MM-Grounding-DINO, y AGPL-3.0 para YOLOE. La ficha pública de Grounding-DINO tiny y las licencias de las implementaciones permiten distinguir la disponibilidad del código de la de los artefactos concretos (IDEA-Research, s. f.; OpenMMLab, s. f.; Ultralytics, s. f.). La entrega documental no redistribuye pesos. Las condiciones registradas para las variantes utilizadas no se extienden a los modelos de API cerrada de la Tabla A.1.</w:t>
      </w:r>
    </w:p>
    <w:p w:rsidR="00000000" w:rsidDel="00000000" w:rsidP="00000000" w:rsidRDefault="00000000" w:rsidRPr="00000000" w14:paraId="000002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9" w:date="2026-09-12T20:36:17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 como que me perdi</w:t>
      </w:r>
    </w:p>
  </w:comment>
  <w:comment w:author="Simon Llamosas" w:id="4" w:date="2026-09-12T19:46:16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comentario que deje en el anexo. tenemos que solucionar las referencias que hacemos a los archivos, configs, set de datos,etc que estan en los repositorios o los guardamos en disco nostros (lo que son videos imagenes las vamos a guardar en un drive con acceso autorizado).</w:t>
      </w:r>
    </w:p>
  </w:comment>
  <w:comment w:author="Simon Llamosas" w:id="5" w:date="2026-09-12T19:48:15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encontrar la forma resolver esto de manera sencilla y no complicarnos la vida</w:t>
      </w:r>
    </w:p>
  </w:comment>
  <w:comment w:author="Simon Llamosas" w:id="2" w:date="2026-09-12T19:37:33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tampoco entiendo esto. que suma la informe?</w:t>
      </w:r>
    </w:p>
  </w:comment>
  <w:comment w:author="Simon Llamosas" w:id="8" w:date="2026-09-12T20:18:14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es esto? una nueva clase que agregamos?</w:t>
      </w:r>
    </w:p>
  </w:comment>
  <w:comment w:author="Simon Llamosas" w:id="14" w:date="2026-09-12T19:43:45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relamente es muy dificil entender a lo que se hace referencia. porque estamos apuntando a archivos que estan en los repositorios, y con identificadores que quizas hacen perder al lector.</w:t>
      </w:r>
    </w:p>
  </w:comment>
  <w:comment w:author="Simon Llamosas" w:id="1" w:date="2026-09-12T19:32:58Z">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entiendo esto. que suma al informe?</w:t>
      </w:r>
    </w:p>
  </w:comment>
  <w:comment w:author="Simon Llamosas" w:id="7" w:date="2026-09-12T20:11:30Z">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que hablamos de F1? en los papers y experimentos vi que siempre se muestra AP, puede ser?</w:t>
      </w:r>
    </w:p>
  </w:comment>
  <w:comment w:author="Simon Llamosas" w:id="3" w:date="2026-09-12T19:40:51Z">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esto, aunque no lo hayamos hecho todavia quiere decir que no lo vamos hacer. tenemos que decir que ya esta todo listo y dockerizado. quedara como pendiente y lo trateremos una vez que hagamos la primer entrega del informe al jurado. es decir, antes de la presentacion final lo vamos a resolver.</w:t>
      </w:r>
    </w:p>
  </w:comment>
  <w:comment w:author="Simon Llamosas" w:id="13" w:date="2026-09-12T21:00:40Z">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lo plantearia de otra forma, es muy probable que no continuemos el proyecto nosotros pero si esta bueno plantear cuales serian los caminos que se pueden tomar para extender las capacidades actuales y cubrir toda la tesis. a modo de cierre  de que dejamos las bases listas.</w:t>
      </w:r>
    </w:p>
  </w:comment>
  <w:comment w:author="Simon Llamosas" w:id="6" w:date="2026-09-12T19:52:34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hipotesis se planteo resolver consultas como "persona sin casco" o "persona sin chaleco reflectivo", que no esta mal pero deberiamos hacer referencia a eso, o a lo que se pude concluir o alcanzar.</w:t>
      </w:r>
    </w:p>
  </w:comment>
  <w:comment w:author="Simon Llamosas" w:id="12" w:date="2026-09-12T20:55:38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me hizo como medio dificil entender.</w:t>
      </w:r>
    </w:p>
  </w:comment>
  <w:comment w:author="Simon Llamosas" w:id="0" w:date="2026-09-12T19:16:43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 falta citar los repositorios aca? son repositorios publicos en github</w:t>
      </w:r>
    </w:p>
  </w:comment>
  <w:comment w:author="Simon Llamosas" w:id="11" w:date="2026-09-12T20:43:07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correcto a 30fps en tiempo real?</w:t>
      </w:r>
    </w:p>
  </w:comment>
  <w:comment w:author="Simon Llamosas" w:id="10" w:date="2026-09-12T20:38:43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deja bien en claro lo del presupuesto excedido</w:t>
      </w:r>
    </w:p>
  </w:comment>
  <w:comment w:id="15" w:author="Claude" w:initials="C" w:date="2026-09-12T23:00:00Z">
    <w:p w14:paraId="C000000F">
      <w:pPr>
        <w:rPr/>
      </w:pPr>
      <w:r>
        <w:rPr>
          <w:rtl w:val="0"/>
        </w:rPr>
        <w:t xml:space="preserve">H01 «¿hace falta citar los repositorios acá?» — Sí, y se cita UNA sola cosa: el repositorio de documentación, que ya lista los cinco repos de código con su URL, enlaza los índices de resultados y trae las figuras. Así el informe no carga cinco URLs que pueden cambiar de rama o de dueño. La URL va inline una vez porque es un punto de acceso, no una fuente bibliográfica; si preferís APA estricto, se quita de acá y queda sólo en la entrada de la lista de referencias (la entrada está en el acta del pase, porque esta versión no trae la lista). Verificado hoy: los siete repos son públicos.</w:t>
      </w:r>
      <w:r>
        <w:rPr>
          <w:rtl w:val="0"/>
        </w:rPr>
        <w:annotationRef/>
      </w:r>
    </w:p>
  </w:comment>
  <w:comment w:id="16" w:author="Claude" w:initials="C" w:date="2026-09-12T23:00:00Z">
    <w:p w14:paraId="C0000010">
      <w:pPr>
        <w:rPr/>
      </w:pPr>
      <w:r>
        <w:rPr>
          <w:rtl w:val="0"/>
        </w:rPr>
        <w:t xml:space="preserve">H02/H03 «no entiendo esto, ¿qué suma?» — Suma: es la evidencia de que las cifras del informe son verificables mecánicamente, y al tribunal le sirve. El problema era que estaba escrito en abstracto porque el informe no puede nombrar scripts. Los dos párrafos quedan en uno que dice qué hace cada comprobación, con una sola cifra (26 cifras sobre 17 campañas, estado del verificador al cierre) y con el límite explícito. Si igual te parece que no aporta, rechazá la sugerencia y borrá el párrafo: nada más depende de él.</w:t>
      </w:r>
      <w:r>
        <w:rPr>
          <w:rtl w:val="0"/>
        </w:rPr>
        <w:annotationRef/>
      </w:r>
    </w:p>
  </w:comment>
  <w:comment w:id="17" w:author="Claude" w:initials="C" w:date="2026-09-12T23:00:00Z">
    <w:p w14:paraId="C0000011">
      <w:pPr>
        <w:rPr/>
      </w:pPr>
      <w:r>
        <w:rPr>
          <w:rtl w:val="0"/>
        </w:rPr>
        <w:t xml:space="preserve">H04 — Desarrollado en afirmativo, como pediste: el empaquetado es parte de la entrega y el párrafo describe lo que existe, sin declarar ningún pendiente. Cada afirmación se comprobó contra los repositorios: los cuatro archivos de construcción (medios, control, distribución y consola), la composición de trece servicios con sus redes, volúmenes, comprobaciones de salud y dependencias, el arranque diferido de las instancias de inferencia con la política de una activa a la vez, la paridad de rutas y la resolución por nombre de servicio. Lo único que el párrafo no hace es afirmar una portabilidad medida sobre un tercer equipo, porque eso sería un resultado y no un estado de entrega. Las dos frases espejo, la de 18.6 y la del cierre del Anexo E, quedaron alineadas con esta.</w:t>
      </w:r>
      <w:r>
        <w:rPr>
          <w:rtl w:val="0"/>
        </w:rPr>
        <w:annotationRef/>
      </w:r>
    </w:p>
  </w:comment>
  <w:comment w:id="18" w:author="Claude" w:initials="C" w:date="2026-09-12T23:00:00Z">
    <w:p w14:paraId="C0000012">
      <w:pPr>
        <w:rPr/>
      </w:pPr>
      <w:r>
        <w:rPr>
          <w:rtl w:val="0"/>
        </w:rPr>
        <w:t xml:space="preserve">H05 «resolver las referencias a archivos, configs, datos… de manera sencilla» — La forma sencilla es UN punto de entrada: el informe remite siempre al repositorio de documentación; ese repositorio mantiene un mapa de artefactos (qué es cada cosa, en qué repo y ruta está, con enlace) y la sección de acceso autorizado al material audiovisual, donde irá el enlace a la carpeta de evidencia cuando la armes al final. Así una URL de carpeta no queda impresa en la tesis y el informe no nombra archivos ni rutas. El Anexo E y el Anexo F remiten a lo mismo.</w:t>
      </w:r>
      <w:r>
        <w:rPr>
          <w:rtl w:val="0"/>
        </w:rPr>
        <w:annotationRef/>
      </w:r>
    </w:p>
  </w:comment>
  <w:comment w:id="19" w:author="Claude" w:initials="C" w:date="2026-09-12T23:00:00Z">
    <w:p w14:paraId="C0000013">
      <w:pPr>
        <w:rPr/>
      </w:pPr>
      <w:r>
        <w:rPr>
          <w:rtl w:val="0"/>
        </w:rPr>
        <w:t xml:space="preserve">H06 — Párrafo nuevo que cierra el círculo con la formulación literal de la hipótesis: las dos consultas de ejemplo de §12.3, qué se pudo hacer con ellas y con qué matices. Los tres hechos que lo sostienen están en §17.5 y más abajo en §18.2: E-DIR descartada por precisión 0,146; CR-01 sostenida en percepción, estado por persona y episodio; CR-02 con recall 1,000 por episodio pero F1 0,479 por persona.</w:t>
      </w:r>
      <w:r>
        <w:rPr>
          <w:rtl w:val="0"/>
        </w:rPr>
        <w:annotationRef/>
      </w:r>
    </w:p>
  </w:comment>
  <w:comment w:id="20" w:author="Claude" w:initials="C" w:date="2026-09-12T23:00:00Z">
    <w:p w14:paraId="C0000014">
      <w:pPr>
        <w:rPr/>
      </w:pPr>
      <w:r>
        <w:rPr>
          <w:rtl w:val="0"/>
        </w:rPr>
        <w:t xml:space="preserve">H07 «¿por qué F1 y no AP?» — Las dos métricas están, cada una en su nivel. El AP resume precisión y recall de un detector a lo largo de todos los umbrales de confianza sobre imágenes: es lo que reportan los papers porque evalúan detectores, y acá vive en §17.5.2 (mAP50 0,551 del perfil operativo sobre el banco). Una alerta por episodio no tiene ranking ni barrido de umbrales que promediar: para cada episodio anotado, la plataforma alertó o no dentro de la ventana; lo que corresponde es precisión, recall y F1 sobre episodios, fijado de antemano en §17.1.7. Y es el resultado principal porque el AP no puede ver el aporte de la plataforma: de 0,789 a 0,930 las detecciones no cambiaron.</w:t>
      </w:r>
      <w:r>
        <w:rPr>
          <w:rtl w:val="0"/>
        </w:rPr>
        <w:annotationRef/>
      </w:r>
    </w:p>
  </w:comment>
  <w:comment w:id="21" w:author="Claude" w:initials="C" w:date="2026-09-12T23:00:00Z">
    <w:p w14:paraId="C0000015">
      <w:pPr>
        <w:rPr/>
      </w:pPr>
      <w:r>
        <w:rPr>
          <w:rtl w:val="0"/>
        </w:rPr>
        <w:t xml:space="preserve">H08 «¿qué es machinery?» — Sí: es la clase nueva del piloto de extensibilidad, ajena a CR-01/CR-02, agregada por configuración para probar que se puede sumar una clase sin entrenar; se evaluó contra 99 cajas de referencia del material del piloto (la copia de MOCS del Anexo F). La segunda mitad del párrafo es el límite: vehicle fue una segunda palabra probada y el modelo la resolvió sobre la misma maquinaria. Ahora el párrafo lo dice.</w:t>
      </w:r>
      <w:r>
        <w:rPr>
          <w:rtl w:val="0"/>
        </w:rPr>
        <w:annotationRef/>
      </w:r>
    </w:p>
  </w:comment>
  <w:comment w:id="22" w:author="Claude" w:initials="C" w:date="2026-09-12T23:00:00Z">
    <w:p w14:paraId="C0000016">
      <w:pPr>
        <w:rPr/>
      </w:pPr>
      <w:r>
        <w:rPr>
          <w:rtl w:val="0"/>
        </w:rPr>
        <w:t xml:space="preserve">Arrastre de H13. Acá decía «evaluación MOT del tracker», y en 18.6 y 17.5.7 lo mismo se llama «métricas formales de seguimiento multiobjeto». Dos nombres para una misma ausencia hacen dudar de si son cosas distintas, que es justo lo que te pasó al leer 18.6. Queda el nombre de 17.5.7 en los dos lugares. La palabra «tracker» sobrevive sólo en las tablas de los anexos heredados, donde es vocabulario de la métrica y no se toca.</w:t>
      </w:r>
      <w:r>
        <w:rPr>
          <w:rtl w:val="0"/>
        </w:rPr>
        <w:annotationRef/>
      </w:r>
    </w:p>
  </w:comment>
  <w:comment w:id="23" w:author="Claude" w:initials="C" w:date="2026-09-12T23:00:00Z">
    <w:p w14:paraId="C0000017">
      <w:pPr>
        <w:rPr/>
      </w:pPr>
      <w:r>
        <w:rPr>
          <w:rtl w:val="0"/>
        </w:rPr>
        <w:t xml:space="preserve">H09 «acá me perdí» — Con razón: el párrafo anterior habla de episodios (2 evaluables, 26 contra 323 falsos positivos) y este saltaba sin avisar a otro nivel de evaluación —estado por persona, cuadro a cuadro, sin motor temporal— sobre otro conjunto (17 clips), con jerga que no se había definido («evaluación intermedia», «conservar esa frontera», «condición anotable»). Ahora dice de entrada qué nivel es, qué material, qué cifras y por qué cayó. Cifras y denominadores: Tabla 62 y el texto de §17.5.3.</w:t>
      </w:r>
      <w:r>
        <w:rPr>
          <w:rtl w:val="0"/>
        </w:rPr>
        <w:annotationRef/>
      </w:r>
    </w:p>
  </w:comment>
  <w:comment w:id="24" w:author="Claude" w:initials="C" w:date="2026-09-12T23:00:00Z">
    <w:p w14:paraId="C0000018">
      <w:pPr>
        <w:rPr/>
      </w:pPr>
      <w:r>
        <w:rPr>
          <w:rtl w:val="0"/>
        </w:rPr>
        <w:t xml:space="preserve">H10 «no deja claro lo del presupuesto excedido» — Faltaban el presupuesto y el factor. §17.1.7.5 estima el tramo previo a la acumulación temporal «entre 35 y 250 ms por unidad procesada»; la Tabla 64 mide 630–890 ms p95 en vivo (fuera) y 31,8 ms p95 con detector simulado (dentro). Con eso el lector ve que el exceso es del modelo y no de la plataforma. No se agregó la comparación con YOLOE en vivo (entra en presupuesto pero no reconoce la condición) porque esa cifra no está en §17.5; si querés que esté, hay que subirla primero a la Tabla 64.</w:t>
      </w:r>
      <w:r>
        <w:rPr>
          <w:rtl w:val="0"/>
        </w:rPr>
        <w:annotationRef/>
      </w:r>
    </w:p>
  </w:comment>
  <w:comment w:id="25" w:author="Claude" w:initials="C" w:date="2026-09-12T23:00:00Z">
    <w:p w14:paraId="C0000019">
      <w:pPr>
        <w:rPr/>
      </w:pPr>
      <w:r>
        <w:rPr>
          <w:rtl w:val="0"/>
        </w:rPr>
        <w:t xml:space="preserve">H11 «¿es correcto a 30 fps en tiempo real?» — No es tiempo real, y el texto lo insinuaba mal: 30 fps es la cadencia completa del material grabado, evaluada en diferido; el camino en vivo entregó entre 1,16 y 4,42 fps (§17.5.5). Por eso se remuestreó a 4,29 / 2 / 1,15: para cubrir la franja del vivo con el mismo material y las mismas anotaciones. Ahora el párrafo lo dice antes de la serie.</w:t>
      </w:r>
      <w:r>
        <w:rPr>
          <w:rtl w:val="0"/>
        </w:rPr>
        <w:annotationRef/>
      </w:r>
    </w:p>
  </w:comment>
  <w:comment w:id="26" w:author="Claude" w:initials="C" w:date="2026-09-12T23:00:00Z">
    <w:p w14:paraId="C000001A">
      <w:pPr>
        <w:rPr/>
      </w:pPr>
      <w:r>
        <w:rPr>
          <w:rtl w:val="0"/>
        </w:rPr>
        <w:t xml:space="preserve">H12 «se me hizo difícil de entender» — Reordenado en cuatro párrafos: qué fue la rama (con los tres tramos numerados y definidos una vez, que es lo que hace legible el resto sin volver a las etiquetas T1/T2/T3 que tu colega objetó), qué pasó en cada tramo, qué significa, y el cierre. Salió de ~560 a ~440 palabras. Contenido conservado: todas las cifras y veredictos (Tabla 66 y §17.5.6). Salió la oración sobre la latencia no medida de los checkpoints, que ya está en §17.5.7. De paso queda absorbida la regresión de la bajada («No implica» por «No implican»).</w:t>
      </w:r>
      <w:r>
        <w:rPr>
          <w:rtl w:val="0"/>
        </w:rPr>
        <w:annotationRef/>
      </w:r>
    </w:p>
  </w:comment>
  <w:comment w:id="27" w:author="Claude" w:initials="C" w:date="2026-09-12T23:00:00Z">
    <w:p w14:paraId="C000001B">
      <w:pPr>
        <w:rPr/>
      </w:pPr>
      <w:r>
        <w:rPr>
          <w:rtl w:val="0"/>
        </w:rPr>
        <w:t xml:space="preserve">H13, cuarta vuelta, con el encuadre que pediste: </w:t>
      </w:r>
      <w:r>
        <w:rPr>
          <w:b w:val="1"/>
          <w:bCs w:val="1"/>
          <w:rtl w:val="0"/>
        </w:rPr>
        <w:t xml:space="preserve">no es «acá queda una base para que otro siga», es «el diseño contempló todo el alcance aunque se haya implementado y medido un núcleo»</w:t>
      </w:r>
      <w:r>
        <w:rPr>
          <w:rtl w:val="0"/>
        </w:rPr>
        <w:t xml:space="preserve">. Es una afirmación más fuerte y la sostiene el propio informe con su vocabulario: 17.1 dice que el catálogo retiene seis condiciones en tres niveles, que CR-01 y CR-02 son el «núcleo obligatorio de validación» y que las demás se conservan como «extensiones condicionadas»; 17.3 clasifica las capacidades en «núcleo» y «complementario previsto» y declara que el motor admite el catálogo completo de patrones, con la activación dependiendo de la configuración. La frase que cierra la idea es que </w:t>
      </w:r>
      <w:r>
        <w:rPr>
          <w:b w:val="1"/>
          <w:bCs w:val="1"/>
          <w:rtl w:val="0"/>
        </w:rPr>
        <w:t xml:space="preserve">el recorte fue de la validación y no del diseño</w:t>
      </w:r>
      <w:r>
        <w:rPr>
          <w:rtl w:val="0"/>
        </w:rPr>
        <w:t xml:space="preserve">, y la del segundo párrafo, que </w:t>
      </w:r>
      <w:r>
        <w:rPr>
          <w:b w:val="1"/>
          <w:bCs w:val="1"/>
          <w:rtl w:val="0"/>
        </w:rPr>
        <w:t xml:space="preserve">lo que falta es evidencia y no arquitectura</w:t>
      </w:r>
      <w:r>
        <w:rPr>
          <w:rtl w:val="0"/>
        </w:rPr>
        <w:t xml:space="preserve">. Sobreviven las correcciones anteriores: la identidad temporal figura como implementada y medida, y ya no se la llama «tracker».</w:t>
      </w:r>
      <w:r>
        <w:rPr>
          <w:rtl w:val="0"/>
        </w:rPr>
        <w:annotationRef/>
      </w:r>
    </w:p>
  </w:comment>
  <w:comment w:id="28" w:author="Claude" w:initials="C" w:date="2026-09-12T23:00:00Z">
    <w:p w14:paraId="C000001C">
      <w:pPr>
        <w:rPr/>
      </w:pPr>
      <w:r>
        <w:rPr>
          <w:rtl w:val="0"/>
        </w:rPr>
        <w:t xml:space="preserve">H14 «apuntamos a archivos de los repos con identificadores que pierden al lector» — El anexo deja de nombrar archivos y comandos. Cada material se describe por lo que es y el repositorio de documentación lleva el mapa de artefactos: qué es cada cosa, en qué repositorio y ruta está, con enlace. El lector del informe tiene una sola puerta; el que quiera el archivo concreto lo encuentra en el mapa, que se mantiene al día sin tocar el informe.</w:t>
      </w:r>
      <w:r>
        <w:rPr>
          <w:rtl w:val="0"/>
        </w:rPr>
        <w:annotationRef/>
      </w:r>
    </w:p>
  </w:comment>
  <w:comment w:id="29" w:author="Claude" w:initials="C" w:date="2026-09-12T23:00:00Z">
    <w:p w14:paraId="C000001D">
      <w:pPr>
        <w:rPr/>
      </w:pPr>
      <w:r>
        <w:rPr>
          <w:rtl w:val="0"/>
        </w:rPr>
        <w:t xml:space="preserve">H14 (Tabla E.2) — Quedan sólo las dos huellas completas, que son las únicas que un tercero puede comprobar de punta a punta; las dos se verificaron hoy contra los archivos en disco. Las siete abreviadas se van: por la propia nota de la tabla «no servían para una verificación criptográfica», y eran el ruido que perdía al lector. Sus valores completos acompañan a cada artefacto en el repositorio y figuran en el mapa de artefactos.</w:t>
      </w:r>
      <w:r>
        <w:rPr>
          <w:rtl w:val="0"/>
        </w:rPr>
        <w:annotationRef/>
      </w:r>
    </w:p>
  </w:comment>
  <w:comment w:id="30" w:author="Claude" w:initials="C" w:date="2026-09-12T23:00:00Z">
    <w:p w14:paraId="C000001E">
      <w:pPr>
        <w:rPr/>
      </w:pPr>
      <w:r>
        <w:rPr>
          <w:rtl w:val="0"/>
        </w:rPr>
        <w:t xml:space="preserve">H14 (prosa del anexo) — Los ocho párrafos pasan a seis pasos con entrada en negrita, por material, sin ningún nombre de archivo ni comando (build_bench_v3.py, --run, --bench-coco, eovrt-control replay/live/evaluate-alerts: fuera). Se conserva lo que es trampa real —el nivel de exportación de la anotación, el orden de arranque, la definición de G2A desde la cola— y se funden las dos advertencias que repetían reglas de §17.5. El paso «Alcance» queda alineado con el nuevo 17.6.4.</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E4" w15:done="0"/>
  <w15:commentEx w15:paraId="000002E5" w15:done="0"/>
  <w15:commentEx w15:paraId="000002E6" w15:paraIdParent="000002E5" w15:done="0"/>
  <w15:commentEx w15:paraId="000002E7" w15:done="0"/>
  <w15:commentEx w15:paraId="000002E8" w15:done="0"/>
  <w15:commentEx w15:paraId="000002E9" w15:done="0"/>
  <w15:commentEx w15:paraId="000002EA" w15:done="0"/>
  <w15:commentEx w15:paraId="000002EB" w15:done="0"/>
  <w15:commentEx w15:paraId="000002EC" w15:done="0"/>
  <w15:commentEx w15:paraId="000002ED" w15:done="0"/>
  <w15:commentEx w15:paraId="000002EE" w15:done="0"/>
  <w15:commentEx w15:paraId="000002EF" w15:done="0"/>
  <w15:commentEx w15:paraId="000002F0" w15:done="0"/>
  <w15:commentEx w15:paraId="000002F1" w15:done="0"/>
  <w15:commentEx w15:paraId="000002F2" w15:done="0"/>
  <w15:commentEx w15:paraId="C000000F" w15:done="0"/>
  <w15:commentEx w15:paraId="C0000010" w15:done="0"/>
  <w15:commentEx w15:paraId="C0000011" w15:done="0"/>
  <w15:commentEx w15:paraId="C0000012" w15:done="0"/>
  <w15:commentEx w15:paraId="C0000013" w15:done="0"/>
  <w15:commentEx w15:paraId="C0000014" w15:done="0"/>
  <w15:commentEx w15:paraId="C0000015" w15:done="0"/>
  <w15:commentEx w15:paraId="C0000016" w15:done="0"/>
  <w15:commentEx w15:paraId="C0000017" w15:done="0"/>
  <w15:commentEx w15:paraId="C0000018" w15:done="0"/>
  <w15:commentEx w15:paraId="C0000019" w15:done="0"/>
  <w15:commentEx w15:paraId="C000001A" w15:done="0"/>
  <w15:commentEx w15:paraId="C000001B" w15:done="0"/>
  <w15:commentEx w15:paraId="C000001C" w15:done="0"/>
  <w15:commentEx w15:paraId="C000001D" w15:done="0"/>
  <w15:commentEx w15:paraId="C000001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1"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2"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tblPr>
      <w:tblStyleRowBandSize w:val="1"/>
      <w:tblStyleColBandSize w:val="1"/>
      <w:tblCellMar>
        <w:top w:w="0.0" w:type="dxa"/>
        <w:left w:w="115.0" w:type="dxa"/>
        <w:bottom w:w="0.0" w:type="dxa"/>
        <w:right w:w="115.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tblPr>
      <w:tblStyleRowBandSize w:val="1"/>
      <w:tblStyleColBandSize w:val="1"/>
      <w:tblCellMar>
        <w:top w:w="0.0" w:type="dxa"/>
        <w:left w:w="115.0" w:type="dxa"/>
        <w:bottom w:w="0.0" w:type="dxa"/>
        <w:right w:w="115.0" w:type="dxa"/>
      </w:tblCellMar>
    </w:tblPr>
  </w:style>
  <w:style w:type="table" w:styleId="af7" w:customStyle="1">
    <w:basedOn w:val="TableNormal"/>
    <w:tblPr>
      <w:tblStyleRowBandSize w:val="1"/>
      <w:tblStyleColBandSize w:val="1"/>
      <w:tblCellMar>
        <w:top w:w="0.0" w:type="dxa"/>
        <w:left w:w="115.0" w:type="dxa"/>
        <w:bottom w:w="0.0" w:type="dxa"/>
        <w:right w:w="115.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table" w:styleId="af9" w:customStyle="1">
    <w:basedOn w:val="TableNormal"/>
    <w:tblPr>
      <w:tblStyleRowBandSize w:val="1"/>
      <w:tblStyleColBandSize w:val="1"/>
      <w:tblCellMar>
        <w:top w:w="0.0" w:type="dxa"/>
        <w:left w:w="115.0" w:type="dxa"/>
        <w:bottom w:w="0.0" w:type="dxa"/>
        <w:right w:w="115.0" w:type="dxa"/>
      </w:tblCellMar>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table" w:styleId="aff0" w:customStyle="1">
    <w:basedOn w:val="TableNormal"/>
    <w:tblPr>
      <w:tblStyleRowBandSize w:val="1"/>
      <w:tblStyleColBandSize w:val="1"/>
      <w:tblCellMar>
        <w:top w:w="0.0" w:type="dxa"/>
        <w:left w:w="115.0" w:type="dxa"/>
        <w:bottom w:w="0.0" w:type="dxa"/>
        <w:right w:w="115.0" w:type="dxa"/>
      </w:tblCellMar>
    </w:tblPr>
  </w:style>
  <w:style w:type="table" w:styleId="aff1" w:customStyle="1">
    <w:basedOn w:val="TableNormal"/>
    <w:tblPr>
      <w:tblStyleRowBandSize w:val="1"/>
      <w:tblStyleColBandSize w:val="1"/>
      <w:tblCellMar>
        <w:top w:w="0.0" w:type="dxa"/>
        <w:left w:w="115.0" w:type="dxa"/>
        <w:bottom w:w="0.0" w:type="dxa"/>
        <w:right w:w="115.0" w:type="dxa"/>
      </w:tblCellMar>
    </w:tblPr>
  </w:style>
  <w:style w:type="table" w:styleId="aff2" w:customStyle="1">
    <w:basedOn w:val="TableNormal"/>
    <w:tblPr>
      <w:tblStyleRowBandSize w:val="1"/>
      <w:tblStyleColBandSize w:val="1"/>
      <w:tblCellMar>
        <w:top w:w="0.0" w:type="dxa"/>
        <w:left w:w="115.0" w:type="dxa"/>
        <w:bottom w:w="0.0" w:type="dxa"/>
        <w:right w:w="115.0" w:type="dxa"/>
      </w:tblCellMar>
    </w:tblPr>
  </w:style>
  <w:style w:type="table" w:styleId="aff3" w:customStyle="1">
    <w:basedOn w:val="TableNormal"/>
    <w:tblPr>
      <w:tblStyleRowBandSize w:val="1"/>
      <w:tblStyleColBandSize w:val="1"/>
      <w:tblCellMar>
        <w:top w:w="0.0" w:type="dxa"/>
        <w:left w:w="115.0" w:type="dxa"/>
        <w:bottom w:w="0.0" w:type="dxa"/>
        <w:right w:w="115.0" w:type="dxa"/>
      </w:tblCellMar>
    </w:tblPr>
  </w:style>
  <w:style w:type="table" w:styleId="aff4" w:customStyle="1">
    <w:basedOn w:val="TableNormal"/>
    <w:tblPr>
      <w:tblStyleRowBandSize w:val="1"/>
      <w:tblStyleColBandSize w:val="1"/>
      <w:tblCellMar>
        <w:top w:w="0.0" w:type="dxa"/>
        <w:left w:w="115.0" w:type="dxa"/>
        <w:bottom w:w="0.0" w:type="dxa"/>
        <w:right w:w="115.0" w:type="dxa"/>
      </w:tblCellMar>
    </w:tblPr>
  </w:style>
  <w:style w:type="table" w:styleId="aff5" w:customStyle="1">
    <w:basedOn w:val="TableNormal"/>
    <w:tblPr>
      <w:tblStyleRowBandSize w:val="1"/>
      <w:tblStyleColBandSize w:val="1"/>
      <w:tblCellMar>
        <w:top w:w="0.0" w:type="dxa"/>
        <w:left w:w="115.0" w:type="dxa"/>
        <w:bottom w:w="0.0" w:type="dxa"/>
        <w:right w:w="115.0" w:type="dxa"/>
      </w:tblCellMar>
    </w:tblPr>
  </w:style>
  <w:style w:type="table" w:styleId="aff6" w:customStyle="1">
    <w:basedOn w:val="TableNormal"/>
    <w:tblPr>
      <w:tblStyleRowBandSize w:val="1"/>
      <w:tblStyleColBandSize w:val="1"/>
      <w:tblCellMar>
        <w:top w:w="0.0" w:type="dxa"/>
        <w:left w:w="115.0" w:type="dxa"/>
        <w:bottom w:w="0.0" w:type="dxa"/>
        <w:right w:w="115.0" w:type="dxa"/>
      </w:tblCellMar>
    </w:tblPr>
  </w:style>
  <w:style w:type="table" w:styleId="af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8" w:customStyle="1">
    <w:basedOn w:val="TableNormal"/>
    <w:tblPr>
      <w:tblStyleRowBandSize w:val="1"/>
      <w:tblStyleColBandSize w:val="1"/>
      <w:tblCellMar>
        <w:top w:w="0.0" w:type="dxa"/>
        <w:left w:w="115.0" w:type="dxa"/>
        <w:bottom w:w="0.0" w:type="dxa"/>
        <w:right w:w="115.0" w:type="dxa"/>
      </w:tblCellMar>
    </w:tblPr>
  </w:style>
  <w:style w:type="table" w:styleId="aff9" w:customStyle="1">
    <w:basedOn w:val="TableNormal"/>
    <w:tblPr>
      <w:tblStyleRowBandSize w:val="1"/>
      <w:tblStyleColBandSize w:val="1"/>
      <w:tblCellMar>
        <w:top w:w="0.0" w:type="dxa"/>
        <w:left w:w="115.0" w:type="dxa"/>
        <w:bottom w:w="0.0" w:type="dxa"/>
        <w:right w:w="115.0" w:type="dxa"/>
      </w:tblCellMar>
    </w:tblPr>
  </w:style>
  <w:style w:type="table" w:styleId="affa" w:customStyle="1">
    <w:basedOn w:val="TableNormal"/>
    <w:tblPr>
      <w:tblStyleRowBandSize w:val="1"/>
      <w:tblStyleColBandSize w:val="1"/>
      <w:tblCellMar>
        <w:top w:w="0.0" w:type="dxa"/>
        <w:left w:w="115.0" w:type="dxa"/>
        <w:bottom w:w="0.0" w:type="dxa"/>
        <w:right w:w="115.0" w:type="dxa"/>
      </w:tblCellMar>
    </w:tblPr>
  </w:style>
  <w:style w:type="table" w:styleId="affb" w:customStyle="1">
    <w:basedOn w:val="TableNormal"/>
    <w:tblPr>
      <w:tblStyleRowBandSize w:val="1"/>
      <w:tblStyleColBandSize w:val="1"/>
      <w:tblCellMar>
        <w:top w:w="0.0" w:type="dxa"/>
        <w:left w:w="115.0" w:type="dxa"/>
        <w:bottom w:w="0.0" w:type="dxa"/>
        <w:right w:w="115.0" w:type="dxa"/>
      </w:tblCellMar>
    </w:tblPr>
  </w:style>
  <w:style w:type="table" w:styleId="affc" w:customStyle="1">
    <w:basedOn w:val="TableNormal"/>
    <w:tblPr>
      <w:tblStyleRowBandSize w:val="1"/>
      <w:tblStyleColBandSize w:val="1"/>
      <w:tblCellMar>
        <w:top w:w="0.0" w:type="dxa"/>
        <w:left w:w="115.0" w:type="dxa"/>
        <w:bottom w:w="0.0" w:type="dxa"/>
        <w:right w:w="115.0" w:type="dxa"/>
      </w:tblCellMar>
    </w:tblPr>
  </w:style>
  <w:style w:type="table" w:styleId="affd" w:customStyle="1">
    <w:basedOn w:val="TableNormal"/>
    <w:tblPr>
      <w:tblStyleRowBandSize w:val="1"/>
      <w:tblStyleColBandSize w:val="1"/>
      <w:tblCellMar>
        <w:top w:w="0.0" w:type="dxa"/>
        <w:left w:w="115.0" w:type="dxa"/>
        <w:bottom w:w="0.0" w:type="dxa"/>
        <w:right w:w="115.0" w:type="dxa"/>
      </w:tblCellMar>
    </w:tblPr>
  </w:style>
  <w:style w:type="table" w:styleId="affe" w:customStyle="1">
    <w:basedOn w:val="TableNormal"/>
    <w:tblPr>
      <w:tblStyleRowBandSize w:val="1"/>
      <w:tblStyleColBandSize w:val="1"/>
      <w:tblCellMar>
        <w:top w:w="0.0" w:type="dxa"/>
        <w:left w:w="115.0" w:type="dxa"/>
        <w:bottom w:w="0.0" w:type="dxa"/>
        <w:right w:w="115.0" w:type="dxa"/>
      </w:tblCellMar>
    </w:tblPr>
  </w:style>
  <w:style w:type="table" w:styleId="afff" w:customStyle="1">
    <w:basedOn w:val="TableNormal"/>
    <w:tblPr>
      <w:tblStyleRowBandSize w:val="1"/>
      <w:tblStyleColBandSize w:val="1"/>
      <w:tblCellMar>
        <w:top w:w="0.0" w:type="dxa"/>
        <w:left w:w="115.0" w:type="dxa"/>
        <w:bottom w:w="0.0" w:type="dxa"/>
        <w:right w:w="115.0" w:type="dxa"/>
      </w:tblCellMar>
    </w:tblPr>
  </w:style>
  <w:style w:type="table" w:styleId="afff0" w:customStyle="1">
    <w:basedOn w:val="TableNormal"/>
    <w:tblPr>
      <w:tblStyleRowBandSize w:val="1"/>
      <w:tblStyleColBandSize w:val="1"/>
      <w:tblCellMar>
        <w:top w:w="0.0" w:type="dxa"/>
        <w:left w:w="115.0" w:type="dxa"/>
        <w:bottom w:w="0.0" w:type="dxa"/>
        <w:right w:w="115.0" w:type="dxa"/>
      </w:tblCellMar>
    </w:tblPr>
  </w:style>
  <w:style w:type="table" w:styleId="afff1" w:customStyle="1">
    <w:basedOn w:val="TableNormal"/>
    <w:tblPr>
      <w:tblStyleRowBandSize w:val="1"/>
      <w:tblStyleColBandSize w:val="1"/>
      <w:tblCellMar>
        <w:top w:w="0.0" w:type="dxa"/>
        <w:left w:w="115.0" w:type="dxa"/>
        <w:bottom w:w="0.0" w:type="dxa"/>
        <w:right w:w="115.0" w:type="dxa"/>
      </w:tblCellMar>
    </w:tblPr>
  </w:style>
  <w:style w:type="table" w:styleId="afff2" w:customStyle="1">
    <w:basedOn w:val="TableNormal"/>
    <w:tblPr>
      <w:tblStyleRowBandSize w:val="1"/>
      <w:tblStyleColBandSize w:val="1"/>
      <w:tblCellMar>
        <w:top w:w="0.0" w:type="dxa"/>
        <w:left w:w="115.0" w:type="dxa"/>
        <w:bottom w:w="0.0" w:type="dxa"/>
        <w:right w:w="115.0" w:type="dxa"/>
      </w:tblCellMar>
    </w:tblPr>
  </w:style>
  <w:style w:type="table" w:styleId="afff3" w:customStyle="1">
    <w:basedOn w:val="TableNormal"/>
    <w:tblPr>
      <w:tblStyleRowBandSize w:val="1"/>
      <w:tblStyleColBandSize w:val="1"/>
    </w:tblPr>
  </w:style>
  <w:style w:type="table" w:styleId="aff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7" w:customStyle="1">
    <w:basedOn w:val="TableNormal"/>
    <w:tblPr>
      <w:tblStyleRowBandSize w:val="1"/>
      <w:tblStyleColBandSize w:val="1"/>
      <w:tblCellMar>
        <w:top w:w="0.0" w:type="dxa"/>
        <w:left w:w="115.0" w:type="dxa"/>
        <w:bottom w:w="0.0" w:type="dxa"/>
        <w:right w:w="115.0" w:type="dxa"/>
      </w:tblCellMar>
    </w:tblPr>
  </w:style>
  <w:style w:type="table" w:styleId="aff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9" w:customStyle="1">
    <w:basedOn w:val="TableNormal"/>
    <w:tblPr>
      <w:tblStyleRowBandSize w:val="1"/>
      <w:tblStyleColBandSize w:val="1"/>
      <w:tblCellMar>
        <w:top w:w="0.0" w:type="dxa"/>
        <w:left w:w="115.0" w:type="dxa"/>
        <w:bottom w:w="0.0" w:type="dxa"/>
        <w:right w:w="115.0" w:type="dxa"/>
      </w:tblCellMar>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d" w:customStyle="1">
    <w:basedOn w:val="TableNormal"/>
    <w:tblPr>
      <w:tblStyleRowBandSize w:val="1"/>
      <w:tblStyleColBandSize w:val="1"/>
      <w:tblCellMar>
        <w:top w:w="0.0" w:type="dxa"/>
        <w:left w:w="115.0" w:type="dxa"/>
        <w:bottom w:w="0.0" w:type="dxa"/>
        <w:right w:w="115.0" w:type="dxa"/>
      </w:tblCellMar>
    </w:tblPr>
  </w:style>
  <w:style w:type="table" w:styleId="afffe" w:customStyle="1">
    <w:basedOn w:val="TableNormal"/>
    <w:tblPr>
      <w:tblStyleRowBandSize w:val="1"/>
      <w:tblStyleColBandSize w:val="1"/>
      <w:tblCellMar>
        <w:top w:w="0.0" w:type="dxa"/>
        <w:left w:w="115.0" w:type="dxa"/>
        <w:bottom w:w="0.0" w:type="dxa"/>
        <w:right w:w="115.0" w:type="dxa"/>
      </w:tblCellMar>
    </w:tblPr>
  </w:style>
  <w:style w:type="table" w:styleId="affff" w:customStyle="1">
    <w:basedOn w:val="TableNormal"/>
    <w:tblPr>
      <w:tblStyleRowBandSize w:val="1"/>
      <w:tblStyleColBandSize w:val="1"/>
      <w:tblCellMar>
        <w:top w:w="0.0" w:type="dxa"/>
        <w:left w:w="115.0" w:type="dxa"/>
        <w:bottom w:w="0.0" w:type="dxa"/>
        <w:right w:w="115.0" w:type="dxa"/>
      </w:tblCellMar>
    </w:tblPr>
  </w:style>
  <w:style w:type="table" w:styleId="affff0" w:customStyle="1">
    <w:basedOn w:val="TableNormal"/>
    <w:tblPr>
      <w:tblStyleRowBandSize w:val="1"/>
      <w:tblStyleColBandSize w:val="1"/>
      <w:tblCellMar>
        <w:top w:w="0.0" w:type="dxa"/>
        <w:left w:w="115.0" w:type="dxa"/>
        <w:bottom w:w="0.0" w:type="dxa"/>
        <w:right w:w="115.0" w:type="dxa"/>
      </w:tblCellMar>
    </w:tblPr>
  </w:style>
  <w:style w:type="table" w:styleId="affff1" w:customStyle="1">
    <w:basedOn w:val="TableNormal"/>
    <w:tblPr>
      <w:tblStyleRowBandSize w:val="1"/>
      <w:tblStyleColBandSize w:val="1"/>
      <w:tblCellMar>
        <w:top w:w="0.0" w:type="dxa"/>
        <w:left w:w="115.0" w:type="dxa"/>
        <w:bottom w:w="0.0" w:type="dxa"/>
        <w:right w:w="115.0" w:type="dxa"/>
      </w:tblCellMar>
    </w:tblPr>
  </w:style>
  <w:style w:type="table" w:styleId="affff2" w:customStyle="1">
    <w:basedOn w:val="TableNormal"/>
    <w:tblPr>
      <w:tblStyleRowBandSize w:val="1"/>
      <w:tblStyleColBandSize w:val="1"/>
      <w:tblCellMar>
        <w:top w:w="0.0" w:type="dxa"/>
        <w:left w:w="115.0" w:type="dxa"/>
        <w:bottom w:w="0.0" w:type="dxa"/>
        <w:right w:w="115.0" w:type="dxa"/>
      </w:tblCellMar>
    </w:tblPr>
  </w:style>
  <w:style w:type="table" w:styleId="affff3" w:customStyle="1">
    <w:basedOn w:val="TableNormal"/>
    <w:tblPr>
      <w:tblStyleRowBandSize w:val="1"/>
      <w:tblStyleColBandSize w:val="1"/>
      <w:tblCellMar>
        <w:top w:w="0.0" w:type="dxa"/>
        <w:left w:w="115.0" w:type="dxa"/>
        <w:bottom w:w="0.0" w:type="dxa"/>
        <w:right w:w="115.0" w:type="dxa"/>
      </w:tblCellMar>
    </w:tblPr>
  </w:style>
  <w:style w:type="table" w:styleId="affff4" w:customStyle="1">
    <w:basedOn w:val="TableNormal"/>
    <w:tblPr>
      <w:tblStyleRowBandSize w:val="1"/>
      <w:tblStyleColBandSize w:val="1"/>
      <w:tblCellMar>
        <w:top w:w="0.0" w:type="dxa"/>
        <w:left w:w="115.0" w:type="dxa"/>
        <w:bottom w:w="0.0" w:type="dxa"/>
        <w:right w:w="115.0" w:type="dxa"/>
      </w:tblCellMar>
    </w:tblPr>
  </w:style>
  <w:style w:type="table" w:styleId="affff5" w:customStyle="1">
    <w:basedOn w:val="TableNormal"/>
    <w:tblPr>
      <w:tblStyleRowBandSize w:val="1"/>
      <w:tblStyleColBandSize w:val="1"/>
      <w:tblCellMar>
        <w:top w:w="0.0" w:type="dxa"/>
        <w:left w:w="115.0" w:type="dxa"/>
        <w:bottom w:w="0.0" w:type="dxa"/>
        <w:right w:w="115.0" w:type="dxa"/>
      </w:tblCellMar>
    </w:tblPr>
  </w:style>
  <w:style w:type="table" w:styleId="affff6" w:customStyle="1">
    <w:basedOn w:val="TableNormal"/>
    <w:tblPr>
      <w:tblStyleRowBandSize w:val="1"/>
      <w:tblStyleColBandSize w:val="1"/>
      <w:tblCellMar>
        <w:top w:w="0.0" w:type="dxa"/>
        <w:left w:w="115.0" w:type="dxa"/>
        <w:bottom w:w="0.0" w:type="dxa"/>
        <w:right w:w="115.0" w:type="dxa"/>
      </w:tblCellMar>
    </w:tblPr>
  </w:style>
  <w:style w:type="table" w:styleId="affff7" w:customStyle="1">
    <w:basedOn w:val="TableNormal"/>
    <w:tblPr>
      <w:tblStyleRowBandSize w:val="1"/>
      <w:tblStyleColBandSize w:val="1"/>
      <w:tblCellMar>
        <w:top w:w="0.0" w:type="dxa"/>
        <w:left w:w="115.0" w:type="dxa"/>
        <w:bottom w:w="0.0" w:type="dxa"/>
        <w:right w:w="115.0" w:type="dxa"/>
      </w:tblCellMar>
    </w:tblPr>
  </w:style>
  <w:style w:type="table" w:styleId="affff8" w:customStyle="1">
    <w:basedOn w:val="TableNormal"/>
    <w:tblPr>
      <w:tblStyleRowBandSize w:val="1"/>
      <w:tblStyleColBandSize w:val="1"/>
      <w:tblCellMar>
        <w:top w:w="0.0" w:type="dxa"/>
        <w:left w:w="115.0" w:type="dxa"/>
        <w:bottom w:w="0.0" w:type="dxa"/>
        <w:right w:w="115.0" w:type="dxa"/>
      </w:tblCellMar>
    </w:tblPr>
  </w:style>
  <w:style w:type="table" w:styleId="affff9" w:customStyle="1">
    <w:basedOn w:val="TableNormal"/>
    <w:tblPr>
      <w:tblStyleRowBandSize w:val="1"/>
      <w:tblStyleColBandSize w:val="1"/>
      <w:tblCellMar>
        <w:top w:w="0.0" w:type="dxa"/>
        <w:left w:w="115.0" w:type="dxa"/>
        <w:bottom w:w="0.0" w:type="dxa"/>
        <w:right w:w="115.0" w:type="dxa"/>
      </w:tblCellMar>
    </w:tblPr>
  </w:style>
  <w:style w:type="table" w:styleId="affffa" w:customStyle="1">
    <w:basedOn w:val="TableNormal"/>
    <w:tblPr>
      <w:tblStyleRowBandSize w:val="1"/>
      <w:tblStyleColBandSize w:val="1"/>
      <w:tblCellMar>
        <w:top w:w="0.0" w:type="dxa"/>
        <w:left w:w="115.0" w:type="dxa"/>
        <w:bottom w:w="0.0" w:type="dxa"/>
        <w:right w:w="115.0" w:type="dxa"/>
      </w:tblCellMar>
    </w:tblPr>
  </w:style>
  <w:style w:type="table" w:styleId="affffb" w:customStyle="1">
    <w:basedOn w:val="TableNormal"/>
    <w:tblPr>
      <w:tblStyleRowBandSize w:val="1"/>
      <w:tblStyleColBandSize w:val="1"/>
      <w:tblCellMar>
        <w:top w:w="0.0" w:type="dxa"/>
        <w:left w:w="115.0" w:type="dxa"/>
        <w:bottom w:w="0.0" w:type="dxa"/>
        <w:right w:w="115.0" w:type="dxa"/>
      </w:tblCellMar>
    </w:tblPr>
  </w:style>
  <w:style w:type="table" w:styleId="affffc" w:customStyle="1">
    <w:basedOn w:val="TableNormal"/>
    <w:tblPr>
      <w:tblStyleRowBandSize w:val="1"/>
      <w:tblStyleColBandSize w:val="1"/>
      <w:tblCellMar>
        <w:top w:w="0.0" w:type="dxa"/>
        <w:left w:w="115.0" w:type="dxa"/>
        <w:bottom w:w="0.0" w:type="dxa"/>
        <w:right w:w="115.0" w:type="dxa"/>
      </w:tblCellMar>
    </w:tblPr>
  </w:style>
  <w:style w:type="table" w:styleId="affffd" w:customStyle="1">
    <w:basedOn w:val="TableNormal"/>
    <w:tblPr>
      <w:tblStyleRowBandSize w:val="1"/>
      <w:tblStyleColBandSize w:val="1"/>
      <w:tblCellMar>
        <w:top w:w="0.0" w:type="dxa"/>
        <w:left w:w="115.0" w:type="dxa"/>
        <w:bottom w:w="0.0" w:type="dxa"/>
        <w:right w:w="115.0" w:type="dxa"/>
      </w:tblCellMar>
    </w:tblPr>
  </w:style>
  <w:style w:type="table" w:styleId="affffe" w:customStyle="1">
    <w:basedOn w:val="TableNormal"/>
    <w:tblPr>
      <w:tblStyleRowBandSize w:val="1"/>
      <w:tblStyleColBandSize w:val="1"/>
      <w:tblCellMar>
        <w:top w:w="0.0" w:type="dxa"/>
        <w:left w:w="115.0" w:type="dxa"/>
        <w:bottom w:w="0.0" w:type="dxa"/>
        <w:right w:w="115.0" w:type="dxa"/>
      </w:tblCellMar>
    </w:tblPr>
  </w:style>
  <w:style w:type="table" w:styleId="afffff" w:customStyle="1">
    <w:basedOn w:val="TableNormal"/>
    <w:tblPr>
      <w:tblStyleRowBandSize w:val="1"/>
      <w:tblStyleColBandSize w:val="1"/>
      <w:tblCellMar>
        <w:top w:w="0.0" w:type="dxa"/>
        <w:left w:w="115.0" w:type="dxa"/>
        <w:bottom w:w="0.0" w:type="dxa"/>
        <w:right w:w="115.0" w:type="dxa"/>
      </w:tblCellMar>
    </w:tblPr>
  </w:style>
  <w:style w:type="table" w:styleId="afffff0" w:customStyle="1">
    <w:basedOn w:val="TableNormal"/>
    <w:tblPr>
      <w:tblStyleRowBandSize w:val="1"/>
      <w:tblStyleColBandSize w:val="1"/>
      <w:tblCellMar>
        <w:top w:w="0.0" w:type="dxa"/>
        <w:left w:w="115.0" w:type="dxa"/>
        <w:bottom w:w="0.0" w:type="dxa"/>
        <w:right w:w="115.0" w:type="dxa"/>
      </w:tblCellMar>
    </w:tblPr>
  </w:style>
  <w:style w:type="table" w:styleId="afffff1" w:customStyle="1">
    <w:basedOn w:val="TableNormal"/>
    <w:tblPr>
      <w:tblStyleRowBandSize w:val="1"/>
      <w:tblStyleColBandSize w:val="1"/>
      <w:tblCellMar>
        <w:top w:w="0.0" w:type="dxa"/>
        <w:left w:w="115.0" w:type="dxa"/>
        <w:bottom w:w="0.0" w:type="dxa"/>
        <w:right w:w="115.0" w:type="dxa"/>
      </w:tblCellMar>
    </w:tblPr>
  </w:style>
  <w:style w:type="paragraph" w:styleId="Descripcin">
    <w:name w:val="caption"/>
    <w:basedOn w:val="Normal"/>
    <w:next w:val="Normal"/>
    <w:uiPriority w:val="35"/>
    <w:unhideWhenUsed w:val="1"/>
    <w:qFormat w:val="1"/>
    <w:rsid w:val="006E25AA"/>
    <w:pPr>
      <w:spacing w:line="360" w:lineRule="auto"/>
    </w:pPr>
    <w:rPr>
      <w:b w:val="1"/>
      <w:i w:val="1"/>
      <w:iCs w:val="1"/>
      <w:color w:val="000000" w:themeColor="text1"/>
      <w:szCs w:val="18"/>
    </w:rPr>
  </w:style>
  <w:style w:type="paragraph" w:styleId="TtuloTDC">
    <w:name w:val="TOC Heading"/>
    <w:basedOn w:val="Ttulo1"/>
    <w:next w:val="Normal"/>
    <w:uiPriority w:val="39"/>
    <w:unhideWhenUsed w:val="1"/>
    <w:qFormat w:val="1"/>
    <w:rsid w:val="00DA2E3C"/>
    <w:pPr>
      <w:spacing w:before="240" w:line="259" w:lineRule="auto"/>
      <w:outlineLvl w:val="9"/>
    </w:pPr>
    <w:rPr>
      <w:rFonts w:asciiTheme="majorHAnsi" w:cstheme="majorBidi" w:eastAsiaTheme="majorEastAsia" w:hAnsiTheme="majorHAnsi"/>
      <w:b w:val="0"/>
      <w:bCs w:val="0"/>
      <w:color w:val="365f91" w:themeColor="accent1" w:themeShade="0000BF"/>
      <w:sz w:val="32"/>
      <w:szCs w:val="32"/>
      <w:lang w:val="es-AR"/>
    </w:rPr>
  </w:style>
  <w:style w:type="paragraph" w:styleId="TDC1">
    <w:name w:val="toc 1"/>
    <w:basedOn w:val="Normal"/>
    <w:next w:val="Normal"/>
    <w:autoRedefine w:val="1"/>
    <w:uiPriority w:val="39"/>
    <w:unhideWhenUsed w:val="1"/>
    <w:rsid w:val="00DA2E3C"/>
    <w:pPr>
      <w:spacing w:after="100"/>
    </w:pPr>
  </w:style>
  <w:style w:type="paragraph" w:styleId="TDC2">
    <w:name w:val="toc 2"/>
    <w:basedOn w:val="Normal"/>
    <w:next w:val="Normal"/>
    <w:autoRedefine w:val="1"/>
    <w:uiPriority w:val="39"/>
    <w:unhideWhenUsed w:val="1"/>
    <w:rsid w:val="00DA2E3C"/>
    <w:pPr>
      <w:spacing w:after="100"/>
      <w:ind w:left="240"/>
    </w:pPr>
  </w:style>
  <w:style w:type="paragraph" w:styleId="TDC3">
    <w:name w:val="toc 3"/>
    <w:basedOn w:val="Normal"/>
    <w:next w:val="Normal"/>
    <w:autoRedefine w:val="1"/>
    <w:uiPriority w:val="39"/>
    <w:unhideWhenUsed w:val="1"/>
    <w:rsid w:val="00DA2E3C"/>
    <w:pPr>
      <w:spacing w:after="100"/>
      <w:ind w:left="480"/>
    </w:pPr>
  </w:style>
  <w:style w:type="paragraph" w:styleId="TDC4">
    <w:name w:val="toc 4"/>
    <w:basedOn w:val="Normal"/>
    <w:next w:val="Normal"/>
    <w:autoRedefine w:val="1"/>
    <w:uiPriority w:val="39"/>
    <w:unhideWhenUsed w:val="1"/>
    <w:rsid w:val="00DA2E3C"/>
    <w:pPr>
      <w:spacing w:after="100" w:line="278" w:lineRule="auto"/>
      <w:ind w:left="720"/>
    </w:pPr>
    <w:rPr>
      <w:rFonts w:asciiTheme="minorHAnsi" w:cstheme="minorBidi" w:eastAsiaTheme="minorEastAsia" w:hAnsiTheme="minorHAnsi"/>
      <w:kern w:val="2"/>
      <w:lang w:val="es-AR"/>
    </w:rPr>
  </w:style>
  <w:style w:type="paragraph" w:styleId="TDC5">
    <w:name w:val="toc 5"/>
    <w:basedOn w:val="Normal"/>
    <w:next w:val="Normal"/>
    <w:autoRedefine w:val="1"/>
    <w:uiPriority w:val="39"/>
    <w:unhideWhenUsed w:val="1"/>
    <w:rsid w:val="00DA2E3C"/>
    <w:pPr>
      <w:spacing w:after="100" w:line="278" w:lineRule="auto"/>
      <w:ind w:left="960"/>
    </w:pPr>
    <w:rPr>
      <w:rFonts w:asciiTheme="minorHAnsi" w:cstheme="minorBidi" w:eastAsiaTheme="minorEastAsia" w:hAnsiTheme="minorHAnsi"/>
      <w:kern w:val="2"/>
      <w:lang w:val="es-AR"/>
    </w:rPr>
  </w:style>
  <w:style w:type="paragraph" w:styleId="TDC6">
    <w:name w:val="toc 6"/>
    <w:basedOn w:val="Normal"/>
    <w:next w:val="Normal"/>
    <w:autoRedefine w:val="1"/>
    <w:uiPriority w:val="39"/>
    <w:unhideWhenUsed w:val="1"/>
    <w:rsid w:val="00DA2E3C"/>
    <w:pPr>
      <w:spacing w:after="100" w:line="278" w:lineRule="auto"/>
      <w:ind w:left="1200"/>
    </w:pPr>
    <w:rPr>
      <w:rFonts w:asciiTheme="minorHAnsi" w:cstheme="minorBidi" w:eastAsiaTheme="minorEastAsia" w:hAnsiTheme="minorHAnsi"/>
      <w:kern w:val="2"/>
      <w:lang w:val="es-AR"/>
    </w:rPr>
  </w:style>
  <w:style w:type="paragraph" w:styleId="TDC7">
    <w:name w:val="toc 7"/>
    <w:basedOn w:val="Normal"/>
    <w:next w:val="Normal"/>
    <w:autoRedefine w:val="1"/>
    <w:uiPriority w:val="39"/>
    <w:unhideWhenUsed w:val="1"/>
    <w:rsid w:val="00DA2E3C"/>
    <w:pPr>
      <w:spacing w:after="100" w:line="278" w:lineRule="auto"/>
      <w:ind w:left="1440"/>
    </w:pPr>
    <w:rPr>
      <w:rFonts w:asciiTheme="minorHAnsi" w:cstheme="minorBidi" w:eastAsiaTheme="minorEastAsia" w:hAnsiTheme="minorHAnsi"/>
      <w:kern w:val="2"/>
      <w:lang w:val="es-AR"/>
    </w:rPr>
  </w:style>
  <w:style w:type="paragraph" w:styleId="TDC8">
    <w:name w:val="toc 8"/>
    <w:basedOn w:val="Normal"/>
    <w:next w:val="Normal"/>
    <w:autoRedefine w:val="1"/>
    <w:uiPriority w:val="39"/>
    <w:unhideWhenUsed w:val="1"/>
    <w:rsid w:val="00DA2E3C"/>
    <w:pPr>
      <w:spacing w:after="100" w:line="278" w:lineRule="auto"/>
      <w:ind w:left="1680"/>
    </w:pPr>
    <w:rPr>
      <w:rFonts w:asciiTheme="minorHAnsi" w:cstheme="minorBidi" w:eastAsiaTheme="minorEastAsia" w:hAnsiTheme="minorHAnsi"/>
      <w:kern w:val="2"/>
      <w:lang w:val="es-AR"/>
    </w:rPr>
  </w:style>
  <w:style w:type="paragraph" w:styleId="TDC9">
    <w:name w:val="toc 9"/>
    <w:basedOn w:val="Normal"/>
    <w:next w:val="Normal"/>
    <w:autoRedefine w:val="1"/>
    <w:uiPriority w:val="39"/>
    <w:unhideWhenUsed w:val="1"/>
    <w:rsid w:val="00DA2E3C"/>
    <w:pPr>
      <w:spacing w:after="100" w:line="278" w:lineRule="auto"/>
      <w:ind w:left="1920"/>
    </w:pPr>
    <w:rPr>
      <w:rFonts w:asciiTheme="minorHAnsi" w:cstheme="minorBidi" w:eastAsiaTheme="minorEastAsia" w:hAnsiTheme="minorHAnsi"/>
      <w:kern w:val="2"/>
      <w:lang w:val="es-AR"/>
    </w:rPr>
  </w:style>
  <w:style w:type="character" w:styleId="Hipervnculo">
    <w:name w:val="Hyperlink"/>
    <w:basedOn w:val="Fuentedeprrafopredeter"/>
    <w:uiPriority w:val="99"/>
    <w:unhideWhenUsed w:val="1"/>
    <w:rsid w:val="00DA2E3C"/>
    <w:rPr>
      <w:color w:val="0000ff" w:themeColor="hyperlink"/>
      <w:u w:val="single"/>
    </w:rPr>
  </w:style>
  <w:style w:type="character" w:styleId="Mencinsinresolver">
    <w:name w:val="Unresolved Mention"/>
    <w:basedOn w:val="Fuentedeprrafopredeter"/>
    <w:uiPriority w:val="99"/>
    <w:semiHidden w:val="1"/>
    <w:unhideWhenUsed w:val="1"/>
    <w:rsid w:val="00DA2E3C"/>
    <w:rPr>
      <w:color w:val="605e5c"/>
      <w:shd w:color="auto" w:fill="e1dfdd" w:val="clear"/>
    </w:rPr>
  </w:style>
  <w:style w:type="paragraph" w:styleId="Tabladeilustraciones">
    <w:name w:val="table of figures"/>
    <w:basedOn w:val="Normal"/>
    <w:next w:val="Normal"/>
    <w:uiPriority w:val="99"/>
    <w:unhideWhenUsed w:val="1"/>
    <w:rsid w:val="00DA2E3C"/>
  </w:style>
  <w:style w:type="paragraph" w:styleId="EOVRTCuerpo" w:customStyle="1">
    <w:name w:val="EOVRT Cuerpo"/>
    <w:basedOn w:val="Normal"/>
    <w:pPr>
      <w:keepNext w:val="0"/>
      <w:widowControl w:val="1"/>
      <w:spacing w:after="0" w:before="0" w:line="480" w:lineRule="auto"/>
      <w:ind w:left="0" w:firstLine="720"/>
    </w:pPr>
    <w:rPr>
      <w:rFonts w:ascii="Times New Roman" w:hAnsi="Times New Roman"/>
      <w:b w:val="0"/>
      <w:i w:val="0"/>
      <w:color w:val="000000"/>
      <w:sz w:val="24"/>
      <w:lang w:val="es-AR"/>
    </w:rPr>
  </w:style>
  <w:style w:type="paragraph" w:styleId="EOVRTTabla" w:customStyle="1">
    <w:name w:val="EOVRT Tabla"/>
    <w:basedOn w:val="Normal"/>
    <w:pPr>
      <w:keepNext w:val="0"/>
      <w:widowControl w:val="1"/>
      <w:spacing w:after="0" w:before="0" w:line="240" w:lineRule="auto"/>
      <w:ind w:left="0" w:firstLine="0"/>
    </w:pPr>
    <w:rPr>
      <w:rFonts w:ascii="Times New Roman" w:hAnsi="Times New Roman"/>
      <w:b w:val="0"/>
      <w:i w:val="0"/>
      <w:color w:val="000000"/>
      <w:sz w:val="24"/>
      <w:lang w:val="es-AR"/>
    </w:rPr>
  </w:style>
  <w:style w:type="paragraph" w:styleId="EOVRTCabeceratabla" w:customStyle="1">
    <w:name w:val="EOVRT Cabecera tabla"/>
    <w:basedOn w:val="EOVRTTabla"/>
    <w:pPr>
      <w:keepNext w:val="0"/>
      <w:widowControl w:val="1"/>
      <w:spacing w:after="0" w:before="0" w:line="240" w:lineRule="auto"/>
      <w:ind w:left="0" w:firstLine="0"/>
    </w:pPr>
    <w:rPr>
      <w:rFonts w:ascii="Times New Roman" w:hAnsi="Times New Roman"/>
      <w:b w:val="1"/>
      <w:i w:val="0"/>
      <w:color w:val="000000"/>
      <w:sz w:val="24"/>
      <w:lang w:val="es-AR"/>
    </w:rPr>
  </w:style>
  <w:style w:type="paragraph" w:styleId="EOVRTNúmerodetabla" w:customStyle="1">
    <w:name w:val="EOVRT Número de tabla"/>
    <w:basedOn w:val="Normal"/>
    <w:pPr>
      <w:keepNext w:val="1"/>
      <w:widowControl w:val="1"/>
      <w:spacing w:after="0" w:before="0" w:line="480" w:lineRule="auto"/>
      <w:ind w:left="0" w:firstLine="0"/>
    </w:pPr>
    <w:rPr>
      <w:rFonts w:ascii="Times New Roman" w:hAnsi="Times New Roman"/>
      <w:b w:val="1"/>
      <w:i w:val="0"/>
      <w:color w:val="000000"/>
      <w:sz w:val="24"/>
      <w:lang w:val="es-AR"/>
    </w:rPr>
  </w:style>
  <w:style w:type="paragraph" w:styleId="EOVRTTítulodetabla" w:customStyle="1">
    <w:name w:val="EOVRT Título de tabla"/>
    <w:basedOn w:val="Normal"/>
    <w:pPr>
      <w:keepNext w:val="1"/>
      <w:widowControl w:val="1"/>
      <w:spacing w:after="0" w:before="0" w:line="480" w:lineRule="auto"/>
      <w:ind w:left="0" w:firstLine="0"/>
    </w:pPr>
    <w:rPr>
      <w:rFonts w:ascii="Times New Roman" w:hAnsi="Times New Roman"/>
      <w:b w:val="0"/>
      <w:i w:val="1"/>
      <w:color w:val="000000"/>
      <w:sz w:val="24"/>
      <w:lang w:val="es-AR"/>
    </w:rPr>
  </w:style>
  <w:style w:type="paragraph" w:styleId="EOVRTNota" w:customStyle="1">
    <w:name w:val="EOVRT Nota"/>
    <w:basedOn w:val="Normal"/>
    <w:pPr>
      <w:keepNext w:val="0"/>
      <w:widowControl w:val="1"/>
      <w:spacing w:after="0" w:before="0" w:line="480" w:lineRule="auto"/>
      <w:ind w:left="0" w:firstLine="0"/>
    </w:pPr>
    <w:rPr>
      <w:rFonts w:ascii="Times New Roman" w:hAnsi="Times New Roman"/>
      <w:b w:val="0"/>
      <w:i w:val="0"/>
      <w:color w:val="000000"/>
      <w:sz w:val="24"/>
      <w:lang w:val="es-AR"/>
    </w:rPr>
  </w:style>
  <w:style w:type="paragraph" w:styleId="EOVRTReferencia" w:customStyle="1">
    <w:name w:val="EOVRT Referencia"/>
    <w:basedOn w:val="Normal"/>
    <w:pPr>
      <w:keepNext w:val="0"/>
      <w:keepLines w:val="1"/>
      <w:widowControl w:val="1"/>
      <w:spacing w:after="0" w:before="0" w:line="480" w:lineRule="auto"/>
      <w:ind w:left="720" w:hanging="720"/>
    </w:pPr>
    <w:rPr>
      <w:rFonts w:ascii="Times New Roman" w:hAnsi="Times New Roman"/>
      <w:b w:val="0"/>
      <w:i w:val="0"/>
      <w:color w:val="000000"/>
      <w:sz w:val="24"/>
      <w:lang w:val="es-AR"/>
    </w:rPr>
  </w:style>
  <w:style w:type="paragraph" w:styleId="EOVRTMarcador" w:customStyle="1">
    <w:name w:val="EOVRT Marcador"/>
    <w:basedOn w:val="Normal"/>
    <w:pPr>
      <w:keepNext w:val="0"/>
      <w:widowControl w:val="1"/>
      <w:spacing w:after="0" w:before="0" w:line="480" w:lineRule="auto"/>
      <w:ind w:left="0" w:firstLine="0"/>
    </w:pPr>
    <w:rPr>
      <w:rFonts w:ascii="Times New Roman" w:hAnsi="Times New Roman"/>
      <w:b w:val="1"/>
      <w:i w:val="0"/>
      <w:color w:val="000000"/>
      <w:sz w:val="24"/>
      <w:lang w:val="es-AR"/>
    </w:rPr>
  </w:style>
  <w:style w:type="character" w:styleId="EOVRTLiteral" w:customStyle="1">
    <w:name w:val="EOVRT Literal"/>
    <w:basedOn w:val="Fuentedeprrafopredeter"/>
    <w:rPr>
      <w:rFonts w:ascii="Consolas" w:hAnsi="Consolas"/>
      <w:sz w:val="22"/>
    </w:rPr>
  </w:style>
  <w:style w:type="character" w:styleId="EOVRTEnlace" w:customStyle="1">
    <w:name w:val="EOVRT Enlace"/>
    <w:basedOn w:val="Fuentedeprrafopredeter"/>
    <w:rPr>
      <w:color w:val="000000"/>
      <w:u w:val="none"/>
    </w:r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XV3vSLsm7SOMOkzuiwzAYE3pg==">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2026-06-05T04:56:00Z</dcterms:created>
  <dc:creator>Matías Lautaro Carrizo; Gabriel Agustín Guillaumet; Simon Llamosas</dc:creator>
</cp:coreProperties>
</file>