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r w:rsidDel="00000000" w:rsidR="00000000" w:rsidRPr="00000000">
        <w:rPr>
          <w:rtl w:val="0"/>
        </w:rPr>
        <w:t xml:space="preserve"> Los cinco repositorios de código son públicos y se reúnen, junto con los resultados, sus artefactos y las figuras, en el </w:t>
      </w:r>
      <w:r w:rsidDel="00000000" w:rsidR="00000000" w:rsidRPr="00000000">
        <w:rPr>
          <w:rtl w:val="0"/>
        </w:rPr>
        <w:t xml:space="preserve">repositorio público de documentación del proyecto</w:t>
      </w:r>
      <w:r w:rsidDel="00000000" w:rsidR="00000000" w:rsidRPr="00000000">
        <w:rPr>
          <w:rtl w:val="0"/>
        </w:rPr>
        <w:t xml:space="preserve">,</w:t>
      </w:r>
      <w:r w:rsidDel="00000000" w:rsidR="00000000" w:rsidRPr="00000000">
        <w:rPr>
          <w:rtl w:val="0"/>
        </w:rPr>
        <w:t xml:space="preserve"> https://github.com/simonll4/e-ovrt-vdp (Carrizo, Guillaumet y Llamosas, 2026)</w:t>
      </w:r>
      <w:r w:rsidDel="00000000" w:rsidR="00000000" w:rsidRPr="00000000">
        <w:rPr>
          <w:rtl w:val="0"/>
        </w:rPr>
        <w:t xml:space="preserve">, que es la vía de acceso a todo el material que este informe identifica.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ramas experimentales se distinguieron de la línea de implementación adoptada: una modificación medida no se presentó automáticamente como parte de la versión operativa. La unidad de identificación de una ejecución fue la revisión de código junto con su configuración efectiva, no el nombre mutable de una rama.</w:t>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constituyeron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desacopló la conservación de los hechos de su transporte en vivo. </w:t>
      </w:r>
      <w:r w:rsidDel="00000000" w:rsidR="00000000" w:rsidRPr="00000000">
        <w:rPr>
          <w:rtl w:val="0"/>
        </w:rPr>
        <w:t xml:space="preserve">Una vez finalizada una corrida, los eventos pudieron releerse para inspeccionar la secuencia o repetir la evaluación del plano de control, sin que el canal de mensajería hubiera conservado el historial.</w:t>
      </w:r>
      <w:r w:rsidDel="00000000" w:rsidR="00000000" w:rsidRPr="00000000">
        <w:rPr>
          <w:i w:val="0"/>
          <w:iCs w:val="0"/>
          <w:smallCaps w:val="0"/>
          <w:strike w:val="0"/>
          <w:u w:val="none"/>
          <w:shd w:fill="auto" w:val="clear"/>
          <w:vertAlign w:val="baseline"/>
          <w:rtl w:val="0"/>
        </w:rPr>
        <w:t xml:space="preserve">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w:t>
      </w:r>
      <w:r w:rsidDel="00000000" w:rsidR="00000000" w:rsidRPr="00000000">
        <w:rPr>
          <w:rtl w:val="0"/>
        </w:rPr>
        <w:t xml:space="preserve">Como el registro de los intentos fallidos y de los descartes definitivos permaneció separado del de confirmación del patrón, contar filas del registro de distribución no equivale a contar alertas distintas ni entregas satisfactorias.</w:t>
      </w:r>
      <w:r w:rsidDel="00000000" w:rsidR="00000000" w:rsidRPr="00000000">
        <w:rPr>
          <w:rtl w:val="0"/>
        </w:rPr>
      </w:r>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Además de las pruebas de los módulos, </w:t>
      </w:r>
      <w:r w:rsidDel="00000000" w:rsidR="00000000" w:rsidRPr="00000000">
        <w:rPr>
          <w:rtl w:val="0"/>
        </w:rPr>
        <w:t xml:space="preserve">dos comprobaciones automáticas cuidan el material</w:t>
      </w:r>
      <w:r w:rsidDel="00000000" w:rsidR="00000000" w:rsidRPr="00000000">
        <w:rPr>
          <w:rtl w:val="0"/>
        </w:rPr>
        <w:t xml:space="preserve"> experimental. La primera recalcula las cifras reportadas a partir de los artefactos de cada corrida y falla si alguna no coincide; al cierre cubría 26 cifras sobre 17 campañas. La segunda revisa la organización del material de video: estratos, exclusiones, correspondencia de las anotaciones e integridad de los archivos congelados. Se comprobó, además, que el banco de imágenes se reconstruye desde sus fuentes y produce el mismo archivo byte a byte, y que releer los mismos eventos con la misma configuración produce las mismas alertas. Ninguna de estas comprobaciones sustituye repetir la inferencia en otro equipo.</w:t>
      </w:r>
      <w:r w:rsidDel="00000000" w:rsidR="00000000" w:rsidRPr="00000000">
        <w:rPr>
          <w:rtl w:val="0"/>
        </w:rPr>
      </w:r>
    </w:p>
    <w:p w:rsidR="00000000" w:rsidDel="00000000" w:rsidP="00000000" w:rsidRDefault="00000000" w:rsidRPr="00000000" w14:paraId="00000010">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plataforma se entrega empaquetada en contenedores</w:t>
      </w:r>
      <w:r w:rsidDel="00000000" w:rsidR="00000000" w:rsidRPr="00000000">
        <w:rPr>
          <w:rtl w:val="0"/>
        </w:rPr>
        <w:t xml:space="preserve">. Cada servicio cuenta con su especificación de construcción, y una composición única declara el conjunto: la consola, el plano de control, la distribución de alertas, el broker MQTT y las instancias del plano de medios, una por perfil de modelo, con sus redes, sus volúmenes, sus comprobaciones de salud y sus dependencias de arranque. Las instancias de inferencia se declaran inactivas y la consola activa la que requiere cada corrida, bajo la política de una activa a la vez. La composición preserva la disposición de rutas del entorno de trabajo, condición necesaria porque los contratos entre módulos intercambian rutas absolutas sobre un sistema de archivos compartido; dentro de la red interna los extremos se resuelven por nombre de servicio y no por dirección de anfitrión. Instalar la plataforma en otro equipo requiere disponer de los repositorios y declarar la raíz del espacio de trabajo, sin ninguna otra ruta fija. Su documentación operativa acompaña al software en los repositorios, porque este informe no es un manual de despliegue, y el Anexo E delimita el camino de reproducción y las comprobaciones que respaldan los resultados.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w:t>
      </w:r>
      <w:r w:rsidDel="00000000" w:rsidR="00000000" w:rsidRPr="00000000">
        <w:rPr>
          <w:rtl w:val="0"/>
        </w:rPr>
        <w:t xml:space="preserve">y una cadena de evidencia inspeccionable, con los alcances de reproducción que delimita el </w:t>
      </w:r>
      <w:r w:rsidDel="00000000" w:rsidR="00000000" w:rsidRPr="00000000">
        <w:rPr>
          <w:rtl w:val="0"/>
        </w:rPr>
        <w:t xml:space="preserve">Anexo E</w:t>
      </w:r>
      <w:r w:rsidDel="00000000" w:rsidR="00000000" w:rsidRPr="00000000">
        <w:rPr>
          <w:rtl w:val="0"/>
        </w:rPr>
        <w:t xml:space="preserve">. Las condiciones de acceso</w:t>
      </w:r>
      <w:r w:rsidDel="00000000" w:rsidR="00000000" w:rsidRPr="00000000">
        <w:rPr>
          <w:i w:val="0"/>
          <w:iCs w:val="0"/>
          <w:smallCaps w:val="0"/>
          <w:strike w:val="0"/>
          <w:u w:val="none"/>
          <w:shd w:fill="auto" w:val="clear"/>
          <w:vertAlign w:val="baseline"/>
          <w:rtl w:val="0"/>
        </w:rPr>
        <w:t xml:space="preserve"> y reutilización del material, incluida la procedencia aún incompleta del lote de obra real, se declaran en el Anexo F.</w:t>
      </w:r>
      <w:r w:rsidDel="00000000" w:rsidR="00000000" w:rsidRPr="00000000">
        <w:rPr>
          <w:rtl w:val="0"/>
        </w:rPr>
        <w:t xml:space="preserve"> </w:t>
      </w:r>
      <w:r w:rsidDel="00000000" w:rsidR="00000000" w:rsidRPr="00000000">
        <w:rPr>
          <w:rtl w:val="0"/>
        </w:rPr>
        <w:t xml:space="preserve">Todo el material que este informe identifica</w:t>
      </w:r>
      <w:r w:rsidDel="00000000" w:rsidR="00000000" w:rsidRPr="00000000">
        <w:rPr>
          <w:rtl w:val="0"/>
        </w:rPr>
        <w:t xml:space="preserve"> se alcanza desde el repositorio de documentación citado en la sección 17.6.1, incluido el acceso autorizado al material audiovisual, que no se publica.</w:t>
      </w:r>
      <w:r w:rsidDel="00000000" w:rsidR="00000000" w:rsidRPr="00000000">
        <w:rPr>
          <w:rtl w:val="0"/>
        </w:rPr>
      </w:r>
    </w:p>
    <w:p w:rsidR="00000000" w:rsidDel="00000000" w:rsidP="00000000" w:rsidRDefault="00000000" w:rsidRPr="00000000" w14:paraId="00000014">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5">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sección 12.3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Las dos consultas que la hipótesis de la sección 12.3 tomó como ejemplo, «persona sin casco» y «persona sin chaleco reflectivo», se transformaron en alertas evaluables sobre video, con dos precisiones que forman parte de la respuesta. La condición no pudo formularse al detector como una negación literal, porque esa formulación quedó descartada por su precisión, sino como ausencia del elemento de protección sobre una persona detectada. Y la primera condición se sostuvo en los tres niveles de evidencia, mientras que la segunda alcanzó la alerta por episodio con su clasificación por persona todavía abierta.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gdino-tiny-560,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r w:rsidDel="00000000" w:rsidR="00000000" w:rsidRPr="00000000">
        <w:rPr>
          <w:rtl w:val="0"/>
        </w:rPr>
        <w:t xml:space="preserve"> </w:t>
      </w:r>
      <w:r w:rsidDel="00000000" w:rsidR="00000000" w:rsidRPr="00000000">
        <w:rPr>
          <w:rtl w:val="0"/>
        </w:rPr>
        <w:t xml:space="preserve">El AP, que la literatura reporta</w:t>
      </w:r>
      <w:r w:rsidDel="00000000" w:rsidR="00000000" w:rsidRPr="00000000">
        <w:rPr>
          <w:rtl w:val="0"/>
        </w:rPr>
        <w:t xml:space="preserve"> para comparar detectores sobre imágenes, se informa en el nivel de percepción de la sección 17.5.2; la alerta por episodio es una decisión binaria sobre una ventana temporal y se mide con precisión, recall y F1, que es la métrica que el protocolo fijó para ese nivel.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w:t>
      </w:r>
      <w:r w:rsidDel="00000000" w:rsidR="00000000" w:rsidRPr="00000000">
        <w:rPr>
          <w:rtl w:val="0"/>
        </w:rPr>
        <w:t xml:space="preserve">Chen y Zou, 2025</w:t>
      </w:r>
      <w:r w:rsidDel="00000000" w:rsidR="00000000" w:rsidRPr="00000000">
        <w:rPr>
          <w:i w:val="0"/>
          <w:iCs w:val="0"/>
          <w:smallCaps w:val="0"/>
          <w:strike w:val="0"/>
          <w:u w:val="none"/>
          <w:shd w:fill="auto" w:val="clear"/>
          <w:vertAlign w:val="baseline"/>
          <w:rtl w:val="0"/>
        </w:rPr>
        <w:t xml:space="preserve">). El aporte propio fue convertir esa posibilidad en una cadena configurable y medir por separado percepción, estado por persona, alerta por episodio y temporalidad de ejecución. No se equipararon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delimita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w:t>
      </w:r>
      <w:r w:rsidDel="00000000" w:rsidR="00000000" w:rsidRPr="00000000">
        <w:rPr>
          <w:rtl w:val="0"/>
        </w:rPr>
        <w:t xml:space="preserve">En el estrato de obra curada de 147 imágenes, gdino-tiny-560 encabezó el mAP50 con 0,503, por delante de gdino-base-560, con 0,474, y de yoloe-26x, y conservó el liderazgo en el banco completo de 6.477 imágenes de tres fuentes, con 0,551 frente a 0,525; la sección 17.5.2 reporta el desglose por estrato y por clase.</w:t>
      </w:r>
      <w:r w:rsidDel="00000000" w:rsidR="00000000" w:rsidRPr="00000000">
        <w:rPr>
          <w:i w:val="0"/>
          <w:iCs w:val="0"/>
          <w:smallCaps w:val="0"/>
          <w:strike w:val="0"/>
          <w:u w:val="none"/>
          <w:shd w:fill="auto" w:val="clear"/>
          <w:vertAlign w:val="baseline"/>
          <w:rtl w:val="0"/>
        </w:rPr>
        <w:t xml:space="preserve">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w:t>
      </w:r>
      <w:r w:rsidDel="00000000" w:rsidR="00000000" w:rsidRPr="00000000">
        <w:rPr>
          <w:rtl w:val="0"/>
        </w:rPr>
        <w:t xml:space="preserve">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w:t>
      </w:r>
      <w:r w:rsidDel="00000000" w:rsidR="00000000" w:rsidRPr="00000000">
        <w:rPr>
          <w:rtl w:val="0"/>
        </w:rPr>
        <w:t xml:space="preserve">En el subconjunto curado de CR-01, E-IND ya superaba a E-DIR en la comparación por persona. En el nivel temporal</w:t>
      </w:r>
      <w:r w:rsidDel="00000000" w:rsidR="00000000" w:rsidRPr="00000000">
        <w:rPr>
          <w:i w:val="0"/>
          <w:iCs w:val="0"/>
          <w:smallCaps w:val="0"/>
          <w:strike w:val="0"/>
          <w:u w:val="none"/>
          <w:shd w:fill="auto" w:val="clear"/>
          <w:vertAlign w:val="baseline"/>
          <w:rtl w:val="0"/>
        </w:rPr>
        <w:t xml:space="preserve">,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w:t>
      </w:r>
      <w:r w:rsidDel="00000000" w:rsidR="00000000" w:rsidRPr="00000000">
        <w:rPr>
          <w:rtl w:val="0"/>
        </w:rPr>
        <w:t xml:space="preserve">sobre un único estrato y con intervalos solapados</w:t>
      </w:r>
      <w:r w:rsidDel="00000000" w:rsidR="00000000" w:rsidRPr="00000000">
        <w:rPr>
          <w:i w:val="0"/>
          <w:iCs w:val="0"/>
          <w:smallCaps w:val="0"/>
          <w:strike w:val="0"/>
          <w:u w:val="none"/>
          <w:shd w:fill="auto" w:val="clear"/>
          <w:vertAlign w:val="baseline"/>
          <w:rtl w:val="0"/>
        </w:rPr>
        <w:t xml:space="preserve">.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extensibilidad sin entrenamiento sí fue ejercida: se añadió por configuración una clase ajena al núcleo, </w:t>
      </w:r>
      <w:r w:rsidDel="00000000" w:rsidR="00000000" w:rsidRPr="00000000">
        <w:rPr>
          <w:rtl w:val="0"/>
        </w:rPr>
        <w:t xml:space="preserve">la maquinaria de obra, expresada con el prompt machinery</w:t>
      </w:r>
      <w:r w:rsidDel="00000000" w:rsidR="00000000" w:rsidRPr="00000000">
        <w:rPr>
          <w:rtl w:val="0"/>
        </w:rPr>
        <w:t xml:space="preserve">, y sin ninguna corrida de entrenamiento alcanzó AP50 de 0,662 sobre 99 cajas de referencia del piloto de extensibilidad (sección 17.5.2).</w:t>
      </w:r>
      <w:r w:rsidDel="00000000" w:rsidR="00000000" w:rsidRPr="00000000">
        <w:rPr>
          <w:i w:val="0"/>
          <w:iCs w:val="0"/>
          <w:smallCaps w:val="0"/>
          <w:strike w:val="0"/>
          <w:u w:val="none"/>
          <w:shd w:fill="auto" w:val="clear"/>
          <w:vertAlign w:val="baseline"/>
          <w:rtl w:val="0"/>
        </w:rPr>
        <w:t xml:space="preserve"> Esto establece la posibilidad de añadir una clase por configuración en el material ensayado. No establece extensibilidad semántica automática: sobre el mismo material, </w:t>
      </w:r>
      <w:r w:rsidDel="00000000" w:rsidR="00000000" w:rsidRPr="00000000">
        <w:rPr>
          <w:rtl w:val="0"/>
        </w:rPr>
        <w:t xml:space="preserve">la palabra vehicle, probada como segunda clase, no produjo ninguna detección cuando acompañó a machinery y, aislada, obtuvo AP de 0,026 porque el modelo la resolvió sobre la propia maquinaria: para el detector no significó lo que el equipo pretendía.</w:t>
      </w:r>
      <w:r w:rsidDel="00000000" w:rsidR="00000000" w:rsidRPr="00000000">
        <w:rPr>
          <w:i w:val="0"/>
          <w:iCs w:val="0"/>
          <w:smallCaps w:val="0"/>
          <w:strike w:val="0"/>
          <w:u w:val="none"/>
          <w:shd w:fill="auto" w:val="clear"/>
          <w:vertAlign w:val="baseline"/>
          <w:rtl w:val="0"/>
        </w:rPr>
        <w:t xml:space="preserve">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gdino-base-560, E-IND y las demás condiciones constantes, añadir la consulta de cabeza descubierta </w:t>
      </w:r>
      <w:r w:rsidDel="00000000" w:rsidR="00000000" w:rsidRPr="00000000">
        <w:rPr>
          <w:rtl w:val="0"/>
        </w:rPr>
        <w:t xml:space="preserve">redujo el F1 temporal de 0,704 a 0,622 en ese bloque</w:t>
      </w:r>
      <w:r w:rsidDel="00000000" w:rsidR="00000000" w:rsidRPr="00000000">
        <w:rPr>
          <w:i w:val="0"/>
          <w:iCs w:val="0"/>
          <w:smallCaps w:val="0"/>
          <w:strike w:val="0"/>
          <w:u w:val="none"/>
          <w:shd w:fill="auto" w:val="clear"/>
          <w:vertAlign w:val="baseline"/>
          <w:rtl w:val="0"/>
        </w:rPr>
        <w:t xml:space="preserv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w:t>
      </w:r>
      <w:r w:rsidDel="00000000" w:rsidR="00000000" w:rsidRPr="00000000">
        <w:rPr>
          <w:rtl w:val="0"/>
        </w:rPr>
        <w:t xml:space="preserve">En el rodaje, cambiar de escena a sujeto produjo, con detecciones idénticas, el salto de F1 citado en la sección 18.1.</w:t>
      </w:r>
      <w:r w:rsidDel="00000000" w:rsidR="00000000" w:rsidRPr="00000000">
        <w:rPr>
          <w:i w:val="0"/>
          <w:iCs w:val="0"/>
          <w:smallCaps w:val="0"/>
          <w:strike w:val="0"/>
          <w:u w:val="none"/>
          <w:shd w:fill="auto" w:val="clear"/>
          <w:vertAlign w:val="baseline"/>
          <w:rtl w:val="0"/>
        </w:rPr>
        <w:t xml:space="preserve"> La diferencia conservó signo positivo e intervalos que excluyeron el cero en las cuatro cadencias de remuestreo regular de la sección 17.5.5. La mejora de las alertas por identidad temporal queda establecida dentro de ese bloque y ese procedimiento; </w:t>
      </w:r>
      <w:r w:rsidDel="00000000" w:rsidR="00000000" w:rsidRPr="00000000">
        <w:rPr>
          <w:rtl w:val="0"/>
        </w:rPr>
        <w:t xml:space="preserve">no equivale a </w:t>
      </w:r>
      <w:r w:rsidDel="00000000" w:rsidR="00000000" w:rsidRPr="00000000">
        <w:rPr>
          <w:rtl w:val="0"/>
        </w:rPr>
        <w:t xml:space="preserve">una evaluación formal de seguimiento multiobjeto</w:t>
      </w:r>
      <w:r w:rsidDel="00000000" w:rsidR="00000000" w:rsidRPr="00000000">
        <w:rPr>
          <w:rtl w:val="0"/>
        </w:rPr>
        <w:t xml:space="preserve"> ni a una garantía de conservación de identidades en cualquier escena.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w:t>
      </w:r>
      <w:r w:rsidDel="00000000" w:rsidR="00000000" w:rsidRPr="00000000">
        <w:rPr>
          <w:rtl w:val="0"/>
        </w:rPr>
        <w:t xml:space="preserve">En ese bloque, el recall pasó</w:t>
      </w:r>
      <w:r w:rsidDel="00000000" w:rsidR="00000000" w:rsidRPr="00000000">
        <w:rPr>
          <w:i w:val="0"/>
          <w:iCs w:val="0"/>
          <w:smallCaps w:val="0"/>
          <w:strike w:val="0"/>
          <w:u w:val="none"/>
          <w:shd w:fill="auto" w:val="clear"/>
          <w:vertAlign w:val="baseline"/>
          <w:rtl w:val="0"/>
        </w:rPr>
        <w:t xml:space="preserve"> de 0,824 con E-IND a 0,353 con E-HYB por disyunción. Incorporar evidencia adicional no aseguró una mejora de la alerta, porque la confirmación pudo adelantarse respecto de la ventana de referencia y perjudicar la correspondencia temporal del episodio. </w:t>
      </w:r>
      <w:r w:rsidDel="00000000" w:rsidR="00000000" w:rsidRPr="00000000">
        <w:rPr>
          <w:rtl w:val="0"/>
        </w:rPr>
        <w:t xml:space="preserve">La refutación es establecida para esa regla de fusión y no se extiende a la variante por conjunción, que no se ejecutó. El rendimiento de una composición temporal no puede deducirse de la unión de detecciones por imagen.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En el nivel de estado por persona, medido cuadro a cuadro</w:t>
      </w:r>
      <w:r w:rsidDel="00000000" w:rsidR="00000000" w:rsidRPr="00000000">
        <w:rPr>
          <w:rtl w:val="0"/>
        </w:rPr>
        <w:t xml:space="preserve"> y sin motor temporal sobre 17 clips de obra real —los 13 del lote de obra real del banco temporal y cuatro de un piloto anterior—, el F1 cayó a 0,031 para CR-01 y a 0,018 para CR-02, con E-IND a dos cuadros por segundo y sobre más de diez mil cuadros con persona en cada condición (sección 17.5.3). La caída provino de la precisión, inferior a 0,02: el detector emitió la condición sobre personas cuyo estado el anotador humano no podía determinar, y cada una de esas predicciones contó como falso positivo. En obra real, la distancia mayor no está entre formular la condición en lenguaje y detectarla, sino entre detectarla y que la escena permita observarla.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w:t>
      </w:r>
      <w:r w:rsidDel="00000000" w:rsidR="00000000" w:rsidRPr="00000000">
        <w:rPr>
          <w:rtl w:val="0"/>
        </w:rPr>
        <w:t xml:space="preserve">En el único clip negativo continuo de obra real, de 6 minutos y 9,6 segundos, las tasas derivadas fueron 29,2 falsas alertas por hora con granularidad de escena y 1.850,8 por sujeto.</w:t>
      </w:r>
      <w:r w:rsidDel="00000000" w:rsidR="00000000" w:rsidRPr="00000000">
        <w:rPr>
          <w:i w:val="0"/>
          <w:iCs w:val="0"/>
          <w:smallCaps w:val="0"/>
          <w:strike w:val="0"/>
          <w:u w:val="none"/>
          <w:shd w:fill="auto" w:val="clear"/>
          <w:vertAlign w:val="baseline"/>
          <w:rtl w:val="0"/>
        </w:rPr>
        <w:t xml:space="preserv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funcionamiento en vivo quedó demostrado, pero no dentro del presupuesto de latencia. La sección 17.1.7 había estimado </w:t>
      </w:r>
      <w:r w:rsidDel="00000000" w:rsidR="00000000" w:rsidRPr="00000000">
        <w:rPr>
          <w:rtl w:val="0"/>
        </w:rPr>
        <w:t xml:space="preserve">hasta 250 ms por unidad procesada</w:t>
      </w:r>
      <w:r w:rsidDel="00000000" w:rsidR="00000000" w:rsidRPr="00000000">
        <w:rPr>
          <w:rtl w:val="0"/>
        </w:rPr>
        <w:t xml:space="preserve"> para el tramo que va desde la salida del cuadro de la cola hasta el fin de la inferencia; con gdino-tiny-560 sobre la OAK-D, el p95 de ese tramo se ubicó entre 630 y 890 ms en tres corridas, entre 2,5 y 3,6 veces el presupuesto. El exceso es del detector y no de la cadena: la misma plataforma con inferencia simulada resolvió el tramo en 31,8 ms p95. Ninguna de estas cifras mide desde el sensor: la captura hasta la cola se instrumentó por separado para OAK-D y no se midió para RTSP.</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remuestreo regular permitió examinar el efecto de disponer de menos evidencia temporal sin cambiar las detecciones originales. El banco se evaluó en diferido </w:t>
      </w:r>
      <w:r w:rsidDel="00000000" w:rsidR="00000000" w:rsidRPr="00000000">
        <w:rPr>
          <w:rtl w:val="0"/>
        </w:rPr>
        <w:t xml:space="preserve">a la cadencia completa del material grabado, 30 fps</w:t>
      </w:r>
      <w:r w:rsidDel="00000000" w:rsidR="00000000" w:rsidRPr="00000000">
        <w:rPr>
          <w:rtl w:val="0"/>
        </w:rPr>
        <w:t xml:space="preserve">, mientras que el camino en vivo entregó entre 1,16 y 4,42 fps; para cubrir esa franja, los 34 episodios evaluables del rodaje se remuestrearon de manera pareada, y el F1 por escena fue 0,789 a 30 fps, 0,794 a 4,29, 0,738 a 2 y 0,646 a 1,15 fps.</w:t>
      </w:r>
      <w:r w:rsidDel="00000000" w:rsidR="00000000" w:rsidRPr="00000000">
        <w:rPr>
          <w:i w:val="0"/>
          <w:iCs w:val="0"/>
          <w:smallCaps w:val="0"/>
          <w:strike w:val="0"/>
          <w:u w:val="none"/>
          <w:shd w:fill="auto" w:val="clear"/>
          <w:vertAlign w:val="baseline"/>
          <w:rtl w:val="0"/>
        </w:rPr>
        <w:t xml:space="preserve">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w:t>
      </w:r>
      <w:r w:rsidDel="00000000" w:rsidR="00000000" w:rsidRPr="00000000">
        <w:rPr>
          <w:rtl w:val="0"/>
        </w:rPr>
        <w:t xml:space="preserve">pero el contraste cruzado entre cadencias distintas no es concluyente. Tampoco corresponde comparar SDR entre cadencias, porque cambia el instrumento con el que se observa la continuidad de la evidencia.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rama de ajuste fino se ejecutó como comparación separada del núcleo, sobre YOLOE-26s, con una línea base sin entrenar, criterios de ganancia y de retención fijados antes de medir y una secuencia de autorizaciones que mantuvo distinguibles las decisiones anteriores y posteriores a cada resultado. Fue una escalera de tres tramos, </w:t>
      </w:r>
      <w:r w:rsidDel="00000000" w:rsidR="00000000" w:rsidRPr="00000000">
        <w:rPr>
          <w:rtl w:val="0"/>
        </w:rPr>
        <w:t xml:space="preserve">que aquí se numeran para poder seguirlos</w:t>
      </w:r>
      <w:r w:rsidDel="00000000" w:rsidR="00000000" w:rsidRPr="00000000">
        <w:rPr>
          <w:rtl w:val="0"/>
        </w:rPr>
        <w:t xml:space="preserve">: el primer tramo entrenó sólo la capa de proyección de clases; el segundo liberó más capacidad, hasta 10,35 millones de parámetros entrenables; el tercero preveía ajustar una variante entrenable de la familia Grounding DINO. El entrenamiento usó 2.946 imágenes de construction_site_safety y ppe_siabar, con 483 de validación; CHV quedó fuera para no compartir fuentes con el banco de evaluación.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Ningún tramo produjo un checkpoint adoptable. El primero no alcanzó la ganancia exigida en cabeza descubierta y perdió retención de la clase persona. El segundo superó el criterio de ganancia en cabeza descubierta, pero falló las dos retenciones: la del dominio y la de vocabulario abierto, donde la métrica de retención sobre las 5.000 imágenes de validación de COCO 2017 pasó de 0,4347 a 0,1247, una caída del 71,3 %; además, su entrenamiento se detuvo en la época 16 de 60 y el mejor punto había quedado en la primera. El tercero no llegó a entrenarse: no se cumplieron las condiciones de activación de la escalera y la variante entrenable no preservaba el linaje del perfil desplegado; el checkpoint publicado de su versión tiny reprodujo además una anomalía geométrica ajena al proyecto, que reforzó el cierre sin atribuirse al adaptador propio ni extenderse a toda la familia.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Estos veredictos se establecieron sobre el protocolo de la rama y el banco de dominio de la sección 17.5.2; no implican que ambos ajustes hayan afectado por igual a todas las fuentes ni que exista una variante ajustada superior según una única métrica. Lo que sí muestran es que, con ese volumen de datos, subir la capacidad no resolvió la adopción: el límite fue la relación entre datos y retención, no la cantidad de parámetros, y el resultado del primer tramo no puede reducirse a falta de capacidad. La literatura de adaptación anticipaba el mecanismo, porque modificar pesos puede degradar representaciones útiles fuera del dominio de ajuste según qué parámetros se actualicen (Kumar et al., 2022; Lee et al., 2023), pero no el resultado de esta receta sobre este material. Tampoco demuestra que todo método de adaptación falle con ese volumen: no se exploró una tasa de aprendizaje intermedia ni la familia de técnicas eficientes en parámetros.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rama no modificó la conclusión sobre el núcleo sin entrenamiento. Dejó una decisión de no adopción sustentada y auditable, no una promesa de mejoras posteriores.</w:t>
      </w:r>
      <w:r w:rsidDel="00000000" w:rsidR="00000000" w:rsidRPr="00000000">
        <w:rPr>
          <w:rtl w:val="0"/>
        </w:rPr>
      </w:r>
    </w:p>
    <w:p w:rsidR="00000000" w:rsidDel="00000000" w:rsidP="00000000" w:rsidRDefault="00000000" w:rsidRPr="00000000" w14:paraId="00000034">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plataforma se diseñó para el catálogo completo</w:t>
      </w:r>
      <w:r w:rsidDel="00000000" w:rsidR="00000000" w:rsidRPr="00000000">
        <w:rPr>
          <w:rtl w:val="0"/>
        </w:rPr>
        <w:t xml:space="preserve"> y se validó sobre su núcleo obligatorio. Las seis condiciones de riesgo quedaron operacionalizadas con su patrón, su severidad y su ventana de persistencia, y el motor de patrones las admite a todas: cuáles se activan es materia de configuración. El marco de métricas definió los tres niveles de evidencia y también las métricas de seguimiento multiobjeto. La arquitectura declaró desde el comienzo qué capacidades eran núcleo y cuáles complementarias previstas. Lo que el protocolo recortó fue el alcance de la validación, no el del diseño.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Por eso las extensiones condicionadas encuentran su lugar ya definido. Las condiciones CR-03 a CR-06 se incorporan por configuración y esperan lo que el núcleo no necesitó: una referencia humana de relaciones espaciales y, para la zona restringida, una parametrización de la escena. Las métricas de seguimiento multiobjeto esperan identidades anotadas, no capacidad nueva, porque la identidad temporal ya está implementada y medida. La cota de falsas alarmas espera horas de obra anotada, y la adaptación del modelo, un corpus independiente del banco bajo el protocolo que la rama comparativa dejó fijado. En todos los casos lo que falta es evidencia, no arquitectura.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B">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D">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w:t>
      </w:r>
      <w:r w:rsidDel="00000000" w:rsidR="00000000" w:rsidRPr="00000000">
        <w:rPr>
          <w:rtl w:val="0"/>
        </w:rPr>
        <w:t xml:space="preserve">respaldan el estado del arte</w:t>
      </w:r>
      <w:r w:rsidDel="00000000" w:rsidR="00000000" w:rsidRPr="00000000">
        <w:rPr>
          <w:i w:val="0"/>
          <w:iCs w:val="0"/>
          <w:smallCaps w:val="0"/>
          <w:strike w:val="0"/>
          <w:u w:val="none"/>
          <w:shd w:fill="auto" w:val="clear"/>
          <w:vertAlign w:val="baseline"/>
          <w:rtl w:val="0"/>
        </w:rPr>
        <w:t xml:space="preserv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w:t>
      </w:r>
      <w:r w:rsidDel="00000000" w:rsidR="00000000" w:rsidRPr="00000000">
        <w:rPr>
          <w:rtl w:val="0"/>
        </w:rPr>
        <w:t xml:space="preserve">L. H. Li et al. (2021)</w:t>
      </w:r>
      <w:r w:rsidDel="00000000" w:rsidR="00000000" w:rsidRPr="00000000">
        <w:rPr>
          <w:i w:val="0"/>
          <w:iCs w:val="0"/>
          <w:smallCaps w:val="0"/>
          <w:strike w:val="0"/>
          <w:u w:val="none"/>
          <w:shd w:fill="auto" w:val="clear"/>
          <w:vertAlign w:val="baseline"/>
          <w:rtl w:val="0"/>
        </w:rPr>
        <w:t xml:space="preserve">, Liu et al. (2024), Minderer et al. (2023), Ren, Chen, et al. (2024), Ren, Jiang, et al. (2024), </w:t>
      </w:r>
      <w:r w:rsidDel="00000000" w:rsidR="00000000" w:rsidRPr="00000000">
        <w:rPr>
          <w:rtl w:val="0"/>
        </w:rPr>
        <w:t xml:space="preserve">Shen et al. (2023)</w:t>
      </w:r>
      <w:r w:rsidDel="00000000" w:rsidR="00000000" w:rsidRPr="00000000">
        <w:rPr>
          <w:i w:val="0"/>
          <w:iCs w:val="0"/>
          <w:smallCaps w:val="0"/>
          <w:strike w:val="0"/>
          <w:u w:val="none"/>
          <w:shd w:fill="auto" w:val="clear"/>
          <w:vertAlign w:val="baseline"/>
          <w:rtl w:val="0"/>
        </w:rPr>
        <w:t xml:space="preserve">, A. Wang et al. (2025), H. Wang et al. (2024), Xiao et al. (2024), Yao et al. (2024), Zang et al. (2022), T. Zhao et al. (2024), X. Zhao et al. (2024) y X. Zhou et al. (2022).</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3">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E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1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2">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construction_site_safety y ppe_siabar, disjuntas del banco de evaluación según la regla aplicada.</w:t>
            </w:r>
          </w:p>
        </w:tc>
      </w:tr>
      <w:tr>
        <w:trPr>
          <w:cantSplit w:val="1"/>
          <w:tblHeader w:val="0"/>
        </w:trPr>
        <w:tc>
          <w:tcP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gdino-tiny-560</w:t>
            </w:r>
          </w:p>
        </w:tc>
        <w:tc>
          <w:tcP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box_threshold 0,30; text_threshold 0,25; NMS IoU 0,50; fp16</w:t>
            </w:r>
          </w:p>
        </w:tc>
        <w:tc>
          <w:tcP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gdino-base-560</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 de 800 px</w:t>
            </w:r>
          </w:p>
        </w:tc>
        <w:tc>
          <w:tcP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 0,35</w:t>
            </w:r>
          </w:p>
        </w:tc>
        <w:tc>
          <w:tcP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 o subject, declarada en el conjunto de patrones</w:t>
            </w:r>
          </w:p>
        </w:tc>
        <w:tc>
          <w:tcP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6">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336089621"/>
                <w:tag w:val="goog_rdk_0"/>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1672221089"/>
                <w:tag w:val="goog_rdk_1"/>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651415850"/>
                <w:tag w:val="goog_rdk_2"/>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A">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0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0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8">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B">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C">
      <w:pPr>
        <w:pStyle w:val="Heading2"/>
        <w:spacing w:after="0" w:before="0" w:line="480" w:lineRule="auto"/>
        <w:rPr/>
      </w:pPr>
      <w:r w:rsidDel="00000000" w:rsidR="00000000" w:rsidRPr="00000000">
        <w:rPr>
          <w:rtl w:val="0"/>
        </w:rPr>
        <w:t xml:space="preserve">19.5. Anexo E - Reproducibilidad y comprobación de la evidencia</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r w:rsidDel="00000000" w:rsidR="00000000" w:rsidRPr="00000000">
        <w:rPr>
          <w:rtl w:val="0"/>
        </w:rPr>
        <w:t xml:space="preserve"> Todos los elementos que siguen se alcanzan desde el repositorio de documentación del proyecto citado en la sección 17.6.1, </w:t>
      </w:r>
      <w:r w:rsidDel="00000000" w:rsidR="00000000" w:rsidRPr="00000000">
        <w:rPr>
          <w:rtl w:val="0"/>
        </w:rPr>
        <w:t xml:space="preserve">que mantiene un mapa de artefactos</w:t>
      </w:r>
      <w:r w:rsidDel="00000000" w:rsidR="00000000" w:rsidRPr="00000000">
        <w:rPr>
          <w:rtl w:val="0"/>
        </w:rPr>
        <w:t xml:space="preserve"> con la ubicación de cada uno; el material audiovisual se conserva con acceso autorizado y se solicita por esa misma vía.</w:t>
      </w:r>
      <w:r w:rsidDel="00000000" w:rsidR="00000000" w:rsidRPr="00000000">
        <w:rPr>
          <w:rtl w:val="0"/>
        </w:rPr>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El banco bench_v3 con su manifiesto de composición, las anotaciones y la referencia de cada fuente</w:t>
            </w:r>
            <w:r w:rsidDel="00000000" w:rsidR="00000000" w:rsidRPr="00000000">
              <w:rPr>
                <w:rtl w:val="0"/>
              </w:rPr>
            </w:r>
          </w:p>
        </w:tc>
        <w:tc>
          <w:tcP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Manifiesto, clips elegibles y referencia temporal humana</w:t>
            </w:r>
            <w:r w:rsidDel="00000000" w:rsidR="00000000" w:rsidRPr="00000000">
              <w:rPr>
                <w:rtl w:val="0"/>
              </w:rPr>
            </w:r>
          </w:p>
        </w:tc>
        <w:tc>
          <w:tcP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Tabla E.2 consigna las dos huellas que identifican los materiales congelados sobre los que se sostienen las comparaciones: el banco de imágenes y el manifiesto del banco temporal de 47 clips. Este último no sustituye a la referencia histórica utilizada por los experimentos sobre el bloque de rodaje, cuya huella acompaña a ese manifiesto.</w:t>
      </w:r>
      <w:r w:rsidDel="00000000" w:rsidR="00000000" w:rsidRPr="00000000">
        <w:rPr>
          <w:rtl w:val="0"/>
        </w:rPr>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9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p>
        </w:tc>
        <w:tc>
          <w:tcP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Banco de imágenes bench_v3</w:t>
            </w:r>
            <w:r w:rsidDel="00000000" w:rsidR="00000000" w:rsidRPr="00000000">
              <w:rPr>
                <w:rtl w:val="0"/>
              </w:rPr>
            </w:r>
          </w:p>
        </w:tc>
        <w:tc>
          <w:tcP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4557024ecc4ee497</w:t>
            </w:r>
            <w:r w:rsidDel="00000000" w:rsidR="00000000" w:rsidRPr="00000000">
              <w:rPr>
                <w:rtl w:val="0"/>
              </w:rPr>
              <w:t xml:space="preserve">ab1fad01d6819206395c10fd794010ed8c1d9198b19a4462</w:t>
            </w:r>
            <w:r w:rsidDel="00000000" w:rsidR="00000000" w:rsidRPr="00000000">
              <w:rPr>
                <w:rtl w:val="0"/>
              </w:rPr>
            </w:r>
          </w:p>
        </w:tc>
        <w:tc>
          <w:tcP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Huella SHA-256 completa del archivo del banco.</w:t>
            </w:r>
            <w:r w:rsidDel="00000000" w:rsidR="00000000" w:rsidRPr="00000000">
              <w:rPr>
                <w:rtl w:val="0"/>
              </w:rPr>
            </w:r>
          </w:p>
        </w:tc>
      </w:tr>
    </w:tb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Las huellas de los estratos del banco de imágenes, de los conjuntos de prompts y del manifiesto histórico del bloque de rodaje acompañan a cada artefacto en el repositorio de documentación y no se transcriben. Una huella identifica un contenido; no acredita derechos de uso ni validez de una anotación. Fuente: elaboración propia a partir de los materiales congelados.</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Banco de imágenes.</w:t>
      </w:r>
      <w:r w:rsidDel="00000000" w:rsidR="00000000" w:rsidRPr="00000000">
        <w:rPr>
          <w:rtl w:val="0"/>
        </w:rPr>
        <w:t xml:space="preserve"> </w:t>
      </w:r>
      <w:r w:rsidDel="00000000" w:rsidR="00000000" w:rsidRPr="00000000">
        <w:rPr>
          <w:rtl w:val="0"/>
        </w:rPr>
        <w:t xml:space="preserve">Se reconstruye desde las fuentes y particiones identificadas</w:t>
      </w:r>
      <w:r w:rsidDel="00000000" w:rsidR="00000000" w:rsidRPr="00000000">
        <w:rPr>
          <w:rtl w:val="0"/>
        </w:rPr>
        <w:t xml:space="preserve">, sin reemplazarlas por una descarga actual de contenido distinto; se verifica su huella contra la Tabla E.2; y se evalúan las predicciones conservadas de cada corrida contra la referencia, reportando por separado los estratos de obra curada, CHV y SHEL5K, porque la composición desbalanceada del banco condiciona el agregado. La semilla de la partición de calibración se conserva al reproducir la evaluación del estado por persona.</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Banco temporal.</w:t>
      </w:r>
      <w:r w:rsidDel="00000000" w:rsidR="00000000" w:rsidRPr="00000000">
        <w:rPr>
          <w:rtl w:val="0"/>
        </w:rPr>
        <w:t xml:space="preserve"> La referencia se obtiene de las anotaciones humanas mediante conversión, validación y promoción al conjunto evaluable. El nivel de exportación de la herramienta de anotación debe corresponder al que espera la conversión: una exportación por tarea no se trata como una exportación por proyecto, porque el error produce una referencia negativa sin aviso. Antes de calcular métricas se comprueban los atributos, las correcciones adjudicadas, los intervalos de episodio y la pertenencia de cada clip al material reportable.</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Relectura y evaluación.</w:t>
      </w:r>
      <w:r w:rsidDel="00000000" w:rsidR="00000000" w:rsidRPr="00000000">
        <w:rPr>
          <w:rtl w:val="0"/>
        </w:rPr>
        <w:t xml:space="preserve"> Las detecciones conservadas de una corrida se releen con el plano de control bajo la misma configuración efectiva, y las alertas resultantes se evalúan contra la referencia temporal. Repetir la relectura con la misma configuración permite examinar el determinismo del motor; cambiar granularidad, evaluador, vocabulario o ventanas define otra combinación y exige identificarla como tal. Los clips positivos se evalúan por episodios; los negativos se conservan para el conteo de falsos positivos; las re-confirmaciones con la condición todavía activa se cuentan aparte y no se reclasifican como errores. Cada operación identifica los artefactos de la ejecución que se reproduce y no los reemplaza por una configuración actual que haya cambiado; esta secuencia describe la reproducción, no un procedimiento de instalación.</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Agregación.</w:t>
      </w:r>
      <w:r w:rsidDel="00000000" w:rsidR="00000000" w:rsidRPr="00000000">
        <w:rPr>
          <w:rtl w:val="0"/>
        </w:rPr>
        <w:t xml:space="preserve"> Se conservan la unidad estadística y las exclusiones del procedimiento original: un promedio de latencias por clip no se presenta como percentil, los intervalos por remuestreo mantienen la unidad y el pareamiento del contraste original, y los percentiles de tramos con relojes distintos no se suman. La precaución importa sobre todo al comparar granularidades con detecciones idénticas o cadencias obtenidas del mismo material.</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Repetición en vivo.</w:t>
      </w:r>
      <w:r w:rsidDel="00000000" w:rsidR="00000000" w:rsidRPr="00000000">
        <w:rPr>
          <w:rtl w:val="0"/>
        </w:rPr>
        <w:t xml:space="preserve"> Exige fijar el entorno, verificar que los servicios estén preparados y establecer las suscripciones antes de publicar: el orden de lanzamiento es control, distribución y medios, y la espera del publicador por su suscriptor protege el comienzo del canal de alertas sin sustituirse por una pausa supuesta. El periodo de preparación del modelo queda fuera de la ventana de medición. La latencia G2A se restringe al intervalo desde la salida del cuadro de la cola hasta el resultado de inferencia; al relacionarla con la literatura debe mantenerse explícita la diferencia con el extremo físico de captura (Bachhuber et al., 2018), y una medición ausente de RTSP no se completa con la cifra de captura de OAK-D.</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Alcance.</w:t>
      </w:r>
      <w:r w:rsidDel="00000000" w:rsidR="00000000" w:rsidRPr="00000000">
        <w:rPr>
          <w:rtl w:val="0"/>
        </w:rPr>
        <w:t xml:space="preserve"> Las pruebas automatizadas y las comprobaciones de la sección 17.6.3 verifican las propiedades para las que fueron construidas. La reproducción byte a byte del banco de imágenes acredita que el instrumento de evaluación es idéntico, y no sustituye a repetir la inferencia sobre otro equipo, cuyos tiempos dependen del hardware y del entorno de ejecución que cada corrida declara. El empaquetado en contenedores de la sección 17.6.4 provee ese entorno y fija las versiones de los servicios. El material conservado respalda la inspección y la reconstrucción de las ejecuciones documentadas.</w:t>
      </w:r>
      <w:r w:rsidDel="00000000" w:rsidR="00000000" w:rsidRPr="00000000">
        <w:rPr>
          <w:rtl w:val="0"/>
        </w:rPr>
      </w:r>
    </w:p>
    <w:p w:rsidR="00000000" w:rsidDel="00000000" w:rsidP="00000000" w:rsidRDefault="00000000" w:rsidRPr="00000000" w14:paraId="000002A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redistribuirlo. La Tabla F.1 identifica las fuentes que sostuvieron las ejecuciones y el tratamiento documentado para cada una. Las cantidades efectivamente incorporadas se reportan en las secciones 17.4 y 17.5, y no se sustituyen por los volúmenes actuales de los portales de descarga.</w:t>
      </w:r>
      <w:r w:rsidDel="00000000" w:rsidR="00000000" w:rsidRPr="00000000">
        <w:rPr>
          <w:rtl w:val="0"/>
        </w:rPr>
        <w:t xml:space="preserve"> El material audiovisual del proyecto —los clips del rodaje propio y los recortes del lote de obra real— no se publica: se conserva en una carpeta de evidencia con acceso autorizado, que se solicita a los autores a través del repositorio de documentación citado en la sección 17.6.1.</w:t>
      </w:r>
      <w:r w:rsidDel="00000000" w:rsidR="00000000" w:rsidRPr="00000000">
        <w:rPr>
          <w:rtl w:val="0"/>
        </w:rPr>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B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B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B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rtl w:val="0"/>
              </w:rPr>
              <w:t xml:space="preserve">YouTube</w:t>
            </w:r>
            <w:r w:rsidDel="00000000" w:rsidR="00000000" w:rsidRPr="00000000">
              <w:rPr>
                <w:i w:val="0"/>
                <w:iCs w:val="0"/>
                <w:smallCaps w:val="0"/>
                <w:strike w:val="0"/>
                <w:u w:val="none"/>
                <w:shd w:fill="auto" w:val="clear"/>
                <w:vertAlign w:val="baseline"/>
                <w:rtl w:val="0"/>
              </w:rPr>
              <w:t xml:space="preserve"> @HospitalConstruction</w:t>
            </w:r>
          </w:p>
        </w:tc>
        <w:tc>
          <w:tcPr>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@HospitalConstruction.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2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cFluYNKRrNiXyOJxzgMXrVGTA==">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