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399297675"/>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w:t>
      </w:r>
      <w:r w:rsidDel="00000000" w:rsidR="00000000" w:rsidRPr="00000000">
        <w:rPr>
          <w:rFonts w:ascii="Times New Roman" w:cs="Times New Roman" w:eastAsia="Times New Roman" w:hAnsi="Times New Roman"/>
          <w:sz w:val="24"/>
          <w:szCs w:val="24"/>
          <w:rtl w:val="0"/>
        </w:rPr>
        <w:t xml:space="preserve">RTX</w:t>
      </w:r>
      <w:r w:rsidDel="00000000" w:rsidR="00000000" w:rsidRPr="00000000">
        <w:rPr>
          <w:rFonts w:ascii="Times New Roman" w:cs="Times New Roman" w:eastAsia="Times New Roman" w:hAnsi="Times New Roman"/>
          <w:sz w:val="24"/>
          <w:szCs w:val="24"/>
          <w:rtl w:val="0"/>
        </w:rPr>
        <w:t xml:space="preserve">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w:t>
      </w:r>
      <w:r w:rsidDel="00000000" w:rsidR="00000000" w:rsidRPr="00000000">
        <w:rPr>
          <w:rFonts w:ascii="Times New Roman" w:cs="Times New Roman" w:eastAsia="Times New Roman" w:hAnsi="Times New Roman"/>
          <w:sz w:val="24"/>
          <w:szCs w:val="24"/>
          <w:rtl w:val="0"/>
        </w:rPr>
        <w:t xml:space="preserve">YOLOE</w:t>
      </w:r>
      <w:r w:rsidDel="00000000" w:rsidR="00000000" w:rsidRPr="00000000">
        <w:rPr>
          <w:rFonts w:ascii="Times New Roman" w:cs="Times New Roman" w:eastAsia="Times New Roman" w:hAnsi="Times New Roman"/>
          <w:sz w:val="24"/>
          <w:szCs w:val="24"/>
          <w:rtl w:val="0"/>
        </w:rPr>
        <w:t xml:space="preserv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w:t>
      </w:r>
      <w:r w:rsidDel="00000000" w:rsidR="00000000" w:rsidRPr="00000000">
        <w:rPr>
          <w:rFonts w:ascii="Times New Roman" w:cs="Times New Roman" w:eastAsia="Times New Roman" w:hAnsi="Times New Roman"/>
          <w:sz w:val="24"/>
          <w:szCs w:val="24"/>
          <w:rtl w:val="0"/>
        </w:rPr>
        <w:t xml:space="preserve">Luxonis</w:t>
      </w:r>
      <w:r w:rsidDel="00000000" w:rsidR="00000000" w:rsidRPr="00000000">
        <w:rPr>
          <w:rFonts w:ascii="Times New Roman" w:cs="Times New Roman" w:eastAsia="Times New Roman" w:hAnsi="Times New Roman"/>
          <w:sz w:val="24"/>
          <w:szCs w:val="24"/>
          <w:rtl w:val="0"/>
        </w:rPr>
        <w:t xml:space="preserve"> OAK-D Pro PoE mediante su interfaz de captura; en ambos casos, el flujo base mantiene la inferencia OVD en el CPN y reserva el borde para captura, transmisión y, cuando corresponda, preprocesamiento liviano (Luxonis, s. f.-a, s. f.-b). Para flujos H.264 o H.265, la </w:t>
      </w:r>
      <w:r w:rsidDel="00000000" w:rsidR="00000000" w:rsidRPr="00000000">
        <w:rPr>
          <w:rFonts w:ascii="Times New Roman" w:cs="Times New Roman" w:eastAsia="Times New Roman" w:hAnsi="Times New Roman"/>
          <w:sz w:val="24"/>
          <w:szCs w:val="24"/>
          <w:rtl w:val="0"/>
        </w:rPr>
        <w:t xml:space="preserve">decodificación</w:t>
      </w:r>
      <w:r w:rsidDel="00000000" w:rsidR="00000000" w:rsidRPr="00000000">
        <w:rPr>
          <w:rFonts w:ascii="Times New Roman" w:cs="Times New Roman" w:eastAsia="Times New Roman" w:hAnsi="Times New Roman"/>
          <w:sz w:val="24"/>
          <w:szCs w:val="24"/>
          <w:rtl w:val="0"/>
        </w:rPr>
        <w:t xml:space="preserve"> acelerada mediante </w:t>
      </w:r>
      <w:r w:rsidDel="00000000" w:rsidR="00000000" w:rsidRPr="00000000">
        <w:rPr>
          <w:rFonts w:ascii="Times New Roman" w:cs="Times New Roman" w:eastAsia="Times New Roman" w:hAnsi="Times New Roman"/>
          <w:sz w:val="24"/>
          <w:szCs w:val="24"/>
          <w:rtl w:val="0"/>
        </w:rPr>
        <w:t xml:space="preserve">NVDEC</w:t>
      </w:r>
      <w:r w:rsidDel="00000000" w:rsidR="00000000" w:rsidRPr="00000000">
        <w:rPr>
          <w:rFonts w:ascii="Times New Roman" w:cs="Times New Roman" w:eastAsia="Times New Roman" w:hAnsi="Times New Roman"/>
          <w:sz w:val="24"/>
          <w:szCs w:val="24"/>
          <w:rtl w:val="0"/>
        </w:rPr>
        <w:t xml:space="preserve">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pStyle w:val="Heading3"/>
        <w:spacing w:after="0" w:before="0" w:line="48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5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Los valores numéricos que se fijan son decisiones de protocolo dentro de rangos orientativos, y su calibración empírica corresponde al framework de métricas y a la validación experimental.</w:t>
      </w:r>
    </w:p>
    <w:p w:rsidR="00000000" w:rsidDel="00000000" w:rsidP="00000000" w:rsidRDefault="00000000" w:rsidRPr="00000000" w14:paraId="000005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p>
    <w:p w:rsidR="00000000" w:rsidDel="00000000" w:rsidP="00000000" w:rsidRDefault="00000000" w:rsidRPr="00000000" w14:paraId="000005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El primero es la representatividad, de modo que el catálogo incluya al menos una condición de cada nivel de complejidad y la evaluación ejercite las distintas capacidades del pipeline. El segundo es la factibilidad de detección visual,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y las que carecen de correlato visual directo, como una capacitación insuficiente. El tercero es la viabilidad de evaluación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5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505">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w:t>
      </w:r>
    </w:p>
    <w:p w:rsidR="00000000" w:rsidDel="00000000" w:rsidP="00000000" w:rsidRDefault="00000000" w:rsidRPr="00000000" w14:paraId="000005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5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50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p>
    <w:p w:rsidR="00000000" w:rsidDel="00000000" w:rsidP="00000000" w:rsidRDefault="00000000" w:rsidRPr="00000000" w14:paraId="000005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5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5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crítico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El nivel alto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nivel medio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5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5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5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5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 El diseño de sus estados, componentes y contratos corresponde a la instancia de análisis y diseño arquitectónico.</w:t>
      </w:r>
    </w:p>
    <w:p w:rsidR="00000000" w:rsidDel="00000000" w:rsidP="00000000" w:rsidRDefault="00000000" w:rsidRPr="00000000" w14:paraId="0000051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F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ni define por sí misma los umbrales computacionales de activación, distancia, persistencia o latencia del sistema. La relevancia preventiva de las condiciones se fundamenta en la sección 16.2. Fuente: elaboración propia.</w:t>
      </w:r>
    </w:p>
    <w:p w:rsidR="00000000" w:rsidDel="00000000" w:rsidP="00000000" w:rsidRDefault="00000000" w:rsidRPr="00000000" w14:paraId="000005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5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 La definición computacional de las métricas de proximidad y contención, la representación de zonas y la materialización del motor corresponden a la instancia de análisis y diseño arquitectónico.</w:t>
      </w:r>
    </w:p>
    <w:p w:rsidR="00000000" w:rsidDel="00000000" w:rsidP="00000000" w:rsidRDefault="00000000" w:rsidRPr="00000000" w14:paraId="0000051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p>
    <w:p w:rsidR="00000000" w:rsidDel="00000000" w:rsidP="00000000" w:rsidRDefault="00000000" w:rsidRPr="00000000" w14:paraId="000005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5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“a photo of a [CLASS]”,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5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5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5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5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 De realizarse, esas pruebas corresponden a la validación experimental.</w:t>
      </w:r>
    </w:p>
    <w:p w:rsidR="00000000" w:rsidDel="00000000" w:rsidP="00000000" w:rsidRDefault="00000000" w:rsidRPr="00000000" w14:paraId="000005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 el motor de patrones. El catálogo completo de formulaciones candidatas por condición y estrategia se consolida en la Tabla C.1 del Anexo C, y las formulaciones finalistas deben quedar seleccionadas y congeladas mediante un acta previa a la evaluación comparativa.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51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p>
    <w:p w:rsidR="00000000" w:rsidDel="00000000" w:rsidP="00000000" w:rsidRDefault="00000000" w:rsidRPr="00000000" w14:paraId="000005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Las métricas, los criterios de reporte y los umbrales orientativos se definen en el framework de métricas, y este protocolo fija la estructura procedural de las pruebas en cinco fases.</w:t>
      </w:r>
    </w:p>
    <w:p w:rsidR="00000000" w:rsidDel="00000000" w:rsidP="00000000" w:rsidRDefault="00000000" w:rsidRPr="00000000" w14:paraId="000005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5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5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5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5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5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12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17.1.6.1. Introducción y alcance</w:t>
      </w:r>
      <w:r w:rsidDel="00000000" w:rsidR="00000000" w:rsidRPr="00000000">
        <w:rPr>
          <w:rtl w:val="0"/>
        </w:rPr>
      </w:r>
    </w:p>
    <w:p w:rsidR="00000000" w:rsidDel="00000000" w:rsidP="00000000" w:rsidRDefault="00000000" w:rsidRPr="00000000" w14:paraId="0000012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2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sidDel="00000000" w:rsidR="00000000" w:rsidRPr="00000000">
        <w:rPr>
          <w:rFonts w:ascii="Times New Roman" w:cs="Times New Roman" w:eastAsia="Times New Roman" w:hAnsi="Times New Roman"/>
          <w:sz w:val="24"/>
          <w:szCs w:val="24"/>
          <w:rtl w:val="0"/>
        </w:rPr>
        <w:t xml:space="preserve"> Quedan fuera del inventario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preventivamente relevantes,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3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del catálogo experimental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5"/>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del catálogo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del catálogo experimental (CR-01 a CR-06) definido en la Sección 17.1.5.1.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5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17.1.6.2. Datasets de gestión directa (categoría 1)</w:t>
      </w:r>
      <w:r w:rsidDel="00000000" w:rsidR="00000000" w:rsidRPr="00000000">
        <w:rPr>
          <w:rtl w:val="0"/>
        </w:rPr>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5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6"/>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17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17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r w:rsidDel="00000000" w:rsidR="00000000" w:rsidRPr="00000000">
        <w:rPr>
          <w:rtl w:val="0"/>
        </w:rPr>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17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7"/>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19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19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1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1A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las salvaguardas de la Sección 17.1.10.1. La ampliación sólo se justifica si aporta evidencia interpretable sin desplazar la evaluación del núcleo.</w:t>
      </w:r>
    </w:p>
    <w:p w:rsidR="00000000" w:rsidDel="00000000" w:rsidP="00000000" w:rsidRDefault="00000000" w:rsidRPr="00000000" w14:paraId="000001A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El protocolo fija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8"/>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1B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1B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26 sintetiza la aptitud metodológica de las cuatro fuentes retenidas para ajuste y evaluación, sin asignar todavía un rol efectivo.</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9"/>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1D4">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1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17.1.6.3. Benchmarks de evaluación de referencia (categoría 2)</w:t>
      </w:r>
      <w:r w:rsidDel="00000000" w:rsidR="00000000" w:rsidRPr="00000000">
        <w:rPr>
          <w:rtl w:val="0"/>
        </w:rPr>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0"/>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1E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1E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1E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1F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17.1.6.4. Consideraciones transversales</w:t>
      </w:r>
      <w:r w:rsidDel="00000000" w:rsidR="00000000" w:rsidRPr="00000000">
        <w:rPr>
          <w:rtl w:val="0"/>
        </w:rPr>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dimensiones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1F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1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rigen las salvaguardas de la Sección 17.1.10.1.</w:t>
      </w:r>
    </w:p>
    <w:p w:rsidR="00000000" w:rsidDel="00000000" w:rsidP="00000000" w:rsidRDefault="00000000" w:rsidRPr="00000000" w14:paraId="000001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24, sin atribuirles licencias no verificadas.</w:t>
      </w:r>
    </w:p>
    <w:p w:rsidR="00000000" w:rsidDel="00000000" w:rsidP="00000000" w:rsidRDefault="00000000" w:rsidRPr="00000000" w14:paraId="000001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1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1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p>
    <w:p w:rsidR="00000000" w:rsidDel="00000000" w:rsidP="00000000" w:rsidRDefault="00000000" w:rsidRPr="00000000" w14:paraId="000001F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17.1.6.5. Síntesis parcial de la estrategia de datos, benchmarks y partición</w:t>
      </w:r>
      <w:r w:rsidDel="00000000" w:rsidR="00000000" w:rsidRPr="00000000">
        <w:rPr>
          <w:rtl w:val="0"/>
        </w:rPr>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1F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1"/>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las condiciones metodológicas obligatorias de la Tabla 25.</w:t>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17.1.7.1. Introducción y alcance</w:t>
      </w:r>
      <w:r w:rsidDel="00000000" w:rsidR="00000000" w:rsidRPr="00000000">
        <w:rPr>
          <w:rtl w:val="0"/>
        </w:rPr>
      </w:r>
    </w:p>
    <w:p w:rsidR="00000000" w:rsidDel="00000000" w:rsidP="00000000" w:rsidRDefault="00000000" w:rsidRPr="00000000" w14:paraId="0000021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el framework responde a dos preguntas rectoras de la fundamentación teórica. En relación con P-E1-06, define las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2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t_alert-system; la extensión hasta un canal instrumentado se identifica como t_alert-notification. Ambas denominaciones deben conservarse sin intercambiar sus hitos de inicio y cierre.</w:t>
      </w:r>
    </w:p>
    <w:p w:rsidR="00000000" w:rsidDel="00000000" w:rsidP="00000000" w:rsidRDefault="00000000" w:rsidRPr="00000000" w14:paraId="000002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2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3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del framework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3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3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17.1.7.4. Métricas adoptadas</w:t>
      </w:r>
      <w:r w:rsidDel="00000000" w:rsidR="00000000" w:rsidRPr="00000000">
        <w:rPr>
          <w:rtl w:val="0"/>
        </w:rPr>
      </w:r>
    </w:p>
    <w:p w:rsidR="00000000" w:rsidDel="00000000" w:rsidP="00000000" w:rsidRDefault="00000000" w:rsidRPr="00000000" w14:paraId="000002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adoptadas cubren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3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3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p>
    <w:p w:rsidR="00000000" w:rsidDel="00000000" w:rsidP="00000000" w:rsidRDefault="00000000" w:rsidRPr="00000000" w14:paraId="0000023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r w:rsidDel="00000000" w:rsidR="00000000" w:rsidRPr="00000000">
        <w:rPr>
          <w:rtl w:val="0"/>
        </w:rPr>
      </w:r>
    </w:p>
    <w:p w:rsidR="00000000" w:rsidDel="00000000" w:rsidP="00000000" w:rsidRDefault="00000000" w:rsidRPr="00000000" w14:paraId="0000023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p>
    <w:p w:rsidR="00000000" w:rsidDel="00000000" w:rsidP="00000000" w:rsidRDefault="00000000" w:rsidRPr="00000000" w14:paraId="0000023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17.1.7.5. Métricas operativas específicas del dominio</w:t>
      </w:r>
      <w:r w:rsidDel="00000000" w:rsidR="00000000" w:rsidRPr="00000000">
        <w:rPr>
          <w:rtl w:val="0"/>
        </w:rPr>
      </w:r>
    </w:p>
    <w:p w:rsidR="00000000" w:rsidDel="00000000" w:rsidP="00000000" w:rsidRDefault="00000000" w:rsidRPr="00000000" w14:paraId="000002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framework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1"/>
      <w:bookmarkEnd w:id="1"/>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Times New Roman" w:cs="Times New Roman" w:eastAsia="Times New Roman" w:hAnsi="Times New Roman"/>
                <w:b w:val="1"/>
                <w:bCs w:val="1"/>
                <w:color w:val="000000"/>
                <w:sz w:val="24"/>
                <w:szCs w:val="24"/>
              </w:rPr>
            </m:ctrlPr>
          </m:sSubPr>
          <m:e>
            <m:r>
              <w:rPr>
                <w:rFonts w:ascii="Times New Roman" w:cs="Times New Roman" w:eastAsia="Times New Roman" w:hAnsi="Times New Roman"/>
                <w:b w:val="1"/>
                <w:bCs w:val="1"/>
                <w:color w:val="000000"/>
                <w:sz w:val="24"/>
                <w:szCs w:val="24"/>
              </w:rPr>
              <m:t xml:space="preserve">t</m:t>
            </m:r>
          </m:e>
          <m:sub>
            <m:r>
              <w:rPr>
                <w:rFonts w:ascii="Times New Roman" w:cs="Times New Roman" w:eastAsia="Times New Roman" w:hAnsi="Times New Roman"/>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4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Evaluación diferenciada por severidad</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2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25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rsidR="00000000" w:rsidDel="00000000" w:rsidP="00000000" w:rsidRDefault="00000000" w:rsidRPr="00000000" w14:paraId="000002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rsidR="00000000" w:rsidDel="00000000" w:rsidP="00000000" w:rsidRDefault="00000000" w:rsidRPr="00000000" w14:paraId="000002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2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2"/>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27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27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17.1.7.7. Presupuesto de latencia y componentes medibles</w:t>
      </w:r>
      <w:r w:rsidDel="00000000" w:rsidR="00000000" w:rsidRPr="00000000">
        <w:rPr>
          <w:rtl w:val="0"/>
        </w:rPr>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2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27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p w:rsidR="00000000" w:rsidDel="00000000" w:rsidP="00000000" w:rsidRDefault="00000000" w:rsidRPr="00000000" w14:paraId="0000027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p w:rsidR="00000000" w:rsidDel="00000000" w:rsidP="00000000" w:rsidRDefault="00000000" w:rsidRPr="00000000" w14:paraId="0000027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p w:rsidR="00000000" w:rsidDel="00000000" w:rsidP="00000000" w:rsidRDefault="00000000" w:rsidRPr="00000000" w14:paraId="000002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27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bl>
      <w:tblPr>
        <w:tblStyle w:val="Table13"/>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2">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2A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2A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2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r w:rsidDel="00000000" w:rsidR="00000000" w:rsidRPr="00000000">
        <w:rPr>
          <w:rtl w:val="0"/>
        </w:rPr>
      </w:r>
    </w:p>
    <w:p w:rsidR="00000000" w:rsidDel="00000000" w:rsidP="00000000" w:rsidRDefault="00000000" w:rsidRPr="00000000" w14:paraId="000002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2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17.1.7.7.5 y verificar que las metas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2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2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2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el análisis de operación en tiempo real identifica un rango de 10–30 ms por cuadro asociado a modelos ligeros optimizados y otro de 50–150 ms característico de arquitecturas transformer sin optimización específica para edge; por otro,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rsidR="00000000" w:rsidDel="00000000" w:rsidP="00000000" w:rsidRDefault="00000000" w:rsidRPr="00000000" w14:paraId="000002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2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2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2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2B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2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severidad definida en la Sección 17.1.5.2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2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2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r w:rsidDel="00000000" w:rsidR="00000000" w:rsidRPr="00000000">
        <w:rPr>
          <w:rtl w:val="0"/>
        </w:rPr>
      </w:r>
    </w:p>
    <w:p w:rsidR="00000000" w:rsidDel="00000000" w:rsidP="00000000" w:rsidRDefault="00000000" w:rsidRPr="00000000" w14:paraId="000002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umbrales orientativos consolidados se presentan en la Tabla 32 (Sección 17.1.7.9).</w:t>
      </w:r>
    </w:p>
    <w:p w:rsidR="00000000" w:rsidDel="00000000" w:rsidP="00000000" w:rsidRDefault="00000000" w:rsidRPr="00000000" w14:paraId="000002B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2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2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2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2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r w:rsidDel="00000000" w:rsidR="00000000" w:rsidRPr="00000000">
        <w:rPr>
          <w:rtl w:val="0"/>
        </w:rPr>
      </w:r>
    </w:p>
    <w:p w:rsidR="00000000" w:rsidDel="00000000" w:rsidP="00000000" w:rsidRDefault="00000000" w:rsidRPr="00000000" w14:paraId="000002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p>
    <w:p w:rsidR="00000000" w:rsidDel="00000000" w:rsidP="00000000" w:rsidRDefault="00000000" w:rsidRPr="00000000" w14:paraId="000002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2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2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2C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2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2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2D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 El detalle de campos recomendados se consolida en la Tabla D.3 del Anexo D.</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2D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17.1.7.9. Síntesis parcial del framework de métricas</w:t>
      </w:r>
      <w:r w:rsidDel="00000000" w:rsidR="00000000" w:rsidRPr="00000000">
        <w:rPr>
          <w:rtl w:val="0"/>
        </w:rPr>
      </w:r>
    </w:p>
    <w:p w:rsidR="00000000" w:rsidDel="00000000" w:rsidP="00000000" w:rsidRDefault="00000000" w:rsidRPr="00000000" w14:paraId="000002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2D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4"/>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2E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w:t>
      </w:r>
    </w:p>
    <w:p w:rsidR="00000000" w:rsidDel="00000000" w:rsidP="00000000" w:rsidRDefault="00000000" w:rsidRPr="00000000" w14:paraId="000002E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15"/>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0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0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0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3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0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0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6"/>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2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2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3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7"/>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4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4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4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3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8"/>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3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36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36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36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3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36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9"/>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3C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t>
      </w:r>
    </w:p>
    <w:p w:rsidR="00000000" w:rsidDel="00000000" w:rsidP="00000000" w:rsidRDefault="00000000" w:rsidRPr="00000000" w14:paraId="000003C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2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3E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3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21"/>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sdt>
              <w:sdtPr>
                <w:id w:val="-469170589"/>
                <w:tag w:val="goog_rdk_1"/>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sdt>
              <w:sdtPr>
                <w:id w:val="-1474803542"/>
                <w:tag w:val="goog_rdk_2"/>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D">
            <w:pPr>
              <w:spacing w:line="480" w:lineRule="auto"/>
              <w:rPr>
                <w:rFonts w:ascii="Times New Roman" w:cs="Times New Roman" w:eastAsia="Times New Roman" w:hAnsi="Times New Roman"/>
                <w:sz w:val="24"/>
                <w:szCs w:val="24"/>
              </w:rPr>
            </w:pPr>
            <w:sdt>
              <w:sdtPr>
                <w:id w:val="-284575673"/>
                <w:tag w:val="goog_rdk_3"/>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F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F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40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2"/>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4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42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4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3"/>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44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4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46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0" w:date="2026-09-01T23:51:46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7oD2+xRgMfdXQeGH6OtXJdBQ==">CgMxLjAaJwoBMBIiCiAIBCocCgtBQUFDR1Zrems0TRAIGgtBQUFDR1Zrems0TRojCgExEh4KHAgHQhgKD1RpbWVzIE5ldyBSb21hbhIFQ2FyZG8aIwoBMhIeChwIB0IYCg9UaW1lcyBOZXcgUm9tYW4SBUNhcmRvGiMKATMSHgocCAdCGAoPVGltZXMgTmV3IFJvbWFuEgVDYXJkbyKvBwoLQUFBQ0dWa3prNE0S/wYKC0FBQUNHVmt6azRNEgtBQUFDR1Zrems0TRrsAQoJdGV4dC9odG1s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Iu0BCgp0ZXh0L3BsYWlu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KhsiFTEwNjExOTc4MDQ5ODA3OTk3NjM2NSgAOAAwq52L+4U0OKudi/uFNEpXCgp0ZXh0L3BsYWluEkkxNy4xLjQuIEVudG9ybm8gZXhwZXJpbWVudGFsLCBpbmZyYWVzdHJ1Y3R1cmEgeSBlc2NlbmFyaW9zIGRlIGV2YWx1YWNpw7NuWgxtNnlzdHR3YWptN2tyAiAAeAC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GKudi/uFNCCrnYv7hTRCEGtpeC41MjZuamJ1Z291aHIyDmgueXBkeWhqejNoNnF1Mg1oLm5ndDhzZDFuMWxtOAByITFUdDRBdGJqcG1MT0ZyVUE2NnJURi1ORFJJOFZZZ1l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