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17.1.4.2.</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Fonts w:ascii="Times New Roman" w:cs="Times New Roman" w:eastAsia="Times New Roman" w:hAnsi="Times New Roman"/>
          <w:sz w:val="24"/>
          <w:szCs w:val="24"/>
          <w:rtl w:val="0"/>
        </w:rPr>
        <w:t xml:space="preserve"> Las variables de sensibilidad candidatas para el EBE se consolidan en la Tabla C.2 del Anexo C.</w:t>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o la presencia de guantes y gafas de protección, y las que carecen de correlato visual directo, como una capacitación insuficiente. También quedan fuera, aunque son preventivamente relevantes, condiciones de escena como la obstrucción de pasillos o la presencia de materiales inestables, que no admiten una definición visual estable para su anotación.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agregan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MOT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se pondera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pueden co-ocurrir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 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por patrón. Recibe detecciones normalizadas, marcas de tiempo, la configuración de prompts y, cuando corresponde,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reasociaciones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preentrenamiento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preentrenamiento.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compara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En E-OVRT-VDP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 El tamaño del vocabulario se considera además una variable experimental, porque puede afectar la precisión y el costo de inferencia de manera dependiente de la arquitectura. Las familias YOLO orientadas a open-vocabulary precomputan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preentrenamiento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preentrenamiento.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públicos.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permitan.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interanotador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reanotación,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superpongan.</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tupla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hiperparámetros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r w:rsidDel="00000000" w:rsidR="00000000" w:rsidRPr="00000000">
        <w:rPr>
          <w:rtl w:val="0"/>
        </w:rPr>
      </w:r>
    </w:p>
    <w:p w:rsidR="00000000" w:rsidDel="00000000" w:rsidP="00000000" w:rsidRDefault="00000000" w:rsidRPr="00000000" w14:paraId="000000E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preentrenar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persistentes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Roboflow Universe, versión 27.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 Roboflow Universe, versión 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4.0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licencias consignadas son las que declara cada paquete de datos. Cuando la declaración proviene de un repositorio de código, de una publicación o de una copia y no del paquete original, la fuente se mantiene en estado condicional.</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 y aportar evidencia interpretable sin desplazar la evaluación del núcleo.</w:t>
      </w:r>
    </w:p>
    <w:p w:rsidR="00000000" w:rsidDel="00000000" w:rsidP="00000000" w:rsidRDefault="00000000" w:rsidRPr="00000000" w14:paraId="000001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17.1.6.3. Asignación de roles y partición experimental</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acota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 en especial en colecciones obtenidas de la Web o mediante contribución distribuida.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hiperparámetros, selección de checkpoints ni aumento de datos.</w:t>
            </w:r>
          </w:p>
        </w:tc>
      </w:tr>
    </w:tbl>
    <w:p w:rsidR="00000000" w:rsidDel="00000000" w:rsidP="00000000" w:rsidRDefault="00000000" w:rsidRPr="00000000" w14:paraId="0000016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17.1.6.4. Benchmarks de referencia para seguimiento</w:t>
      </w:r>
    </w:p>
    <w:p w:rsidR="00000000" w:rsidDel="00000000" w:rsidP="00000000" w:rsidRDefault="00000000" w:rsidRPr="00000000" w14:paraId="0000016C">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MOT17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 y LaSOT se excluyen porque corresponden a seguimiento de objeto único. OVT-B se prioriza sobre OV-TAO por su mayor escala. TETA es Track Every Thing Accuracy y se descompone en LocA, ClsA y AssA, que miden localización, clasificación y asociación. Las referencias primarias son Milan et al. (2016) para MOT17 y Liang y Han (2024) para OVT-B.</w:t>
      </w:r>
    </w:p>
    <w:p w:rsidR="00000000" w:rsidDel="00000000" w:rsidP="00000000" w:rsidRDefault="00000000" w:rsidRPr="00000000" w14:paraId="000001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0">
      <w:pPr>
        <w:pStyle w:val="Heading4"/>
        <w:spacing w:after="0" w:before="0" w:line="480" w:lineRule="auto"/>
        <w:rPr>
          <w:rFonts w:ascii="Times New Roman" w:cs="Times New Roman" w:eastAsia="Times New Roman" w:hAnsi="Times New Roman"/>
          <w:b w:val="1"/>
          <w:bCs w:val="1"/>
          <w:color w:val="000000"/>
        </w:rPr>
      </w:pPr>
      <w:bookmarkStart w:colFirst="0" w:colLast="0" w:name="_heading=h.m8ippf97ncfb" w:id="1"/>
      <w:bookmarkEnd w:id="1"/>
      <w:r w:rsidDel="00000000" w:rsidR="00000000" w:rsidRPr="00000000">
        <w:rPr>
          <w:rFonts w:ascii="Times New Roman" w:cs="Times New Roman" w:eastAsia="Times New Roman" w:hAnsi="Times New Roman"/>
          <w:b w:val="1"/>
          <w:bCs w:val="1"/>
          <w:color w:val="000000"/>
          <w:rtl w:val="0"/>
        </w:rPr>
        <w:t xml:space="preserve">17.1.6.5. Licencias, ética y logística de datos</w:t>
      </w:r>
    </w:p>
    <w:p w:rsidR="00000000" w:rsidDel="00000000" w:rsidP="00000000" w:rsidRDefault="00000000" w:rsidRPr="00000000" w14:paraId="000001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5">
      <w:pPr>
        <w:pStyle w:val="Heading3"/>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6">
      <w:pPr>
        <w:pStyle w:val="Heading4"/>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p>
    <w:p w:rsidR="00000000" w:rsidDel="00000000" w:rsidP="00000000" w:rsidRDefault="00000000" w:rsidRPr="00000000" w14:paraId="0000018B">
      <w:pPr>
        <w:pStyle w:val="Heading4"/>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por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1935138247"/>
        <w:tag w:val="goog_rdk_0"/>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t_alert-system,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t_alert-system,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 Las definiciones operativas, el formato de reporte y los criterios de estabilidad de estas medidas se consolidan en la Tabla D.1 del Anexo D.</w:t>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t_alert-system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hitos correlacionados, no mediante la suma de componentes agregados. Para un episodio 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t_alert-system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t_alert-notification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t_alert-system.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2042065636"/>
        <w:tag w:val="goog_rdk_11"/>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004178218"/>
                    <w:tag w:val="goog_rdk_1"/>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512307928"/>
                    <w:tag w:val="goog_rdk_2"/>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512379235"/>
                    <w:tag w:val="goog_rdk_3"/>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936769344"/>
                    <w:tag w:val="goog_rdk_4"/>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1426400294"/>
                    <w:tag w:val="goog_rdk_5"/>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1528160432"/>
                    <w:tag w:val="goog_rdk_6"/>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1669451554"/>
                    <w:tag w:val="goog_rdk_7"/>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352942248"/>
                    <w:tag w:val="goog_rdk_8"/>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(t_alert-system)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979959771"/>
                    <w:tag w:val="goog_rdk_9"/>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(t_alert-notification)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665971358"/>
                    <w:tag w:val="goog_rdk_10"/>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t_alert-system se obtiene a partir de los hitos del episodio y de la alerta, no mediante la suma de percentiles de componentes.</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w:t>
      </w:r>
      <w:r w:rsidDel="00000000" w:rsidR="00000000" w:rsidRPr="00000000">
        <w:rPr>
          <w:rFonts w:ascii="Times New Roman" w:cs="Times New Roman" w:eastAsia="Times New Roman" w:hAnsi="Times New Roman"/>
          <w:sz w:val="24"/>
          <w:szCs w:val="24"/>
          <w:rtl w:val="0"/>
        </w:rPr>
        <w:t xml:space="preserve">con notación</w:t>
      </w:r>
      <w:r w:rsidDel="00000000" w:rsidR="00000000" w:rsidRPr="00000000">
        <w:rPr>
          <w:rFonts w:ascii="Times New Roman" w:cs="Times New Roman" w:eastAsia="Times New Roman" w:hAnsi="Times New Roman"/>
          <w:sz w:val="24"/>
          <w:szCs w:val="24"/>
          <w:rtl w:val="0"/>
        </w:rPr>
        <w:t xml:space="preserve"> propia, separada de las métricas medidas por hitos. B denota la estimación orientativa de un tramo y W una espera funcional. Los componentes sólo se suman cuando son sucesivos y no se solapan.</w:t>
      </w:r>
    </w:p>
    <w:p w:rsidR="00000000" w:rsidDel="00000000" w:rsidP="00000000" w:rsidRDefault="00000000" w:rsidRPr="00000000" w14:paraId="000001F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r w:rsidDel="00000000" w:rsidR="00000000" w:rsidRPr="00000000">
        <w:rPr>
          <w:rtl w:val="0"/>
        </w:rPr>
      </w:r>
    </w:p>
    <w:p w:rsidR="00000000" w:rsidDel="00000000" w:rsidP="00000000" w:rsidRDefault="00000000" w:rsidRPr="00000000" w14:paraId="000001FF">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r w:rsidDel="00000000" w:rsidR="00000000" w:rsidRPr="00000000">
        <w:rPr>
          <w:rtl w:val="0"/>
        </w:rPr>
      </w:r>
    </w:p>
    <w:p w:rsidR="00000000" w:rsidDel="00000000" w:rsidP="00000000" w:rsidRDefault="00000000" w:rsidRPr="00000000" w14:paraId="000002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latencia vidrio a alerta de un episodio se aproxima entonces a la suma de TTFD y B_alerta. t_alert-system, medida entre hitos del reloj de la fuente, comprende la reacción perceptiva inicial y la ventana funcional, pero no la cola de procesamiento del cuadro que confirma, que se informa por separado mediante capture_to_host y t_G2A. La estimación orientativa que sigue corresponde a B_procesamiento.</w:t>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20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p>
    <w:p w:rsidR="00000000" w:rsidDel="00000000" w:rsidP="00000000" w:rsidRDefault="00000000" w:rsidRPr="00000000" w14:paraId="00000203">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4">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1022377522"/>
        <w:tag w:val="goog_rdk_15"/>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Máximo orientativo de t_alert-system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sdt>
                  <w:sdtPr>
                    <w:id w:val="-1350125104"/>
                    <w:tag w:val="goog_rdk_12"/>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sdt>
                  <w:sdtPr>
                    <w:id w:val="-547304011"/>
                    <w:tag w:val="goog_rdk_13"/>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sdt>
                  <w:sdtPr>
                    <w:id w:val="690363247"/>
                    <w:tag w:val="goog_rdk_14"/>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A">
      <w:pPr>
        <w:pStyle w:val="Heading4"/>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con los campos mínimos consolidados en la Tabla D.3 del Anexo D. En una comparación de ajuste se agregan la semilla, la partición, la composición del corpus y el procedimiento de entrenamiento.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w:t>
      </w:r>
      <w:r w:rsidDel="00000000" w:rsidR="00000000" w:rsidRPr="00000000">
        <w:rPr>
          <w:rFonts w:ascii="Times New Roman" w:cs="Times New Roman" w:eastAsia="Times New Roman" w:hAnsi="Times New Roman"/>
          <w:sz w:val="24"/>
          <w:szCs w:val="24"/>
          <w:rtl w:val="0"/>
        </w:rPr>
        <w:t xml:space="preserve">correlacionarla</w:t>
      </w:r>
      <w:r w:rsidDel="00000000" w:rsidR="00000000" w:rsidRPr="00000000">
        <w:rPr>
          <w:rFonts w:ascii="Times New Roman" w:cs="Times New Roman" w:eastAsia="Times New Roman" w:hAnsi="Times New Roman"/>
          <w:sz w:val="24"/>
          <w:szCs w:val="24"/>
          <w:rtl w:val="0"/>
        </w:rPr>
        <w:t xml:space="preserve">. La falta de uno de estos hitos limita el tramo que puede reportarse.</w:t>
      </w:r>
    </w:p>
    <w:p w:rsidR="00000000" w:rsidDel="00000000" w:rsidP="00000000" w:rsidRDefault="00000000" w:rsidRPr="00000000" w14:paraId="000002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t_alert-system no corresponde en pruebas que terminan en detecciones por imagen. TTFD y SDR no corresponden sin continuidad temporal e inicio anotado. t_alert-notification no corresponde sin un trayecto externo instrumentado. Los deltas de ajuste no son interpretables sin una línea base equivalente o cuando existe filtración entre entrenamiento y evaluación. En cada caso se informa el estado y su causa. Los insumos mínimos que habilitan cada familia de métricas se consolidan en la Tabla D.2 del Anexo D.</w:t>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condicionaron su interpretación.</w:t>
      </w:r>
    </w:p>
    <w:p w:rsidR="00000000" w:rsidDel="00000000" w:rsidP="00000000" w:rsidRDefault="00000000" w:rsidRPr="00000000" w14:paraId="000002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se ejecuta antes de congelar el software relevante, los checkpoints retenidos, el banco de evaluación y la estructura mínima de bitácora. Sobre esa base el protocolo se ordena en las fases sucesivas de la Tabla 33 y no como un conjunto abierto de ensayos.</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conjunto de métricas aplicables a cada corrida se fija antes de ejecutarla con las reglas de aplicabilidad de la sección 17.1.7.6. Las métricas temporales y las de seguimiento sólo se exigen cuando la evidencia disponible las habilita.</w:t>
      </w:r>
    </w:p>
    <w:p w:rsidR="00000000" w:rsidDel="00000000" w:rsidP="00000000" w:rsidRDefault="00000000" w:rsidRPr="00000000" w14:paraId="00000224">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banco de evaluación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obligatorias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t_G2A,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banco de evaluación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expresa dependencias entre fases y no un calendario. El orden y las fechas efectivas de ejecución se documentan en la implementación.</w:t>
      </w:r>
    </w:p>
    <w:p w:rsidR="00000000" w:rsidDel="00000000" w:rsidP="00000000" w:rsidRDefault="00000000" w:rsidRPr="00000000" w14:paraId="0000024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condicionada y no como un requisito para demostrar la viabilidad del enfoque. Adoptarla de antemano convertiría una hipótesis todavía no probada en un supuesto metodológico. La rama sólo se habilita cuando existe soporte de datos suficiente y la comparación puede sostenerse sin romper la integridad del protocolo. Sus condiciones de habilitación son de datos y de protocolo y no de disponibilidad de cómputo. El TN aporta el entrenamiento y el CPN conserva la referencia operativa.</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comparación se concentra como máximo en dos candidatos, Grounding DINO y YOLOE, que representan compromisos distintos entre expresividad semántica y eficiencia de inferencia (Liu et al., 2024; Wang et al., 2025). Cuál de ellos se ajusta depende de la factibilidad real de integración, exportación y ejecución sobre el CPN y no sólo de su rendimiento en benchmarks generales.</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ejecuta como una jornada experimental completa con criterios prerregistrados, una única línea base, márgenes fijados antes de evaluar y un veredicto determinado por reglas de aceptación declaradas de antemano. La Tabla 34 consolida esa regla de decisión.</w:t>
      </w:r>
    </w:p>
    <w:p w:rsidR="00000000" w:rsidDel="00000000" w:rsidP="00000000" w:rsidRDefault="00000000" w:rsidRPr="00000000" w14:paraId="000002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banco de evaluación.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 el ajuste donde puede producir evidencia útil y comparaciones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superar el margen fijado antes de evaluar y no mostrar sólo una ventaja marginal.</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F">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ajuste deba ejecutarse. Define cuándo vale la pena hacerlo sin distorsionar el objetivo principal del prototipo.</w:t>
      </w:r>
    </w:p>
    <w:p w:rsidR="00000000" w:rsidDel="00000000" w:rsidP="00000000" w:rsidRDefault="00000000" w:rsidRPr="00000000" w14:paraId="00000260">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protocolo se apoya en la minimización de datos y en el uso asistivo del sistema. Cuando el proyecto genera material propio para el EBE rigen salvaguardas de finalidad determinada, acceso restringido, retención acotada y ausencia de reconocimiento de identidad personal o tratamiento biométrico, en línea con los principios de la sección 16.6 y con el régimen argentino de protección de datos personales y videovigilancia (Argentina, 2000, 2015).</w:t>
      </w:r>
    </w:p>
    <w:p w:rsidR="00000000" w:rsidDel="00000000" w:rsidP="00000000" w:rsidRDefault="00000000" w:rsidRPr="00000000" w14:paraId="0000026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interpretación de los resultados descansa en cinco supuestos. El prototipo es un sistema asistivo y una alerta no equivale a una sanción ni a una determinación automática de incumplimiento normativo. La evaluabilidad de varias condiciones depende de variables que el detector no controla del todo, como la escala aparente, el ángulo de cámara, la oclusión o la iluminación. CR-06 presupone una parametrización espacial externa al prompt y no se evalúa como si el lenguaje por sí solo definiera la zona restringida. El EBE valida en entorno controlado o simulado y no en obra real.</w:t>
      </w:r>
    </w:p>
    <w:p w:rsidR="00000000" w:rsidDel="00000000" w:rsidP="00000000" w:rsidRDefault="00000000" w:rsidRPr="00000000" w14:paraId="00000263">
      <w:pPr>
        <w:spacing w:line="480" w:lineRule="auto"/>
        <w:ind w:left="0"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El quinto supuesto es que la disyunción entre datos de entrenamiento y banco de evaluación sólo es verificable sobre el ajuste propio del trabajo. Los modelos preentrenados de vocabulario abierto provienen de corpus de terceros no inspeccionables, de modo que no puede descartarse que imágenes del banco hayan participado de ese preentrenamiento. Es una condición estructural de toda evaluación de modelos preentrenados y no una particularidad de este protocolo. Por eso las cifras zero-shot se leen como una comparación entre combinaciones bajo condiciones idénticas y no como afirmaciones sobre generalización a material inédito. La Tabla 35 reúne los riesgos metodológicos y operativos que condicionan las instancias siguientes y la mitigación adoptada para cada uno.</w:t>
      </w:r>
    </w:p>
    <w:p w:rsidR="00000000" w:rsidDel="00000000" w:rsidP="00000000" w:rsidRDefault="00000000" w:rsidRPr="00000000" w14:paraId="000002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el diseño reducido de la sección 17.1.3.3, con la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 con registro explícito de finalidad y condiciones de captura.</w:t>
            </w:r>
          </w:p>
        </w:tc>
      </w:tr>
    </w:tbl>
    <w:p w:rsidR="00000000" w:rsidDel="00000000" w:rsidP="00000000" w:rsidRDefault="00000000" w:rsidRPr="00000000" w14:paraId="0000027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27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cierra con un protocolo experimental integrado y ajustado al alcance real del prototipo. El núcleo obligatorio queda en las condiciones de detección directa de Nivel 1, la comparación controlada en DBE se separa de la plausibilidad operativa en EBE, la estrategia de datos evita la filtración entre entrenamiento y evaluación, el framework de métricas se centra en el valor operativo de la alerta y una regla explícita decide cuándo habilitar o descartar la adaptación al dominio.</w:t>
      </w:r>
    </w:p>
    <w:p w:rsidR="00000000" w:rsidDel="00000000" w:rsidP="00000000" w:rsidRDefault="00000000" w:rsidRPr="00000000" w14:paraId="000002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instancias siguientes toman estas definiciones como referencia. El análisis y diseño arquitectónico las traduce en una organización técnica y la validación experimental produce resultados sobre las condiciones, los escenarios y las métricas fijadas, con la instrumentación de t_G2A y t_alert-system definida en la sección 17.1.7. En todos los casos debe declararse qué elementos del catálogo se implementaron, cuáles no aplicaron y cuáles permanecieron condicionados. Esa trazabilidad entre definición metodológica, diseño, implementación y validación es el principal resultado de esta parte del proyecto y sostiene su orientación central, que es evaluar si la detección open-vocabulary puede integrarse como herramienta asistiva para el monitoreo de condiciones de riesgo en construcción civil.</w:t>
      </w:r>
    </w:p>
    <w:p w:rsidR="00000000" w:rsidDel="00000000" w:rsidP="00000000" w:rsidRDefault="00000000" w:rsidRPr="00000000" w14:paraId="0000027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2D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2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sdt>
              <w:sdtPr>
                <w:id w:val="-1789140763"/>
                <w:tag w:val="goog_rdk_16"/>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sdt>
              <w:sdtPr>
                <w:id w:val="1848383598"/>
                <w:tag w:val="goog_rdk_17"/>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52262689"/>
                <w:tag w:val="goog_rdk_18"/>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0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30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Hitos y dominio de reloj declarados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 instrumentado, registro interno de alertas, event log del pipeline, bitácora de corrida y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episodio.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5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5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vPGlKpl9QY9ffsiRB0jI21kAg==">CgMxLjAaHwoBMBIaChgICVIUChJ0YWJsZS5scjNneDIyYXp5M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