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2"/>
      </w:pPr>
      <w:r>
        <w:t>14.4. Costos asociados al proyecto</w:t>
      </w:r>
    </w:p>
    <w:p>
      <w:pPr>
        <w:ind w:firstLine="720"/>
      </w:pPr>
      <w:r>
        <w:rPr/>
        <w:t>El proyecto se autofinancia con recursos de los integrantes y no requiere desembolsos significativos. Esa característica no es casual sino una consecuencia de tres decisiones de diseño. La plataforma se despliega en forma local sobre equipamiento propio, el cómputo intensivo de ajuste fino se deriva a un clúster institucional y toda la cadena de software se construye con componentes de código abierto y conjuntos de datos publicados bajo licencias abiertas.</w:t>
      </w:r>
    </w:p>
    <w:p>
      <w:pPr>
        <w:ind w:firstLine="720"/>
      </w:pPr>
      <w:r>
        <w:rPr/>
        <w:t>Los gastos previstos para la realización del trabajo, agrupados según las categorías que fija el formato institucional, son los siguientes.</w:t>
      </w:r>
    </w:p>
    <w:p>
      <w:pPr>
        <w:ind w:left="720" w:hanging="360"/>
      </w:pPr>
      <w:r>
        <w:rPr/>
        <w:t>•</w:t>
        <w:tab/>
      </w:r>
      <w:r>
        <w:rPr>
          <w:b/>
        </w:rPr>
        <w:t>Movilidad.</w:t>
      </w:r>
      <w:r>
        <w:rPr/>
        <w:t xml:space="preserve"> Un único traslado del equipo a las instalaciones de la empresa Steel Brox S.R.L., en la ciudad de Córdoba </w:t>
      </w:r>
      <w:r>
        <w:rPr>
          <w:highlight w:val="yellow"/>
        </w:rPr>
        <w:t>[confirmar sede]</w:t>
      </w:r>
      <w:r>
        <w:rPr/>
        <w:t>, para la jornada de captura de video con escenas guionadas. Las reuniones de tutoría no generan traslados adicionales.</w:t>
      </w:r>
    </w:p>
    <w:p>
      <w:pPr>
        <w:ind w:left="720" w:hanging="360"/>
      </w:pPr>
      <w:r>
        <w:rPr/>
        <w:t>•</w:t>
        <w:tab/>
      </w:r>
      <w:r>
        <w:rPr>
          <w:b/>
        </w:rPr>
        <w:t>Alquiler de servidores o VPS.</w:t>
      </w:r>
      <w:r>
        <w:rPr/>
        <w:t xml:space="preserve"> No se contrata. Los tres servicios de la plataforma corren en un mismo equipo local y el entrenamiento de modelos se ejecuta en el clúster Mendieta del Centro de Computación de Alto Desempeño de la Universidad Nacional de Córdoba, cuyo acceso es institucional y sin cargo.</w:t>
      </w:r>
    </w:p>
    <w:p>
      <w:pPr>
        <w:ind w:left="720" w:hanging="360"/>
      </w:pPr>
      <w:r>
        <w:rPr/>
        <w:t>•</w:t>
        <w:tab/>
      </w:r>
      <w:r>
        <w:rPr>
          <w:b/>
        </w:rPr>
        <w:t>Licencias de software.</w:t>
      </w:r>
      <w:r>
        <w:rPr/>
        <w:t xml:space="preserve"> Sin costo. El conjunto de herramientas de desarrollo, inferencia y despliegue es íntegramente de código abierto, y los conjuntos de datos se usan bajo licencias abiertas con atribución.</w:t>
      </w:r>
    </w:p>
    <w:p>
      <w:pPr>
        <w:ind w:left="720" w:hanging="360"/>
      </w:pPr>
      <w:r>
        <w:rPr/>
        <w:t>•</w:t>
        <w:tab/>
      </w:r>
      <w:r>
        <w:rPr>
          <w:b/>
        </w:rPr>
        <w:t>Suscripciones.</w:t>
      </w:r>
      <w:r>
        <w:rPr/>
        <w:t xml:space="preserve"> No se contratan servicios pagos. El control de versiones y el resguardo de la evidencia experimental usan los planes gratuitos de GitHub y Google Drive. </w:t>
      </w:r>
      <w:r>
        <w:rPr>
          <w:highlight w:val="yellow"/>
        </w:rPr>
        <w:t>[confirmar: ¿hubo planes pagos de asistentes de código con IA u otros servicios?]</w:t>
      </w:r>
    </w:p>
    <w:p>
      <w:pPr>
        <w:ind w:left="720" w:hanging="360"/>
      </w:pPr>
      <w:r>
        <w:rPr/>
        <w:t>•</w:t>
        <w:tab/>
      </w:r>
      <w:r>
        <w:rPr>
          <w:b/>
        </w:rPr>
        <w:t>Impresiones.</w:t>
      </w:r>
      <w:r>
        <w:rPr/>
        <w:t xml:space="preserve"> Sin costo. El informe y sus anexos se entregan en formato digital.</w:t>
      </w:r>
    </w:p>
    <w:p>
      <w:pPr>
        <w:ind w:left="720" w:hanging="360"/>
      </w:pPr>
      <w:r>
        <w:rPr/>
        <w:t>•</w:t>
        <w:tab/>
      </w:r>
      <w:r>
        <w:rPr>
          <w:b/>
        </w:rPr>
        <w:t>Consumibles del trabajo de campo.</w:t>
      </w:r>
      <w:r>
        <w:rPr/>
        <w:t xml:space="preserve"> Sin costo. El casco y el chaleco reflectivo empleados como utilería son prestados por la misma empresa que facilita el espacio de grabación, y la cámara de borde es prestada por el tutor.</w:t>
      </w:r>
    </w:p>
    <w:p>
      <w:pPr>
        <w:ind w:firstLine="720"/>
      </w:pPr>
      <w:r>
        <w:rPr/>
        <w:t>En consecuencia, el gasto efectivo previsto se reduce al combustible del traslado mencionado. La evaluación económica completa del proyecto, que valoriza además las horas de trabajo, el equipamiento aportado y el cómputo institucional, se desarrolla en la sección 17.2.</w:t>
      </w:r>
    </w:p>
    <w:p>
      <w:r>
        <w:br w:type="page"/>
      </w:r>
    </w:p>
    <w:p>
      <w:pPr>
        <w:pStyle w:val="Ttulo2"/>
      </w:pPr>
      <w:r>
        <w:t>17.2. Costos asociados</w:t>
      </w:r>
    </w:p>
    <w:p>
      <w:pPr>
        <w:pStyle w:val="Ttulo3"/>
      </w:pPr>
      <w:r>
        <w:t>17.2.1. Alcance y supuestos de la evaluación económica y financiera</w:t>
      </w:r>
    </w:p>
    <w:p>
      <w:pPr>
        <w:ind w:firstLine="720"/>
      </w:pPr>
      <w:r>
        <w:rPr/>
        <w:t>La sección anterior fija qué se mide y con qué infraestructura. Esta sección estima cuánto cuesta esa plataforma experimental, quién la financia y qué ahorros produce, antes de que la sección 17.3 desarrolle su diseño. La evaluación distingue dos magnitudes que conviene no mezclar. El gasto efectivo es el dinero que el proyecto desembolsa. El costo valorizado suma además los recursos que el proyecto usa sin pagarlos, ya sea porque preexisten, porque se prestan o porque los aporta una institución. La segunda magnitud es la que responde a la pregunta de cuánto costaría reproducir el trabajo desde cero, y por eso es la que se reporta como inversión.</w:t>
      </w:r>
    </w:p>
    <w:p>
      <w:pPr>
        <w:ind w:firstLine="720"/>
      </w:pPr>
      <w:r>
        <w:rPr/>
        <w:t>Los supuestos de la estimación son cuatro. El horizonte es la duración del proyecto, desde el inicio de la etapa de investigación el 31 de octubre de 2025 hasta la defensa prevista para fines de septiembre de 2026, unas 48 semanas frente a las 42 del cronograma original de la Figura 1. La moneda es el peso argentino, y los valores expresados en dólares se convierten al tipo de cambio oficial minorista de venta del Banco de la Nación Argentina del 10 de septiembre de 2026, de $1.535 por dólar. Los precios de referencia son precios de lista publicados por el fabricante o por su tienda oficial en la fecha indicada en cada tabla, sin fletes ni tributos de importación. Las horas de trabajo se valorizan a la mediana salarial bruta de un desarrollador junior en Argentina según la encuesta de sueldos 2026.01 de Sysarmy, de $1.538.500 mensuales, que sobre una base de 160 horas mensuales equivale a $9.616 por hora.</w:t>
      </w:r>
    </w:p>
    <w:p>
      <w:pPr>
        <w:ind w:firstLine="720"/>
      </w:pPr>
      <w:r>
        <w:rPr/>
        <w:t>No se calculan indicadores de rentabilidad como el valor actual neto o la tasa interna de retorno. El producto es un prototipo experimental sin flujo de ingresos, y el objetivo de esta sección es estimar costos e identificar fuentes de financiamiento y ahorros, no proyectar un negocio.</w:t>
      </w:r>
    </w:p>
    <w:p>
      <w:pPr>
        <w:pStyle w:val="Ttulo3"/>
      </w:pPr>
      <w:r>
        <w:t>17.2.2. Inversión inicial y equipamiento</w:t>
      </w:r>
    </w:p>
    <w:p>
      <w:pPr>
        <w:ind w:firstLine="720"/>
      </w:pPr>
      <w:r>
        <w:rPr/>
        <w:t>La plataforma corre sobre tres nodos cuyas especificaciones detalla el Anexo B. El nodo de procesamiento es una notebook de consumo preexistente, propiedad de uno de los integrantes. El nodo de borde es una cámara Luxonis OAK-D Pro PoE prestada por el tutor. El nodo de entrenamiento es el clúster institucional, que se trata en 17.2.4 por ser un costo de operación y no de inversión. La Tabla 12 reúne el equipamiento con su condición de uso, el gasto que el proyecto afronta y el valor de referencia que permite dimensionar el aporte.</w:t>
      </w:r>
    </w:p>
    <w:p>
      <w:pPr>
        <w:sectPr>
          <w:pgSz w:w="12240" w:h="15840"/>
          <w:pgMar w:top="1440" w:right="1440" w:bottom="1440" w:left="1440" w:header="720" w:footer="720" w:gutter="0"/>
          <w:cols w:space="720"/>
        </w:sectPr>
      </w:pPr>
    </w:p>
    <w:p>
      <w:pPr>
        <w:pStyle w:val="Descripcin"/>
        <w:keepNext/>
        <w:rPr>
          <w:i w:val="0"/>
          <w:iCs w:val="0"/>
        </w:rPr>
      </w:pPr>
      <w:r>
        <w:rPr>
          <w:i w:val="0"/>
        </w:rPr>
        <w:t xml:space="preserve">Tabla </w:t>
      </w:r>
      <w:r>
        <w:fldChar w:fldCharType="begin"/>
      </w:r>
      <w:r>
        <w:instrText xml:space="preserve"> SEQ Tabla \* ARABIC </w:instrText>
      </w:r>
      <w:r>
        <w:fldChar w:fldCharType="separate"/>
      </w:r>
      <w:r>
        <w:rPr>
          <w:i w:val="0"/>
        </w:rPr>
        <w:t>12</w:t>
      </w:r>
      <w:r>
        <w:fldChar w:fldCharType="end"/>
      </w:r>
    </w:p>
    <w:p>
      <w:pPr>
        <w:keepNext/>
      </w:pPr>
      <w:r>
        <w:rPr>
          <w:i/>
        </w:rPr>
        <w:t>Inversión inicial y equipamiento. Gasto efectivo y valor de referencia</w:t>
      </w:r>
    </w:p>
    <w:tbl>
      <w:tblPr>
        <w:tblW w:w="12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0"/>
        <w:gridCol w:w="2710"/>
        <w:gridCol w:w="1526"/>
        <w:gridCol w:w="1804"/>
        <w:gridCol w:w="3440"/>
      </w:tblGrid>
      <w:tr>
        <w:trPr>
          <w:tblHeader/>
          <w:cantSplit/>
        </w:trPr>
        <w:tc>
          <w:tcPr>
            <w:tcW w:type="dxa" w:w="3480"/>
            <w:tcBorders>
              <w:top w:val="single" w:sz="12" w:space="0" w:color="000000"/>
              <w:left w:val="nil"/>
              <w:right w:val="nil"/>
            </w:tcBorders>
            <w:tcMar>
              <w:top w:w="80" w:type="dxa"/>
              <w:bottom w:w="80" w:type="dxa"/>
            </w:tcMar>
          </w:tcPr>
          <w:p>
            <w:pPr>
              <w:spacing w:line="480" w:lineRule="auto"/>
            </w:pPr>
            <w:r>
              <w:rPr>
                <w:b/>
                <w:sz w:val="24"/>
                <w:szCs w:val="24"/>
              </w:rPr>
              <w:t>Ítem</w:t>
            </w:r>
          </w:p>
        </w:tc>
        <w:tc>
          <w:tcPr>
            <w:tcW w:type="dxa" w:w="2710"/>
            <w:tcBorders>
              <w:top w:val="single" w:sz="12" w:space="0" w:color="000000"/>
              <w:left w:val="nil"/>
              <w:right w:val="nil"/>
            </w:tcBorders>
            <w:tcMar>
              <w:top w:w="80" w:type="dxa"/>
              <w:bottom w:w="80" w:type="dxa"/>
            </w:tcMar>
          </w:tcPr>
          <w:p>
            <w:pPr>
              <w:spacing w:line="480" w:lineRule="auto"/>
            </w:pPr>
            <w:r>
              <w:rPr>
                <w:b/>
                <w:sz w:val="24"/>
                <w:szCs w:val="24"/>
              </w:rPr>
              <w:t>Condición</w:t>
            </w:r>
          </w:p>
        </w:tc>
        <w:tc>
          <w:tcPr>
            <w:tcW w:type="dxa" w:w="1526"/>
            <w:tcBorders>
              <w:top w:val="single" w:sz="12" w:space="0" w:color="000000"/>
              <w:left w:val="nil"/>
              <w:right w:val="nil"/>
            </w:tcBorders>
            <w:tcMar>
              <w:top w:w="80" w:type="dxa"/>
              <w:bottom w:w="80" w:type="dxa"/>
            </w:tcMar>
          </w:tcPr>
          <w:p>
            <w:pPr>
              <w:spacing w:line="480" w:lineRule="auto"/>
            </w:pPr>
            <w:r>
              <w:rPr>
                <w:b/>
                <w:sz w:val="24"/>
                <w:szCs w:val="24"/>
              </w:rPr>
              <w:t>Gasto efectivo (ARS)</w:t>
            </w:r>
          </w:p>
        </w:tc>
        <w:tc>
          <w:tcPr>
            <w:tcW w:type="dxa" w:w="1804"/>
            <w:tcBorders>
              <w:top w:val="single" w:sz="12" w:space="0" w:color="000000"/>
              <w:left w:val="nil"/>
              <w:right w:val="nil"/>
            </w:tcBorders>
            <w:tcMar>
              <w:top w:w="80" w:type="dxa"/>
              <w:bottom w:w="80" w:type="dxa"/>
            </w:tcMar>
          </w:tcPr>
          <w:p>
            <w:pPr>
              <w:spacing w:line="480" w:lineRule="auto"/>
            </w:pPr>
            <w:r>
              <w:rPr>
                <w:b/>
                <w:sz w:val="24"/>
                <w:szCs w:val="24"/>
              </w:rPr>
              <w:t>Valor de referencia (ARS)</w:t>
            </w:r>
          </w:p>
        </w:tc>
        <w:tc>
          <w:tcPr>
            <w:tcW w:type="dxa" w:w="3440"/>
            <w:tcBorders>
              <w:top w:val="single" w:sz="12" w:space="0" w:color="000000"/>
              <w:left w:val="nil"/>
              <w:right w:val="nil"/>
            </w:tcBorders>
            <w:tcMar>
              <w:top w:w="80" w:type="dxa"/>
              <w:bottom w:w="80" w:type="dxa"/>
            </w:tcMar>
          </w:tcPr>
          <w:p>
            <w:pPr>
              <w:spacing w:line="480" w:lineRule="auto"/>
            </w:pPr>
            <w:r>
              <w:rPr>
                <w:b/>
                <w:sz w:val="24"/>
                <w:szCs w:val="24"/>
              </w:rPr>
              <w:t>Fuente del valor de referencia</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Nodo de procesamiento. Notebook HP Victus 15-fb2024la (Ryzen 5 8645HS, RTX 4060 Laptop 8 GB, SSD 1 TB)</w:t>
            </w:r>
          </w:p>
        </w:tc>
        <w:tc>
          <w:tcPr>
            <w:tcW w:type="dxa" w:w="2710"/>
            <w:tcBorders>
              <w:left w:val="nil"/>
              <w:right w:val="nil"/>
              <w:bottom w:val="nil"/>
            </w:tcBorders>
            <w:tcMar>
              <w:top w:w="80" w:type="dxa"/>
              <w:bottom w:w="80" w:type="dxa"/>
            </w:tcMar>
          </w:tcPr>
          <w:p>
            <w:pPr>
              <w:spacing w:line="480" w:lineRule="auto"/>
            </w:pPr>
            <w:r>
              <w:rPr>
                <w:sz w:val="24"/>
                <w:szCs w:val="24"/>
              </w:rPr>
              <w:t>Preexistente, propiedad de un integrante</w:t>
            </w:r>
          </w:p>
        </w:tc>
        <w:tc>
          <w:tcPr>
            <w:tcW w:type="dxa" w:w="1526"/>
            <w:tcBorders>
              <w:left w:val="nil"/>
              <w:right w:val="nil"/>
              <w:bottom w:val="nil"/>
            </w:tcBorders>
            <w:tcMar>
              <w:top w:w="80" w:type="dxa"/>
              <w:bottom w:w="80" w:type="dxa"/>
            </w:tcMar>
          </w:tcPr>
          <w:p>
            <w:pPr>
              <w:spacing w:line="480" w:lineRule="auto"/>
            </w:pPr>
            <w:r>
              <w:rPr>
                <w:sz w:val="24"/>
                <w:szCs w:val="24"/>
              </w:rPr>
              <w:t>0</w:t>
            </w:r>
          </w:p>
        </w:tc>
        <w:tc>
          <w:tcPr>
            <w:tcW w:type="dxa" w:w="1804"/>
            <w:tcBorders>
              <w:left w:val="nil"/>
              <w:right w:val="nil"/>
              <w:bottom w:val="nil"/>
            </w:tcBorders>
            <w:tcMar>
              <w:top w:w="80" w:type="dxa"/>
              <w:bottom w:w="80" w:type="dxa"/>
            </w:tcMar>
          </w:tcPr>
          <w:p>
            <w:pPr>
              <w:spacing w:line="480" w:lineRule="auto"/>
            </w:pPr>
            <w:r>
              <w:rPr>
                <w:sz w:val="24"/>
                <w:szCs w:val="24"/>
              </w:rPr>
              <w:t>2.719.999</w:t>
            </w:r>
          </w:p>
        </w:tc>
        <w:tc>
          <w:tcPr>
            <w:tcW w:type="dxa" w:w="3440"/>
            <w:tcBorders>
              <w:left w:val="nil"/>
              <w:right w:val="nil"/>
              <w:bottom w:val="nil"/>
            </w:tcBorders>
            <w:tcMar>
              <w:top w:w="80" w:type="dxa"/>
              <w:bottom w:w="80" w:type="dxa"/>
            </w:tcMar>
          </w:tcPr>
          <w:p>
            <w:pPr>
              <w:spacing w:line="480" w:lineRule="auto"/>
            </w:pPr>
            <w:r>
              <w:rPr>
                <w:sz w:val="24"/>
                <w:szCs w:val="24"/>
              </w:rPr>
              <w:t>Tienda oficial HP Argentina, precio con IVA (HP Inc., 2026)</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Ampliación de memoria a 32 GB DDR5 (2 × 16 GB)</w:t>
            </w:r>
          </w:p>
        </w:tc>
        <w:tc>
          <w:tcPr>
            <w:tcW w:type="dxa" w:w="2710"/>
            <w:tcBorders>
              <w:left w:val="nil"/>
              <w:right w:val="nil"/>
              <w:bottom w:val="nil"/>
            </w:tcBorders>
            <w:tcMar>
              <w:top w:w="80" w:type="dxa"/>
              <w:bottom w:w="80" w:type="dxa"/>
            </w:tcMar>
          </w:tcPr>
          <w:p>
            <w:pPr>
              <w:spacing w:line="480" w:lineRule="auto"/>
            </w:pPr>
            <w:r>
              <w:rPr>
                <w:highlight w:val="yellow"/>
                <w:sz w:val="24"/>
                <w:szCs w:val="24"/>
              </w:rPr>
              <w:t>[confirmar si se adquirió para el proyecto]</w:t>
            </w:r>
          </w:p>
        </w:tc>
        <w:tc>
          <w:tcPr>
            <w:tcW w:type="dxa" w:w="1526"/>
            <w:tcBorders>
              <w:left w:val="nil"/>
              <w:right w:val="nil"/>
              <w:bottom w:val="nil"/>
            </w:tcBorders>
            <w:tcMar>
              <w:top w:w="80" w:type="dxa"/>
              <w:bottom w:w="80" w:type="dxa"/>
            </w:tcMar>
          </w:tcPr>
          <w:p>
            <w:pPr>
              <w:spacing w:line="480" w:lineRule="auto"/>
            </w:pPr>
            <w:r>
              <w:rPr>
                <w:highlight w:val="yellow"/>
                <w:sz w:val="24"/>
                <w:szCs w:val="24"/>
              </w:rPr>
              <w:t>[confirmar]</w:t>
            </w:r>
          </w:p>
        </w:tc>
        <w:tc>
          <w:tcPr>
            <w:tcW w:type="dxa" w:w="1804"/>
            <w:tcBorders>
              <w:left w:val="nil"/>
              <w:right w:val="nil"/>
              <w:bottom w:val="nil"/>
            </w:tcBorders>
            <w:tcMar>
              <w:top w:w="80" w:type="dxa"/>
              <w:bottom w:w="80" w:type="dxa"/>
            </w:tcMar>
          </w:tcPr>
          <w:p>
            <w:pPr>
              <w:spacing w:line="480" w:lineRule="auto"/>
            </w:pPr>
            <w:r>
              <w:rPr>
                <w:highlight w:val="yellow"/>
                <w:sz w:val="24"/>
                <w:szCs w:val="24"/>
              </w:rPr>
              <w:t>[confirmar]</w:t>
            </w:r>
          </w:p>
        </w:tc>
        <w:tc>
          <w:tcPr>
            <w:tcW w:type="dxa" w:w="3440"/>
            <w:tcBorders>
              <w:left w:val="nil"/>
              <w:right w:val="nil"/>
              <w:bottom w:val="nil"/>
            </w:tcBorders>
            <w:tcMar>
              <w:top w:w="80" w:type="dxa"/>
              <w:bottom w:w="80" w:type="dxa"/>
            </w:tcMar>
          </w:tcPr>
          <w:p>
            <w:pPr>
              <w:spacing w:line="480" w:lineRule="auto"/>
            </w:pPr>
            <w:r>
              <w:rPr>
                <w:sz w:val="24"/>
                <w:szCs w:val="24"/>
              </w:rPr>
              <w:t>—</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Nodo de borde. Cámara Luxonis OAK-D Pro PoE (Series 2)</w:t>
            </w:r>
          </w:p>
        </w:tc>
        <w:tc>
          <w:tcPr>
            <w:tcW w:type="dxa" w:w="2710"/>
            <w:tcBorders>
              <w:left w:val="nil"/>
              <w:right w:val="nil"/>
              <w:bottom w:val="nil"/>
            </w:tcBorders>
            <w:tcMar>
              <w:top w:w="80" w:type="dxa"/>
              <w:bottom w:w="80" w:type="dxa"/>
            </w:tcMar>
          </w:tcPr>
          <w:p>
            <w:pPr>
              <w:spacing w:line="480" w:lineRule="auto"/>
            </w:pPr>
            <w:r>
              <w:rPr>
                <w:sz w:val="24"/>
                <w:szCs w:val="24"/>
              </w:rPr>
              <w:t>Prestada por el tutor</w:t>
            </w:r>
          </w:p>
        </w:tc>
        <w:tc>
          <w:tcPr>
            <w:tcW w:type="dxa" w:w="1526"/>
            <w:tcBorders>
              <w:left w:val="nil"/>
              <w:right w:val="nil"/>
              <w:bottom w:val="nil"/>
            </w:tcBorders>
            <w:tcMar>
              <w:top w:w="80" w:type="dxa"/>
              <w:bottom w:w="80" w:type="dxa"/>
            </w:tcMar>
          </w:tcPr>
          <w:p>
            <w:pPr>
              <w:spacing w:line="480" w:lineRule="auto"/>
            </w:pPr>
            <w:r>
              <w:rPr>
                <w:sz w:val="24"/>
                <w:szCs w:val="24"/>
              </w:rPr>
              <w:t>0</w:t>
            </w:r>
          </w:p>
        </w:tc>
        <w:tc>
          <w:tcPr>
            <w:tcW w:type="dxa" w:w="1804"/>
            <w:tcBorders>
              <w:left w:val="nil"/>
              <w:right w:val="nil"/>
              <w:bottom w:val="nil"/>
            </w:tcBorders>
            <w:tcMar>
              <w:top w:w="80" w:type="dxa"/>
              <w:bottom w:w="80" w:type="dxa"/>
            </w:tcMar>
          </w:tcPr>
          <w:p>
            <w:pPr>
              <w:spacing w:line="480" w:lineRule="auto"/>
            </w:pPr>
            <w:r>
              <w:rPr>
                <w:sz w:val="24"/>
                <w:szCs w:val="24"/>
              </w:rPr>
              <w:t>888.765</w:t>
            </w:r>
          </w:p>
        </w:tc>
        <w:tc>
          <w:tcPr>
            <w:tcW w:type="dxa" w:w="3440"/>
            <w:tcBorders>
              <w:left w:val="nil"/>
              <w:right w:val="nil"/>
              <w:bottom w:val="nil"/>
            </w:tcBorders>
            <w:tcMar>
              <w:top w:w="80" w:type="dxa"/>
              <w:bottom w:w="80" w:type="dxa"/>
            </w:tcMar>
          </w:tcPr>
          <w:p>
            <w:pPr>
              <w:spacing w:line="480" w:lineRule="auto"/>
            </w:pPr>
            <w:r>
              <w:rPr>
                <w:sz w:val="24"/>
                <w:szCs w:val="24"/>
              </w:rPr>
              <w:t>Tienda oficial Luxonis, US$ 579 (Luxonis, 2026)</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Cable Ethernet M12/RJ45 de la cámara</w:t>
            </w:r>
          </w:p>
        </w:tc>
        <w:tc>
          <w:tcPr>
            <w:tcW w:type="dxa" w:w="2710"/>
            <w:tcBorders>
              <w:left w:val="nil"/>
              <w:right w:val="nil"/>
              <w:bottom w:val="nil"/>
            </w:tcBorders>
            <w:tcMar>
              <w:top w:w="80" w:type="dxa"/>
              <w:bottom w:w="80" w:type="dxa"/>
            </w:tcMar>
          </w:tcPr>
          <w:p>
            <w:pPr>
              <w:spacing w:line="480" w:lineRule="auto"/>
            </w:pPr>
            <w:r>
              <w:rPr>
                <w:sz w:val="24"/>
                <w:szCs w:val="24"/>
              </w:rPr>
              <w:t xml:space="preserve">Prestado con la cámara </w:t>
            </w:r>
            <w:r>
              <w:rPr>
                <w:highlight w:val="yellow"/>
                <w:sz w:val="24"/>
                <w:szCs w:val="24"/>
              </w:rPr>
              <w:t>[confirmar]</w:t>
            </w:r>
          </w:p>
        </w:tc>
        <w:tc>
          <w:tcPr>
            <w:tcW w:type="dxa" w:w="1526"/>
            <w:tcBorders>
              <w:left w:val="nil"/>
              <w:right w:val="nil"/>
              <w:bottom w:val="nil"/>
            </w:tcBorders>
            <w:tcMar>
              <w:top w:w="80" w:type="dxa"/>
              <w:bottom w:w="80" w:type="dxa"/>
            </w:tcMar>
          </w:tcPr>
          <w:p>
            <w:pPr>
              <w:spacing w:line="480" w:lineRule="auto"/>
            </w:pPr>
            <w:r>
              <w:rPr>
                <w:sz w:val="24"/>
                <w:szCs w:val="24"/>
              </w:rPr>
              <w:t>0</w:t>
            </w:r>
          </w:p>
        </w:tc>
        <w:tc>
          <w:tcPr>
            <w:tcW w:type="dxa" w:w="1804"/>
            <w:tcBorders>
              <w:left w:val="nil"/>
              <w:right w:val="nil"/>
              <w:bottom w:val="nil"/>
            </w:tcBorders>
            <w:tcMar>
              <w:top w:w="80" w:type="dxa"/>
              <w:bottom w:w="80" w:type="dxa"/>
            </w:tcMar>
          </w:tcPr>
          <w:p>
            <w:pPr>
              <w:spacing w:line="480" w:lineRule="auto"/>
            </w:pPr>
            <w:r>
              <w:rPr>
                <w:sz w:val="24"/>
                <w:szCs w:val="24"/>
              </w:rPr>
              <w:t>38.360</w:t>
            </w:r>
          </w:p>
        </w:tc>
        <w:tc>
          <w:tcPr>
            <w:tcW w:type="dxa" w:w="3440"/>
            <w:tcBorders>
              <w:left w:val="nil"/>
              <w:right w:val="nil"/>
              <w:bottom w:val="nil"/>
            </w:tcBorders>
            <w:tcMar>
              <w:top w:w="80" w:type="dxa"/>
              <w:bottom w:w="80" w:type="dxa"/>
            </w:tcMar>
          </w:tcPr>
          <w:p>
            <w:pPr>
              <w:spacing w:line="480" w:lineRule="auto"/>
            </w:pPr>
            <w:r>
              <w:rPr>
                <w:sz w:val="24"/>
                <w:szCs w:val="24"/>
              </w:rPr>
              <w:t>Tienda oficial Luxonis, US$ 24,99 (Luxonis, 2026)</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Switch PoE gigabit</w:t>
            </w:r>
          </w:p>
        </w:tc>
        <w:tc>
          <w:tcPr>
            <w:tcW w:type="dxa" w:w="2710"/>
            <w:tcBorders>
              <w:left w:val="nil"/>
              <w:right w:val="nil"/>
              <w:bottom w:val="nil"/>
            </w:tcBorders>
            <w:tcMar>
              <w:top w:w="80" w:type="dxa"/>
              <w:bottom w:w="80" w:type="dxa"/>
            </w:tcMar>
          </w:tcPr>
          <w:p>
            <w:pPr>
              <w:spacing w:line="480" w:lineRule="auto"/>
            </w:pPr>
            <w:r>
              <w:rPr>
                <w:sz w:val="24"/>
                <w:szCs w:val="24"/>
              </w:rPr>
              <w:t xml:space="preserve">Preexistente </w:t>
            </w:r>
            <w:r>
              <w:rPr>
                <w:highlight w:val="yellow"/>
                <w:sz w:val="24"/>
                <w:szCs w:val="24"/>
              </w:rPr>
              <w:t>[confirmar propietario]</w:t>
            </w:r>
          </w:p>
        </w:tc>
        <w:tc>
          <w:tcPr>
            <w:tcW w:type="dxa" w:w="1526"/>
            <w:tcBorders>
              <w:left w:val="nil"/>
              <w:right w:val="nil"/>
              <w:bottom w:val="nil"/>
            </w:tcBorders>
            <w:tcMar>
              <w:top w:w="80" w:type="dxa"/>
              <w:bottom w:w="80" w:type="dxa"/>
            </w:tcMar>
          </w:tcPr>
          <w:p>
            <w:pPr>
              <w:spacing w:line="480" w:lineRule="auto"/>
            </w:pPr>
            <w:r>
              <w:rPr>
                <w:sz w:val="24"/>
                <w:szCs w:val="24"/>
              </w:rPr>
              <w:t>0</w:t>
            </w:r>
          </w:p>
        </w:tc>
        <w:tc>
          <w:tcPr>
            <w:tcW w:type="dxa" w:w="1804"/>
            <w:tcBorders>
              <w:left w:val="nil"/>
              <w:right w:val="nil"/>
              <w:bottom w:val="nil"/>
            </w:tcBorders>
            <w:tcMar>
              <w:top w:w="80" w:type="dxa"/>
              <w:bottom w:w="80" w:type="dxa"/>
            </w:tcMar>
          </w:tcPr>
          <w:p>
            <w:pPr>
              <w:spacing w:line="480" w:lineRule="auto"/>
            </w:pPr>
            <w:r>
              <w:rPr>
                <w:sz w:val="24"/>
                <w:szCs w:val="24"/>
              </w:rPr>
              <w:t>No imputado</w:t>
            </w:r>
          </w:p>
        </w:tc>
        <w:tc>
          <w:tcPr>
            <w:tcW w:type="dxa" w:w="3440"/>
            <w:tcBorders>
              <w:left w:val="nil"/>
              <w:right w:val="nil"/>
              <w:bottom w:val="nil"/>
            </w:tcBorders>
            <w:tcMar>
              <w:top w:w="80" w:type="dxa"/>
              <w:bottom w:w="80" w:type="dxa"/>
            </w:tcMar>
          </w:tcPr>
          <w:p>
            <w:pPr>
              <w:spacing w:line="480" w:lineRule="auto"/>
            </w:pPr>
            <w:r>
              <w:rPr>
                <w:sz w:val="24"/>
                <w:szCs w:val="24"/>
              </w:rPr>
              <w:t>—</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Cámara IP RTSP con grabador (DVR)</w:t>
            </w:r>
          </w:p>
        </w:tc>
        <w:tc>
          <w:tcPr>
            <w:tcW w:type="dxa" w:w="2710"/>
            <w:tcBorders>
              <w:left w:val="nil"/>
              <w:right w:val="nil"/>
              <w:bottom w:val="nil"/>
            </w:tcBorders>
            <w:tcMar>
              <w:top w:w="80" w:type="dxa"/>
              <w:bottom w:w="80" w:type="dxa"/>
            </w:tcMar>
          </w:tcPr>
          <w:p>
            <w:pPr>
              <w:spacing w:line="480" w:lineRule="auto"/>
            </w:pPr>
            <w:r>
              <w:rPr>
                <w:sz w:val="24"/>
                <w:szCs w:val="24"/>
              </w:rPr>
              <w:t>Preexistente, propiedad de un integrante</w:t>
            </w:r>
          </w:p>
        </w:tc>
        <w:tc>
          <w:tcPr>
            <w:tcW w:type="dxa" w:w="1526"/>
            <w:tcBorders>
              <w:left w:val="nil"/>
              <w:right w:val="nil"/>
              <w:bottom w:val="nil"/>
            </w:tcBorders>
            <w:tcMar>
              <w:top w:w="80" w:type="dxa"/>
              <w:bottom w:w="80" w:type="dxa"/>
            </w:tcMar>
          </w:tcPr>
          <w:p>
            <w:pPr>
              <w:spacing w:line="480" w:lineRule="auto"/>
            </w:pPr>
            <w:r>
              <w:rPr>
                <w:sz w:val="24"/>
                <w:szCs w:val="24"/>
              </w:rPr>
              <w:t>0</w:t>
            </w:r>
          </w:p>
        </w:tc>
        <w:tc>
          <w:tcPr>
            <w:tcW w:type="dxa" w:w="1804"/>
            <w:tcBorders>
              <w:left w:val="nil"/>
              <w:right w:val="nil"/>
              <w:bottom w:val="nil"/>
            </w:tcBorders>
            <w:tcMar>
              <w:top w:w="80" w:type="dxa"/>
              <w:bottom w:w="80" w:type="dxa"/>
            </w:tcMar>
          </w:tcPr>
          <w:p>
            <w:pPr>
              <w:spacing w:line="480" w:lineRule="auto"/>
            </w:pPr>
            <w:r>
              <w:rPr>
                <w:sz w:val="24"/>
                <w:szCs w:val="24"/>
              </w:rPr>
              <w:t>No imputado</w:t>
            </w:r>
          </w:p>
        </w:tc>
        <w:tc>
          <w:tcPr>
            <w:tcW w:type="dxa" w:w="3440"/>
            <w:tcBorders>
              <w:left w:val="nil"/>
              <w:right w:val="nil"/>
              <w:bottom w:val="nil"/>
            </w:tcBorders>
            <w:tcMar>
              <w:top w:w="80" w:type="dxa"/>
              <w:bottom w:w="80" w:type="dxa"/>
            </w:tcMar>
          </w:tcPr>
          <w:p>
            <w:pPr>
              <w:spacing w:line="480" w:lineRule="auto"/>
            </w:pPr>
            <w:r>
              <w:rPr>
                <w:sz w:val="24"/>
                <w:szCs w:val="24"/>
              </w:rPr>
              <w:t>Equipo de uso doméstico previo</w:t>
            </w:r>
          </w:p>
        </w:tc>
      </w:tr>
      <w:tr>
        <w:trPr>
          <w:cantSplit/>
        </w:trPr>
        <w:tc>
          <w:tcPr>
            <w:tcW w:type="dxa" w:w="3480"/>
            <w:tcBorders>
              <w:left w:val="nil"/>
              <w:right w:val="nil"/>
              <w:bottom w:val="nil"/>
            </w:tcBorders>
            <w:tcMar>
              <w:top w:w="80" w:type="dxa"/>
              <w:bottom w:w="80" w:type="dxa"/>
            </w:tcMar>
          </w:tcPr>
          <w:p>
            <w:pPr>
              <w:spacing w:line="480" w:lineRule="auto"/>
            </w:pPr>
            <w:r>
              <w:rPr>
                <w:sz w:val="24"/>
                <w:szCs w:val="24"/>
              </w:rPr>
              <w:t>Casco y chaleco reflectivo (utilería del rodaje)</w:t>
            </w:r>
          </w:p>
        </w:tc>
        <w:tc>
          <w:tcPr>
            <w:tcW w:type="dxa" w:w="2710"/>
            <w:tcBorders>
              <w:left w:val="nil"/>
              <w:right w:val="nil"/>
              <w:bottom w:val="nil"/>
            </w:tcBorders>
            <w:tcMar>
              <w:top w:w="80" w:type="dxa"/>
              <w:bottom w:w="80" w:type="dxa"/>
            </w:tcMar>
          </w:tcPr>
          <w:p>
            <w:pPr>
              <w:spacing w:line="480" w:lineRule="auto"/>
            </w:pPr>
            <w:r>
              <w:rPr>
                <w:sz w:val="24"/>
                <w:szCs w:val="24"/>
              </w:rPr>
              <w:t>Prestados por Steel Brox S.R.L.</w:t>
            </w:r>
          </w:p>
        </w:tc>
        <w:tc>
          <w:tcPr>
            <w:tcW w:type="dxa" w:w="1526"/>
            <w:tcBorders>
              <w:left w:val="nil"/>
              <w:right w:val="nil"/>
              <w:bottom w:val="nil"/>
            </w:tcBorders>
            <w:tcMar>
              <w:top w:w="80" w:type="dxa"/>
              <w:bottom w:w="80" w:type="dxa"/>
            </w:tcMar>
          </w:tcPr>
          <w:p>
            <w:pPr>
              <w:spacing w:line="480" w:lineRule="auto"/>
            </w:pPr>
            <w:r>
              <w:rPr>
                <w:sz w:val="24"/>
                <w:szCs w:val="24"/>
              </w:rPr>
              <w:t>0</w:t>
            </w:r>
          </w:p>
        </w:tc>
        <w:tc>
          <w:tcPr>
            <w:tcW w:type="dxa" w:w="1804"/>
            <w:tcBorders>
              <w:left w:val="nil"/>
              <w:right w:val="nil"/>
              <w:bottom w:val="nil"/>
            </w:tcBorders>
            <w:tcMar>
              <w:top w:w="80" w:type="dxa"/>
              <w:bottom w:w="80" w:type="dxa"/>
            </w:tcMar>
          </w:tcPr>
          <w:p>
            <w:pPr>
              <w:spacing w:line="480" w:lineRule="auto"/>
            </w:pPr>
            <w:r>
              <w:rPr>
                <w:sz w:val="24"/>
                <w:szCs w:val="24"/>
              </w:rPr>
              <w:t>No imputado</w:t>
            </w:r>
          </w:p>
        </w:tc>
        <w:tc>
          <w:tcPr>
            <w:tcW w:type="dxa" w:w="3440"/>
            <w:tcBorders>
              <w:left w:val="nil"/>
              <w:right w:val="nil"/>
              <w:bottom w:val="nil"/>
            </w:tcBorders>
            <w:tcMar>
              <w:top w:w="80" w:type="dxa"/>
              <w:bottom w:w="80" w:type="dxa"/>
            </w:tcMar>
          </w:tcPr>
          <w:p>
            <w:pPr>
              <w:spacing w:line="480" w:lineRule="auto"/>
            </w:pPr>
            <w:r>
              <w:rPr>
                <w:sz w:val="24"/>
                <w:szCs w:val="24"/>
              </w:rPr>
              <w:t>—</w:t>
            </w:r>
          </w:p>
        </w:tc>
      </w:tr>
      <w:tr>
        <w:trPr>
          <w:cantSplit/>
        </w:trPr>
        <w:tc>
          <w:tcPr>
            <w:tcW w:type="dxa" w:w="3480"/>
            <w:tcBorders>
              <w:left w:val="nil"/>
              <w:right w:val="nil"/>
            </w:tcBorders>
            <w:tcMar>
              <w:top w:w="80" w:type="dxa"/>
              <w:bottom w:w="80" w:type="dxa"/>
            </w:tcMar>
          </w:tcPr>
          <w:p>
            <w:pPr>
              <w:spacing w:line="480" w:lineRule="auto"/>
            </w:pPr>
            <w:r>
              <w:rPr>
                <w:b/>
                <w:sz w:val="24"/>
                <w:szCs w:val="24"/>
              </w:rPr>
              <w:t>Total</w:t>
            </w:r>
          </w:p>
        </w:tc>
        <w:tc>
          <w:tcPr>
            <w:tcW w:type="dxa" w:w="2710"/>
            <w:tcBorders>
              <w:left w:val="nil"/>
              <w:right w:val="nil"/>
            </w:tcBorders>
            <w:tcMar>
              <w:top w:w="80" w:type="dxa"/>
              <w:bottom w:w="80" w:type="dxa"/>
            </w:tcMar>
          </w:tcPr>
          <w:p>
            <w:pPr>
              <w:spacing w:line="480" w:lineRule="auto"/>
            </w:pPr>
          </w:p>
        </w:tc>
        <w:tc>
          <w:tcPr>
            <w:tcW w:type="dxa" w:w="1526"/>
            <w:tcBorders>
              <w:left w:val="nil"/>
              <w:right w:val="nil"/>
            </w:tcBorders>
            <w:tcMar>
              <w:top w:w="80" w:type="dxa"/>
              <w:bottom w:w="80" w:type="dxa"/>
            </w:tcMar>
          </w:tcPr>
          <w:p>
            <w:pPr>
              <w:spacing w:line="480" w:lineRule="auto"/>
            </w:pPr>
            <w:r>
              <w:rPr>
                <w:b/>
                <w:sz w:val="24"/>
                <w:szCs w:val="24"/>
              </w:rPr>
              <w:t>0</w:t>
            </w:r>
          </w:p>
        </w:tc>
        <w:tc>
          <w:tcPr>
            <w:tcW w:type="dxa" w:w="1804"/>
            <w:tcBorders>
              <w:left w:val="nil"/>
              <w:right w:val="nil"/>
            </w:tcBorders>
            <w:tcMar>
              <w:top w:w="80" w:type="dxa"/>
              <w:bottom w:w="80" w:type="dxa"/>
            </w:tcMar>
          </w:tcPr>
          <w:p>
            <w:pPr>
              <w:spacing w:line="480" w:lineRule="auto"/>
            </w:pPr>
            <w:r>
              <w:rPr>
                <w:b/>
                <w:sz w:val="24"/>
                <w:szCs w:val="24"/>
              </w:rPr>
              <w:t>3.647.124</w:t>
            </w:r>
          </w:p>
        </w:tc>
        <w:tc>
          <w:tcPr>
            <w:tcW w:type="dxa" w:w="3440"/>
            <w:tcBorders>
              <w:left w:val="nil"/>
              <w:right w:val="nil"/>
            </w:tcBorders>
            <w:tcMar>
              <w:top w:w="80" w:type="dxa"/>
              <w:bottom w:w="80" w:type="dxa"/>
            </w:tcMar>
          </w:tcPr>
          <w:p>
            <w:pPr>
              <w:spacing w:line="480" w:lineRule="auto"/>
            </w:pPr>
          </w:p>
        </w:tc>
      </w:tr>
    </w:tbl>
    <w:p>
      <w:r>
        <w:rPr>
          <w:b/>
          <w:i/>
        </w:rPr>
        <w:t>Nota</w:t>
      </w:r>
      <w:r>
        <w:rPr>
          <w:i/>
        </w:rPr>
        <w:t xml:space="preserve">. </w:t>
      </w:r>
      <w:r>
        <w:rPr/>
        <w:t>Los valores de referencia son precios de lista al 10 de septiembre de 2026, convertidos al tipo de cambio oficial minorista de venta del Banco de la Nación Argentina de esa fecha ($1.535 por dólar). No incluyen fletes ni tributos de importación. "No imputado" señala un bien preexistente de uso doméstico o de bajo valor cuyo precio de mercado no altera el orden de magnitud del total.</w:t>
      </w:r>
    </w:p>
    <w:p>
      <w:pPr>
        <w:sectPr>
          <w:pgSz w:w="15840" w:h="12240" w:orient="landscape"/>
          <w:pgMar w:top="1440" w:right="1440" w:bottom="1440" w:left="1440" w:header="720" w:footer="720" w:gutter="0"/>
          <w:cols w:space="720"/>
        </w:sectPr>
      </w:pPr>
    </w:p>
    <w:p>
      <w:pPr>
        <w:ind w:firstLine="720"/>
      </w:pPr>
      <w:r>
        <w:rPr/>
        <w:t>La inversión efectiva del proyecto en equipamiento es nula. El valor de referencia del equipamiento aportado asciende a $3.647.124, y la notebook representa tres cuartas partes de ese monto. Esta relación anticipa el resultado de 17.2.5. El costo de una unidad mínima de despliegue está dominado por un único equipo de consumo, sin hardware especializado.</w:t>
      </w:r>
    </w:p>
    <w:p>
      <w:pPr>
        <w:pStyle w:val="Ttulo3"/>
      </w:pPr>
      <w:r>
        <w:t>17.2.3. Recursos humanos</w:t>
      </w:r>
    </w:p>
    <w:p>
      <w:pPr>
        <w:ind w:firstLine="720"/>
      </w:pPr>
      <w:r>
        <w:rPr/>
        <w:t>El equipo lo integran tres estudiantes con una dedicación aproximada de ocho horas semanales cada uno, sostenida a lo largo de todo el proyecto, más la dirección académica del tutor. La Tabla 13 compara las horas previstas por el cronograma original con las efectivamente dedicadas hasta la defensa y las valoriza a la tarifa de referencia declarada en 17.2.1. El trabajo no se remunera. La valorización expresa el costo que tendría el mismo esfuerzo contratado en el mercado, y es el componente dominante del costo total del proyecto.</w:t>
      </w:r>
    </w:p>
    <w:p>
      <w:pPr>
        <w:sectPr>
          <w:pgSz w:w="12240" w:h="15840"/>
          <w:pgMar w:top="1440" w:right="1440" w:bottom="1440" w:left="1440" w:header="720" w:footer="720" w:gutter="0"/>
          <w:cols w:space="720"/>
        </w:sectPr>
      </w:pPr>
    </w:p>
    <w:p>
      <w:pPr>
        <w:pStyle w:val="Descripcin"/>
        <w:keepNext/>
        <w:rPr>
          <w:i w:val="0"/>
          <w:iCs w:val="0"/>
        </w:rPr>
      </w:pPr>
      <w:r>
        <w:rPr>
          <w:i w:val="0"/>
        </w:rPr>
        <w:t xml:space="preserve">Tabla </w:t>
      </w:r>
      <w:r>
        <w:fldChar w:fldCharType="begin"/>
      </w:r>
      <w:r>
        <w:instrText xml:space="preserve"> SEQ Tabla \* ARABIC </w:instrText>
      </w:r>
      <w:r>
        <w:fldChar w:fldCharType="separate"/>
      </w:r>
      <w:r>
        <w:rPr>
          <w:i w:val="0"/>
        </w:rPr>
        <w:t>13</w:t>
      </w:r>
      <w:r>
        <w:fldChar w:fldCharType="end"/>
      </w:r>
    </w:p>
    <w:p>
      <w:pPr>
        <w:keepNext/>
      </w:pPr>
      <w:r>
        <w:rPr>
          <w:i/>
        </w:rPr>
        <w:t>Recursos humanos. Horas previstas, horas ejecutadas y valorización de referencia</w:t>
      </w:r>
    </w:p>
    <w:tbl>
      <w:tblPr>
        <w:tblW w:w="12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3"/>
        <w:gridCol w:w="3287"/>
        <w:gridCol w:w="1463"/>
        <w:gridCol w:w="1332"/>
        <w:gridCol w:w="1527"/>
        <w:gridCol w:w="1398"/>
        <w:gridCol w:w="2300"/>
      </w:tblGrid>
      <w:tr>
        <w:trPr>
          <w:tblHeader/>
          <w:cantSplit/>
        </w:trPr>
        <w:tc>
          <w:tcPr>
            <w:tcW w:type="dxa" w:w="1653"/>
            <w:tcBorders>
              <w:top w:val="single" w:sz="12" w:space="0" w:color="000000"/>
              <w:left w:val="nil"/>
              <w:right w:val="nil"/>
            </w:tcBorders>
            <w:tcMar>
              <w:top w:w="80" w:type="dxa"/>
              <w:bottom w:w="80" w:type="dxa"/>
            </w:tcMar>
          </w:tcPr>
          <w:p>
            <w:pPr>
              <w:spacing w:line="480" w:lineRule="auto"/>
            </w:pPr>
            <w:r>
              <w:rPr>
                <w:b/>
                <w:sz w:val="24"/>
                <w:szCs w:val="24"/>
              </w:rPr>
              <w:t>Recurso</w:t>
            </w:r>
          </w:p>
        </w:tc>
        <w:tc>
          <w:tcPr>
            <w:tcW w:type="dxa" w:w="3287"/>
            <w:tcBorders>
              <w:top w:val="single" w:sz="12" w:space="0" w:color="000000"/>
              <w:left w:val="nil"/>
              <w:right w:val="nil"/>
            </w:tcBorders>
            <w:tcMar>
              <w:top w:w="80" w:type="dxa"/>
              <w:bottom w:w="80" w:type="dxa"/>
            </w:tcMar>
          </w:tcPr>
          <w:p>
            <w:pPr>
              <w:spacing w:line="480" w:lineRule="auto"/>
            </w:pPr>
            <w:r>
              <w:rPr>
                <w:b/>
                <w:sz w:val="24"/>
                <w:szCs w:val="24"/>
              </w:rPr>
              <w:t>Dedicación</w:t>
            </w:r>
          </w:p>
        </w:tc>
        <w:tc>
          <w:tcPr>
            <w:tcW w:type="dxa" w:w="1463"/>
            <w:tcBorders>
              <w:top w:val="single" w:sz="12" w:space="0" w:color="000000"/>
              <w:left w:val="nil"/>
              <w:right w:val="nil"/>
            </w:tcBorders>
            <w:tcMar>
              <w:top w:w="80" w:type="dxa"/>
              <w:bottom w:w="80" w:type="dxa"/>
            </w:tcMar>
          </w:tcPr>
          <w:p>
            <w:pPr>
              <w:spacing w:line="480" w:lineRule="auto"/>
            </w:pPr>
            <w:r>
              <w:rPr>
                <w:b/>
                <w:sz w:val="24"/>
                <w:szCs w:val="24"/>
              </w:rPr>
              <w:t>Semanas previstas</w:t>
            </w:r>
          </w:p>
        </w:tc>
        <w:tc>
          <w:tcPr>
            <w:tcW w:type="dxa" w:w="1332"/>
            <w:tcBorders>
              <w:top w:val="single" w:sz="12" w:space="0" w:color="000000"/>
              <w:left w:val="nil"/>
              <w:right w:val="nil"/>
            </w:tcBorders>
            <w:tcMar>
              <w:top w:w="80" w:type="dxa"/>
              <w:bottom w:w="80" w:type="dxa"/>
            </w:tcMar>
          </w:tcPr>
          <w:p>
            <w:pPr>
              <w:spacing w:line="480" w:lineRule="auto"/>
            </w:pPr>
            <w:r>
              <w:rPr>
                <w:b/>
                <w:sz w:val="24"/>
                <w:szCs w:val="24"/>
              </w:rPr>
              <w:t>Horas previstas</w:t>
            </w:r>
          </w:p>
        </w:tc>
        <w:tc>
          <w:tcPr>
            <w:tcW w:type="dxa" w:w="1527"/>
            <w:tcBorders>
              <w:top w:val="single" w:sz="12" w:space="0" w:color="000000"/>
              <w:left w:val="nil"/>
              <w:right w:val="nil"/>
            </w:tcBorders>
            <w:tcMar>
              <w:top w:w="80" w:type="dxa"/>
              <w:bottom w:w="80" w:type="dxa"/>
            </w:tcMar>
          </w:tcPr>
          <w:p>
            <w:pPr>
              <w:spacing w:line="480" w:lineRule="auto"/>
            </w:pPr>
            <w:r>
              <w:rPr>
                <w:b/>
                <w:sz w:val="24"/>
                <w:szCs w:val="24"/>
              </w:rPr>
              <w:t>Semanas ejecutadas</w:t>
            </w:r>
          </w:p>
        </w:tc>
        <w:tc>
          <w:tcPr>
            <w:tcW w:type="dxa" w:w="1398"/>
            <w:tcBorders>
              <w:top w:val="single" w:sz="12" w:space="0" w:color="000000"/>
              <w:left w:val="nil"/>
              <w:right w:val="nil"/>
            </w:tcBorders>
            <w:tcMar>
              <w:top w:w="80" w:type="dxa"/>
              <w:bottom w:w="80" w:type="dxa"/>
            </w:tcMar>
          </w:tcPr>
          <w:p>
            <w:pPr>
              <w:spacing w:line="480" w:lineRule="auto"/>
            </w:pPr>
            <w:r>
              <w:rPr>
                <w:b/>
                <w:sz w:val="24"/>
                <w:szCs w:val="24"/>
              </w:rPr>
              <w:t>Horas ejecutadas</w:t>
            </w:r>
          </w:p>
        </w:tc>
        <w:tc>
          <w:tcPr>
            <w:tcW w:type="dxa" w:w="2300"/>
            <w:tcBorders>
              <w:top w:val="single" w:sz="12" w:space="0" w:color="000000"/>
              <w:left w:val="nil"/>
              <w:right w:val="nil"/>
            </w:tcBorders>
            <w:tcMar>
              <w:top w:w="80" w:type="dxa"/>
              <w:bottom w:w="80" w:type="dxa"/>
            </w:tcMar>
          </w:tcPr>
          <w:p>
            <w:pPr>
              <w:spacing w:line="480" w:lineRule="auto"/>
            </w:pPr>
            <w:r>
              <w:rPr>
                <w:b/>
                <w:sz w:val="24"/>
                <w:szCs w:val="24"/>
              </w:rPr>
              <w:t>Valorización ejecutada (ARS)</w:t>
            </w:r>
          </w:p>
        </w:tc>
      </w:tr>
      <w:tr>
        <w:trPr>
          <w:cantSplit/>
        </w:trPr>
        <w:tc>
          <w:tcPr>
            <w:tcW w:type="dxa" w:w="1653"/>
            <w:tcBorders>
              <w:left w:val="nil"/>
              <w:right w:val="nil"/>
              <w:bottom w:val="nil"/>
            </w:tcBorders>
            <w:tcMar>
              <w:top w:w="80" w:type="dxa"/>
              <w:bottom w:w="80" w:type="dxa"/>
            </w:tcMar>
          </w:tcPr>
          <w:p>
            <w:pPr>
              <w:spacing w:line="480" w:lineRule="auto"/>
            </w:pPr>
            <w:r>
              <w:rPr>
                <w:sz w:val="24"/>
                <w:szCs w:val="24"/>
              </w:rPr>
              <w:t>Integrante 1</w:t>
            </w:r>
          </w:p>
        </w:tc>
        <w:tc>
          <w:tcPr>
            <w:tcW w:type="dxa" w:w="3287"/>
            <w:tcBorders>
              <w:left w:val="nil"/>
              <w:right w:val="nil"/>
              <w:bottom w:val="nil"/>
            </w:tcBorders>
            <w:tcMar>
              <w:top w:w="80" w:type="dxa"/>
              <w:bottom w:w="80" w:type="dxa"/>
            </w:tcMar>
          </w:tcPr>
          <w:p>
            <w:pPr>
              <w:spacing w:line="480" w:lineRule="auto"/>
            </w:pPr>
            <w:r>
              <w:rPr>
                <w:sz w:val="24"/>
                <w:szCs w:val="24"/>
              </w:rPr>
              <w:t>8 h por semana</w:t>
            </w:r>
          </w:p>
        </w:tc>
        <w:tc>
          <w:tcPr>
            <w:tcW w:type="dxa" w:w="1463"/>
            <w:tcBorders>
              <w:left w:val="nil"/>
              <w:right w:val="nil"/>
              <w:bottom w:val="nil"/>
            </w:tcBorders>
            <w:tcMar>
              <w:top w:w="80" w:type="dxa"/>
              <w:bottom w:w="80" w:type="dxa"/>
            </w:tcMar>
          </w:tcPr>
          <w:p>
            <w:pPr>
              <w:spacing w:line="480" w:lineRule="auto"/>
            </w:pPr>
            <w:r>
              <w:rPr>
                <w:sz w:val="24"/>
                <w:szCs w:val="24"/>
              </w:rPr>
              <w:t>42</w:t>
            </w:r>
          </w:p>
        </w:tc>
        <w:tc>
          <w:tcPr>
            <w:tcW w:type="dxa" w:w="1332"/>
            <w:tcBorders>
              <w:left w:val="nil"/>
              <w:right w:val="nil"/>
              <w:bottom w:val="nil"/>
            </w:tcBorders>
            <w:tcMar>
              <w:top w:w="80" w:type="dxa"/>
              <w:bottom w:w="80" w:type="dxa"/>
            </w:tcMar>
          </w:tcPr>
          <w:p>
            <w:pPr>
              <w:spacing w:line="480" w:lineRule="auto"/>
            </w:pPr>
            <w:r>
              <w:rPr>
                <w:sz w:val="24"/>
                <w:szCs w:val="24"/>
              </w:rPr>
              <w:t>336</w:t>
            </w:r>
          </w:p>
        </w:tc>
        <w:tc>
          <w:tcPr>
            <w:tcW w:type="dxa" w:w="1527"/>
            <w:tcBorders>
              <w:left w:val="nil"/>
              <w:right w:val="nil"/>
              <w:bottom w:val="nil"/>
            </w:tcBorders>
            <w:tcMar>
              <w:top w:w="80" w:type="dxa"/>
              <w:bottom w:w="80" w:type="dxa"/>
            </w:tcMar>
          </w:tcPr>
          <w:p>
            <w:pPr>
              <w:spacing w:line="480" w:lineRule="auto"/>
            </w:pPr>
            <w:r>
              <w:rPr>
                <w:sz w:val="24"/>
                <w:szCs w:val="24"/>
              </w:rPr>
              <w:t>48</w:t>
            </w:r>
          </w:p>
        </w:tc>
        <w:tc>
          <w:tcPr>
            <w:tcW w:type="dxa" w:w="1398"/>
            <w:tcBorders>
              <w:left w:val="nil"/>
              <w:right w:val="nil"/>
              <w:bottom w:val="nil"/>
            </w:tcBorders>
            <w:tcMar>
              <w:top w:w="80" w:type="dxa"/>
              <w:bottom w:w="80" w:type="dxa"/>
            </w:tcMar>
          </w:tcPr>
          <w:p>
            <w:pPr>
              <w:spacing w:line="480" w:lineRule="auto"/>
            </w:pPr>
            <w:r>
              <w:rPr>
                <w:sz w:val="24"/>
                <w:szCs w:val="24"/>
              </w:rPr>
              <w:t>384</w:t>
            </w:r>
          </w:p>
        </w:tc>
        <w:tc>
          <w:tcPr>
            <w:tcW w:type="dxa" w:w="2300"/>
            <w:tcBorders>
              <w:left w:val="nil"/>
              <w:right w:val="nil"/>
              <w:bottom w:val="nil"/>
            </w:tcBorders>
            <w:tcMar>
              <w:top w:w="80" w:type="dxa"/>
              <w:bottom w:w="80" w:type="dxa"/>
            </w:tcMar>
          </w:tcPr>
          <w:p>
            <w:pPr>
              <w:spacing w:line="480" w:lineRule="auto"/>
            </w:pPr>
            <w:r>
              <w:rPr>
                <w:sz w:val="24"/>
                <w:szCs w:val="24"/>
              </w:rPr>
              <w:t>3.692.400</w:t>
            </w:r>
          </w:p>
        </w:tc>
      </w:tr>
      <w:tr>
        <w:trPr>
          <w:cantSplit/>
        </w:trPr>
        <w:tc>
          <w:tcPr>
            <w:tcW w:type="dxa" w:w="1653"/>
            <w:tcBorders>
              <w:left w:val="nil"/>
              <w:right w:val="nil"/>
              <w:bottom w:val="nil"/>
            </w:tcBorders>
            <w:tcMar>
              <w:top w:w="80" w:type="dxa"/>
              <w:bottom w:w="80" w:type="dxa"/>
            </w:tcMar>
          </w:tcPr>
          <w:p>
            <w:pPr>
              <w:spacing w:line="480" w:lineRule="auto"/>
            </w:pPr>
            <w:r>
              <w:rPr>
                <w:sz w:val="24"/>
                <w:szCs w:val="24"/>
              </w:rPr>
              <w:t>Integrante 2</w:t>
            </w:r>
          </w:p>
        </w:tc>
        <w:tc>
          <w:tcPr>
            <w:tcW w:type="dxa" w:w="3287"/>
            <w:tcBorders>
              <w:left w:val="nil"/>
              <w:right w:val="nil"/>
              <w:bottom w:val="nil"/>
            </w:tcBorders>
            <w:tcMar>
              <w:top w:w="80" w:type="dxa"/>
              <w:bottom w:w="80" w:type="dxa"/>
            </w:tcMar>
          </w:tcPr>
          <w:p>
            <w:pPr>
              <w:spacing w:line="480" w:lineRule="auto"/>
            </w:pPr>
            <w:r>
              <w:rPr>
                <w:sz w:val="24"/>
                <w:szCs w:val="24"/>
              </w:rPr>
              <w:t>8 h por semana</w:t>
            </w:r>
          </w:p>
        </w:tc>
        <w:tc>
          <w:tcPr>
            <w:tcW w:type="dxa" w:w="1463"/>
            <w:tcBorders>
              <w:left w:val="nil"/>
              <w:right w:val="nil"/>
              <w:bottom w:val="nil"/>
            </w:tcBorders>
            <w:tcMar>
              <w:top w:w="80" w:type="dxa"/>
              <w:bottom w:w="80" w:type="dxa"/>
            </w:tcMar>
          </w:tcPr>
          <w:p>
            <w:pPr>
              <w:spacing w:line="480" w:lineRule="auto"/>
            </w:pPr>
            <w:r>
              <w:rPr>
                <w:sz w:val="24"/>
                <w:szCs w:val="24"/>
              </w:rPr>
              <w:t>42</w:t>
            </w:r>
          </w:p>
        </w:tc>
        <w:tc>
          <w:tcPr>
            <w:tcW w:type="dxa" w:w="1332"/>
            <w:tcBorders>
              <w:left w:val="nil"/>
              <w:right w:val="nil"/>
              <w:bottom w:val="nil"/>
            </w:tcBorders>
            <w:tcMar>
              <w:top w:w="80" w:type="dxa"/>
              <w:bottom w:w="80" w:type="dxa"/>
            </w:tcMar>
          </w:tcPr>
          <w:p>
            <w:pPr>
              <w:spacing w:line="480" w:lineRule="auto"/>
            </w:pPr>
            <w:r>
              <w:rPr>
                <w:sz w:val="24"/>
                <w:szCs w:val="24"/>
              </w:rPr>
              <w:t>336</w:t>
            </w:r>
          </w:p>
        </w:tc>
        <w:tc>
          <w:tcPr>
            <w:tcW w:type="dxa" w:w="1527"/>
            <w:tcBorders>
              <w:left w:val="nil"/>
              <w:right w:val="nil"/>
              <w:bottom w:val="nil"/>
            </w:tcBorders>
            <w:tcMar>
              <w:top w:w="80" w:type="dxa"/>
              <w:bottom w:w="80" w:type="dxa"/>
            </w:tcMar>
          </w:tcPr>
          <w:p>
            <w:pPr>
              <w:spacing w:line="480" w:lineRule="auto"/>
            </w:pPr>
            <w:r>
              <w:rPr>
                <w:sz w:val="24"/>
                <w:szCs w:val="24"/>
              </w:rPr>
              <w:t>48</w:t>
            </w:r>
          </w:p>
        </w:tc>
        <w:tc>
          <w:tcPr>
            <w:tcW w:type="dxa" w:w="1398"/>
            <w:tcBorders>
              <w:left w:val="nil"/>
              <w:right w:val="nil"/>
              <w:bottom w:val="nil"/>
            </w:tcBorders>
            <w:tcMar>
              <w:top w:w="80" w:type="dxa"/>
              <w:bottom w:w="80" w:type="dxa"/>
            </w:tcMar>
          </w:tcPr>
          <w:p>
            <w:pPr>
              <w:spacing w:line="480" w:lineRule="auto"/>
            </w:pPr>
            <w:r>
              <w:rPr>
                <w:sz w:val="24"/>
                <w:szCs w:val="24"/>
              </w:rPr>
              <w:t>384</w:t>
            </w:r>
          </w:p>
        </w:tc>
        <w:tc>
          <w:tcPr>
            <w:tcW w:type="dxa" w:w="2300"/>
            <w:tcBorders>
              <w:left w:val="nil"/>
              <w:right w:val="nil"/>
              <w:bottom w:val="nil"/>
            </w:tcBorders>
            <w:tcMar>
              <w:top w:w="80" w:type="dxa"/>
              <w:bottom w:w="80" w:type="dxa"/>
            </w:tcMar>
          </w:tcPr>
          <w:p>
            <w:pPr>
              <w:spacing w:line="480" w:lineRule="auto"/>
            </w:pPr>
            <w:r>
              <w:rPr>
                <w:sz w:val="24"/>
                <w:szCs w:val="24"/>
              </w:rPr>
              <w:t>3.692.400</w:t>
            </w:r>
          </w:p>
        </w:tc>
      </w:tr>
      <w:tr>
        <w:trPr>
          <w:cantSplit/>
        </w:trPr>
        <w:tc>
          <w:tcPr>
            <w:tcW w:type="dxa" w:w="1653"/>
            <w:tcBorders>
              <w:left w:val="nil"/>
              <w:right w:val="nil"/>
              <w:bottom w:val="nil"/>
            </w:tcBorders>
            <w:tcMar>
              <w:top w:w="80" w:type="dxa"/>
              <w:bottom w:w="80" w:type="dxa"/>
            </w:tcMar>
          </w:tcPr>
          <w:p>
            <w:pPr>
              <w:spacing w:line="480" w:lineRule="auto"/>
            </w:pPr>
            <w:r>
              <w:rPr>
                <w:sz w:val="24"/>
                <w:szCs w:val="24"/>
              </w:rPr>
              <w:t>Integrante 3</w:t>
            </w:r>
          </w:p>
        </w:tc>
        <w:tc>
          <w:tcPr>
            <w:tcW w:type="dxa" w:w="3287"/>
            <w:tcBorders>
              <w:left w:val="nil"/>
              <w:right w:val="nil"/>
              <w:bottom w:val="nil"/>
            </w:tcBorders>
            <w:tcMar>
              <w:top w:w="80" w:type="dxa"/>
              <w:bottom w:w="80" w:type="dxa"/>
            </w:tcMar>
          </w:tcPr>
          <w:p>
            <w:pPr>
              <w:spacing w:line="480" w:lineRule="auto"/>
            </w:pPr>
            <w:r>
              <w:rPr>
                <w:sz w:val="24"/>
                <w:szCs w:val="24"/>
              </w:rPr>
              <w:t>8 h por semana</w:t>
            </w:r>
          </w:p>
        </w:tc>
        <w:tc>
          <w:tcPr>
            <w:tcW w:type="dxa" w:w="1463"/>
            <w:tcBorders>
              <w:left w:val="nil"/>
              <w:right w:val="nil"/>
              <w:bottom w:val="nil"/>
            </w:tcBorders>
            <w:tcMar>
              <w:top w:w="80" w:type="dxa"/>
              <w:bottom w:w="80" w:type="dxa"/>
            </w:tcMar>
          </w:tcPr>
          <w:p>
            <w:pPr>
              <w:spacing w:line="480" w:lineRule="auto"/>
            </w:pPr>
            <w:r>
              <w:rPr>
                <w:sz w:val="24"/>
                <w:szCs w:val="24"/>
              </w:rPr>
              <w:t>42</w:t>
            </w:r>
          </w:p>
        </w:tc>
        <w:tc>
          <w:tcPr>
            <w:tcW w:type="dxa" w:w="1332"/>
            <w:tcBorders>
              <w:left w:val="nil"/>
              <w:right w:val="nil"/>
              <w:bottom w:val="nil"/>
            </w:tcBorders>
            <w:tcMar>
              <w:top w:w="80" w:type="dxa"/>
              <w:bottom w:w="80" w:type="dxa"/>
            </w:tcMar>
          </w:tcPr>
          <w:p>
            <w:pPr>
              <w:spacing w:line="480" w:lineRule="auto"/>
            </w:pPr>
            <w:r>
              <w:rPr>
                <w:sz w:val="24"/>
                <w:szCs w:val="24"/>
              </w:rPr>
              <w:t>336</w:t>
            </w:r>
          </w:p>
        </w:tc>
        <w:tc>
          <w:tcPr>
            <w:tcW w:type="dxa" w:w="1527"/>
            <w:tcBorders>
              <w:left w:val="nil"/>
              <w:right w:val="nil"/>
              <w:bottom w:val="nil"/>
            </w:tcBorders>
            <w:tcMar>
              <w:top w:w="80" w:type="dxa"/>
              <w:bottom w:w="80" w:type="dxa"/>
            </w:tcMar>
          </w:tcPr>
          <w:p>
            <w:pPr>
              <w:spacing w:line="480" w:lineRule="auto"/>
            </w:pPr>
            <w:r>
              <w:rPr>
                <w:sz w:val="24"/>
                <w:szCs w:val="24"/>
              </w:rPr>
              <w:t>48</w:t>
            </w:r>
          </w:p>
        </w:tc>
        <w:tc>
          <w:tcPr>
            <w:tcW w:type="dxa" w:w="1398"/>
            <w:tcBorders>
              <w:left w:val="nil"/>
              <w:right w:val="nil"/>
              <w:bottom w:val="nil"/>
            </w:tcBorders>
            <w:tcMar>
              <w:top w:w="80" w:type="dxa"/>
              <w:bottom w:w="80" w:type="dxa"/>
            </w:tcMar>
          </w:tcPr>
          <w:p>
            <w:pPr>
              <w:spacing w:line="480" w:lineRule="auto"/>
            </w:pPr>
            <w:r>
              <w:rPr>
                <w:sz w:val="24"/>
                <w:szCs w:val="24"/>
              </w:rPr>
              <w:t>384</w:t>
            </w:r>
          </w:p>
        </w:tc>
        <w:tc>
          <w:tcPr>
            <w:tcW w:type="dxa" w:w="2300"/>
            <w:tcBorders>
              <w:left w:val="nil"/>
              <w:right w:val="nil"/>
              <w:bottom w:val="nil"/>
            </w:tcBorders>
            <w:tcMar>
              <w:top w:w="80" w:type="dxa"/>
              <w:bottom w:w="80" w:type="dxa"/>
            </w:tcMar>
          </w:tcPr>
          <w:p>
            <w:pPr>
              <w:spacing w:line="480" w:lineRule="auto"/>
            </w:pPr>
            <w:r>
              <w:rPr>
                <w:sz w:val="24"/>
                <w:szCs w:val="24"/>
              </w:rPr>
              <w:t>3.692.400</w:t>
            </w:r>
          </w:p>
        </w:tc>
      </w:tr>
      <w:tr>
        <w:trPr>
          <w:cantSplit/>
        </w:trPr>
        <w:tc>
          <w:tcPr>
            <w:tcW w:type="dxa" w:w="1653"/>
            <w:tcBorders>
              <w:left w:val="nil"/>
              <w:right w:val="nil"/>
              <w:bottom w:val="nil"/>
            </w:tcBorders>
            <w:tcMar>
              <w:top w:w="80" w:type="dxa"/>
              <w:bottom w:w="80" w:type="dxa"/>
            </w:tcMar>
          </w:tcPr>
          <w:p>
            <w:pPr>
              <w:spacing w:line="480" w:lineRule="auto"/>
            </w:pPr>
            <w:r>
              <w:rPr>
                <w:b/>
                <w:sz w:val="24"/>
                <w:szCs w:val="24"/>
              </w:rPr>
              <w:t>Subtotal integrantes</w:t>
            </w:r>
          </w:p>
        </w:tc>
        <w:tc>
          <w:tcPr>
            <w:tcW w:type="dxa" w:w="3287"/>
            <w:tcBorders>
              <w:left w:val="nil"/>
              <w:right w:val="nil"/>
              <w:bottom w:val="nil"/>
            </w:tcBorders>
            <w:tcMar>
              <w:top w:w="80" w:type="dxa"/>
              <w:bottom w:w="80" w:type="dxa"/>
            </w:tcMar>
          </w:tcPr>
          <w:p>
            <w:pPr>
              <w:spacing w:line="480" w:lineRule="auto"/>
            </w:pPr>
            <w:r>
              <w:rPr>
                <w:sz w:val="24"/>
                <w:szCs w:val="24"/>
              </w:rPr>
              <w:t>24 h por semana</w:t>
            </w:r>
          </w:p>
        </w:tc>
        <w:tc>
          <w:tcPr>
            <w:tcW w:type="dxa" w:w="1463"/>
            <w:tcBorders>
              <w:left w:val="nil"/>
              <w:right w:val="nil"/>
              <w:bottom w:val="nil"/>
            </w:tcBorders>
            <w:tcMar>
              <w:top w:w="80" w:type="dxa"/>
              <w:bottom w:w="80" w:type="dxa"/>
            </w:tcMar>
          </w:tcPr>
          <w:p>
            <w:pPr>
              <w:spacing w:line="480" w:lineRule="auto"/>
            </w:pPr>
            <w:r>
              <w:rPr>
                <w:sz w:val="24"/>
                <w:szCs w:val="24"/>
              </w:rPr>
              <w:t>42</w:t>
            </w:r>
          </w:p>
        </w:tc>
        <w:tc>
          <w:tcPr>
            <w:tcW w:type="dxa" w:w="1332"/>
            <w:tcBorders>
              <w:left w:val="nil"/>
              <w:right w:val="nil"/>
              <w:bottom w:val="nil"/>
            </w:tcBorders>
            <w:tcMar>
              <w:top w:w="80" w:type="dxa"/>
              <w:bottom w:w="80" w:type="dxa"/>
            </w:tcMar>
          </w:tcPr>
          <w:p>
            <w:pPr>
              <w:spacing w:line="480" w:lineRule="auto"/>
            </w:pPr>
            <w:r>
              <w:rPr>
                <w:b/>
                <w:sz w:val="24"/>
                <w:szCs w:val="24"/>
              </w:rPr>
              <w:t>1.008</w:t>
            </w:r>
          </w:p>
        </w:tc>
        <w:tc>
          <w:tcPr>
            <w:tcW w:type="dxa" w:w="1527"/>
            <w:tcBorders>
              <w:left w:val="nil"/>
              <w:right w:val="nil"/>
              <w:bottom w:val="nil"/>
            </w:tcBorders>
            <w:tcMar>
              <w:top w:w="80" w:type="dxa"/>
              <w:bottom w:w="80" w:type="dxa"/>
            </w:tcMar>
          </w:tcPr>
          <w:p>
            <w:pPr>
              <w:spacing w:line="480" w:lineRule="auto"/>
            </w:pPr>
            <w:r>
              <w:rPr>
                <w:sz w:val="24"/>
                <w:szCs w:val="24"/>
              </w:rPr>
              <w:t>48</w:t>
            </w:r>
          </w:p>
        </w:tc>
        <w:tc>
          <w:tcPr>
            <w:tcW w:type="dxa" w:w="1398"/>
            <w:tcBorders>
              <w:left w:val="nil"/>
              <w:right w:val="nil"/>
              <w:bottom w:val="nil"/>
            </w:tcBorders>
            <w:tcMar>
              <w:top w:w="80" w:type="dxa"/>
              <w:bottom w:w="80" w:type="dxa"/>
            </w:tcMar>
          </w:tcPr>
          <w:p>
            <w:pPr>
              <w:spacing w:line="480" w:lineRule="auto"/>
            </w:pPr>
            <w:r>
              <w:rPr>
                <w:b/>
                <w:sz w:val="24"/>
                <w:szCs w:val="24"/>
              </w:rPr>
              <w:t>1.152</w:t>
            </w:r>
          </w:p>
        </w:tc>
        <w:tc>
          <w:tcPr>
            <w:tcW w:type="dxa" w:w="2300"/>
            <w:tcBorders>
              <w:left w:val="nil"/>
              <w:right w:val="nil"/>
              <w:bottom w:val="nil"/>
            </w:tcBorders>
            <w:tcMar>
              <w:top w:w="80" w:type="dxa"/>
              <w:bottom w:w="80" w:type="dxa"/>
            </w:tcMar>
          </w:tcPr>
          <w:p>
            <w:pPr>
              <w:spacing w:line="480" w:lineRule="auto"/>
            </w:pPr>
            <w:r>
              <w:rPr>
                <w:b/>
                <w:sz w:val="24"/>
                <w:szCs w:val="24"/>
              </w:rPr>
              <w:t>11.077.200</w:t>
            </w:r>
          </w:p>
        </w:tc>
      </w:tr>
      <w:tr>
        <w:trPr>
          <w:cantSplit/>
        </w:trPr>
        <w:tc>
          <w:tcPr>
            <w:tcW w:type="dxa" w:w="1653"/>
            <w:tcBorders>
              <w:left w:val="nil"/>
              <w:right w:val="nil"/>
            </w:tcBorders>
            <w:tcMar>
              <w:top w:w="80" w:type="dxa"/>
              <w:bottom w:w="80" w:type="dxa"/>
            </w:tcMar>
          </w:tcPr>
          <w:p>
            <w:pPr>
              <w:spacing w:line="480" w:lineRule="auto"/>
            </w:pPr>
            <w:r>
              <w:rPr>
                <w:sz w:val="24"/>
                <w:szCs w:val="24"/>
              </w:rPr>
              <w:t>Tutoría académica</w:t>
            </w:r>
          </w:p>
        </w:tc>
        <w:tc>
          <w:tcPr>
            <w:tcW w:type="dxa" w:w="3287"/>
            <w:tcBorders>
              <w:left w:val="nil"/>
              <w:right w:val="nil"/>
            </w:tcBorders>
            <w:tcMar>
              <w:top w:w="80" w:type="dxa"/>
              <w:bottom w:w="80" w:type="dxa"/>
            </w:tcMar>
          </w:tcPr>
          <w:p>
            <w:pPr>
              <w:spacing w:line="480" w:lineRule="auto"/>
            </w:pPr>
            <w:r>
              <w:rPr>
                <w:sz w:val="24"/>
                <w:szCs w:val="24"/>
              </w:rPr>
              <w:t>Reuniones de seguimiento y revisión de entregables</w:t>
            </w:r>
          </w:p>
        </w:tc>
        <w:tc>
          <w:tcPr>
            <w:tcW w:type="dxa" w:w="1463"/>
            <w:tcBorders>
              <w:left w:val="nil"/>
              <w:right w:val="nil"/>
            </w:tcBorders>
            <w:tcMar>
              <w:top w:w="80" w:type="dxa"/>
              <w:bottom w:w="80" w:type="dxa"/>
            </w:tcMar>
          </w:tcPr>
          <w:p>
            <w:pPr>
              <w:spacing w:line="480" w:lineRule="auto"/>
            </w:pPr>
            <w:r>
              <w:rPr>
                <w:sz w:val="24"/>
                <w:szCs w:val="24"/>
              </w:rPr>
              <w:t>—</w:t>
            </w:r>
          </w:p>
        </w:tc>
        <w:tc>
          <w:tcPr>
            <w:tcW w:type="dxa" w:w="1332"/>
            <w:tcBorders>
              <w:left w:val="nil"/>
              <w:right w:val="nil"/>
            </w:tcBorders>
            <w:tcMar>
              <w:top w:w="80" w:type="dxa"/>
              <w:bottom w:w="80" w:type="dxa"/>
            </w:tcMar>
          </w:tcPr>
          <w:p>
            <w:pPr>
              <w:spacing w:line="480" w:lineRule="auto"/>
            </w:pPr>
            <w:r>
              <w:rPr>
                <w:sz w:val="24"/>
                <w:szCs w:val="24"/>
              </w:rPr>
              <w:t>—</w:t>
            </w:r>
          </w:p>
        </w:tc>
        <w:tc>
          <w:tcPr>
            <w:tcW w:type="dxa" w:w="1527"/>
            <w:tcBorders>
              <w:left w:val="nil"/>
              <w:right w:val="nil"/>
            </w:tcBorders>
            <w:tcMar>
              <w:top w:w="80" w:type="dxa"/>
              <w:bottom w:w="80" w:type="dxa"/>
            </w:tcMar>
          </w:tcPr>
          <w:p>
            <w:pPr>
              <w:spacing w:line="480" w:lineRule="auto"/>
            </w:pPr>
            <w:r>
              <w:rPr>
                <w:sz w:val="24"/>
                <w:szCs w:val="24"/>
              </w:rPr>
              <w:t>—</w:t>
            </w:r>
          </w:p>
        </w:tc>
        <w:tc>
          <w:tcPr>
            <w:tcW w:type="dxa" w:w="1398"/>
            <w:tcBorders>
              <w:left w:val="nil"/>
              <w:right w:val="nil"/>
            </w:tcBorders>
            <w:tcMar>
              <w:top w:w="80" w:type="dxa"/>
              <w:bottom w:w="80" w:type="dxa"/>
            </w:tcMar>
          </w:tcPr>
          <w:p>
            <w:pPr>
              <w:spacing w:line="480" w:lineRule="auto"/>
            </w:pPr>
            <w:r>
              <w:rPr>
                <w:sz w:val="24"/>
                <w:szCs w:val="24"/>
              </w:rPr>
              <w:t>No cuantificada</w:t>
            </w:r>
          </w:p>
        </w:tc>
        <w:tc>
          <w:tcPr>
            <w:tcW w:type="dxa" w:w="2300"/>
            <w:tcBorders>
              <w:left w:val="nil"/>
              <w:right w:val="nil"/>
            </w:tcBorders>
            <w:tcMar>
              <w:top w:w="80" w:type="dxa"/>
              <w:bottom w:w="80" w:type="dxa"/>
            </w:tcMar>
          </w:tcPr>
          <w:p>
            <w:pPr>
              <w:spacing w:line="480" w:lineRule="auto"/>
            </w:pPr>
            <w:r>
              <w:rPr>
                <w:sz w:val="24"/>
                <w:szCs w:val="24"/>
              </w:rPr>
              <w:t>Aporte institucional en especie</w:t>
            </w:r>
          </w:p>
        </w:tc>
      </w:tr>
    </w:tbl>
    <w:p>
      <w:r>
        <w:rPr>
          <w:b/>
          <w:i/>
        </w:rPr>
        <w:t>Nota</w:t>
      </w:r>
      <w:r>
        <w:rPr>
          <w:i/>
        </w:rPr>
        <w:t xml:space="preserve">. </w:t>
      </w:r>
      <w:r>
        <w:rPr/>
        <w:t>Tarifa de referencia de $9.616 por hora, obtenida de la mediana salarial bruta mensual de un desarrollador junior en Argentina ($1.538.500 según la encuesta Sysarmy 2026.01, citada por Teclab, 2026) sobre 160 horas mensuales. Las semanas previstas corresponden al cronograma de la Figura 1 (31 de octubre de 2025 a 21 de agosto de 2026). Las ejecutadas se extienden hasta la defensa prevista para fines de septiembre de 2026. La valorización prevista es de $9.692.550.</w:t>
      </w:r>
    </w:p>
    <w:p>
      <w:pPr>
        <w:sectPr>
          <w:pgSz w:w="15840" w:h="12240" w:orient="landscape"/>
          <w:pgMar w:top="1440" w:right="1440" w:bottom="1440" w:left="1440" w:header="720" w:footer="720" w:gutter="0"/>
          <w:cols w:space="720"/>
        </w:sectPr>
      </w:pPr>
    </w:p>
    <w:p>
      <w:pPr>
        <w:ind w:firstLine="720"/>
      </w:pPr>
      <w:r>
        <w:rPr/>
        <w:t>La diferencia de 144 horas entre lo previsto y lo ejecutado, un 14 %, se explica por la extensión de la implementación y de la redacción final más allá del cronograma original. La valorización de las horas ejecutadas, $11.077.200, triplica el valor de referencia del equipamiento. En un proyecto de esta naturaleza el costo principal es el trabajo calificado, no el hardware.</w:t>
      </w:r>
    </w:p>
    <w:p>
      <w:pPr>
        <w:pStyle w:val="Ttulo3"/>
      </w:pPr>
      <w:r>
        <w:t>17.2.4. Infraestructura, operación y mantenimiento</w:t>
      </w:r>
    </w:p>
    <w:p>
      <w:pPr>
        <w:ind w:firstLine="720"/>
      </w:pPr>
      <w:r>
        <w:rPr/>
        <w:t>Los costos de operación del prototipo son bajos por construcción. No hay servidores alquilados ni servicios en la nube. Los tres servicios de la plataforma, el plano de medios, el plano de control y la distribución de alertas, corren en el nodo de procesamiento, en forma nativa o en contenedores. El resguardo de la evidencia experimental usa una cuenta gratuita de Google Drive y el código se aloja en repositorios gratuitos de GitHub. El ajuste fino de modelos, la única tarea que excede la capacidad del equipo local, se ejecuta en el clúster Mendieta del Centro de Computación de Alto Desempeño de la Universidad Nacional de Córdoba, con acceso institucional sin cargo. La Tabla 14 resume las magnitudes de uso registradas y su costo.</w:t>
      </w:r>
    </w:p>
    <w:p>
      <w:pPr>
        <w:pStyle w:val="Descripcin"/>
        <w:keepNext/>
        <w:rPr>
          <w:i w:val="0"/>
          <w:iCs w:val="0"/>
        </w:rPr>
      </w:pPr>
      <w:r>
        <w:rPr>
          <w:i w:val="0"/>
        </w:rPr>
        <w:t xml:space="preserve">Tabla </w:t>
      </w:r>
      <w:r>
        <w:fldChar w:fldCharType="begin"/>
      </w:r>
      <w:r>
        <w:instrText xml:space="preserve"> SEQ Tabla \* ARABIC </w:instrText>
      </w:r>
      <w:r>
        <w:fldChar w:fldCharType="separate"/>
      </w:r>
      <w:r>
        <w:rPr>
          <w:i w:val="0"/>
        </w:rPr>
        <w:t>14</w:t>
      </w:r>
      <w:r>
        <w:fldChar w:fldCharType="end"/>
      </w:r>
    </w:p>
    <w:p>
      <w:pPr>
        <w:keepNext/>
      </w:pPr>
      <w:r>
        <w:rPr>
          <w:i/>
        </w:rPr>
        <w:t>Infraestructura, operación y mantenimiento. Magnitud de uso registrada y costo</w:t>
      </w:r>
    </w:p>
    <w:tbl>
      <w:tblPr>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1"/>
        <w:gridCol w:w="2721"/>
        <w:gridCol w:w="1194"/>
        <w:gridCol w:w="2724"/>
      </w:tblGrid>
      <w:tr>
        <w:trPr>
          <w:tblHeader/>
          <w:cantSplit/>
        </w:trPr>
        <w:tc>
          <w:tcPr>
            <w:tcW w:type="dxa" w:w="2721"/>
            <w:tcBorders>
              <w:top w:val="single" w:sz="12" w:space="0" w:color="000000"/>
              <w:left w:val="nil"/>
              <w:right w:val="nil"/>
            </w:tcBorders>
            <w:tcMar>
              <w:top w:w="80" w:type="dxa"/>
              <w:bottom w:w="80" w:type="dxa"/>
            </w:tcMar>
          </w:tcPr>
          <w:p>
            <w:pPr>
              <w:spacing w:line="480" w:lineRule="auto"/>
            </w:pPr>
            <w:r>
              <w:rPr>
                <w:b/>
                <w:sz w:val="24"/>
                <w:szCs w:val="24"/>
              </w:rPr>
              <w:t>Concepto</w:t>
            </w:r>
          </w:p>
        </w:tc>
        <w:tc>
          <w:tcPr>
            <w:tcW w:type="dxa" w:w="2721"/>
            <w:tcBorders>
              <w:top w:val="single" w:sz="12" w:space="0" w:color="000000"/>
              <w:left w:val="nil"/>
              <w:right w:val="nil"/>
            </w:tcBorders>
            <w:tcMar>
              <w:top w:w="80" w:type="dxa"/>
              <w:bottom w:w="80" w:type="dxa"/>
            </w:tcMar>
          </w:tcPr>
          <w:p>
            <w:pPr>
              <w:spacing w:line="480" w:lineRule="auto"/>
            </w:pPr>
            <w:r>
              <w:rPr>
                <w:b/>
                <w:sz w:val="24"/>
                <w:szCs w:val="24"/>
              </w:rPr>
              <w:t>Magnitud registrada</w:t>
            </w:r>
          </w:p>
        </w:tc>
        <w:tc>
          <w:tcPr>
            <w:tcW w:type="dxa" w:w="1194"/>
            <w:tcBorders>
              <w:top w:val="single" w:sz="12" w:space="0" w:color="000000"/>
              <w:left w:val="nil"/>
              <w:right w:val="nil"/>
            </w:tcBorders>
            <w:tcMar>
              <w:top w:w="80" w:type="dxa"/>
              <w:bottom w:w="80" w:type="dxa"/>
            </w:tcMar>
          </w:tcPr>
          <w:p>
            <w:pPr>
              <w:spacing w:line="480" w:lineRule="auto"/>
            </w:pPr>
            <w:r>
              <w:rPr>
                <w:b/>
                <w:sz w:val="24"/>
                <w:szCs w:val="24"/>
              </w:rPr>
              <w:t>Gasto efectivo (ARS)</w:t>
            </w:r>
          </w:p>
        </w:tc>
        <w:tc>
          <w:tcPr>
            <w:tcW w:type="dxa" w:w="2724"/>
            <w:tcBorders>
              <w:top w:val="single" w:sz="12" w:space="0" w:color="000000"/>
              <w:left w:val="nil"/>
              <w:right w:val="nil"/>
            </w:tcBorders>
            <w:tcMar>
              <w:top w:w="80" w:type="dxa"/>
              <w:bottom w:w="80" w:type="dxa"/>
            </w:tcMar>
          </w:tcPr>
          <w:p>
            <w:pPr>
              <w:spacing w:line="480" w:lineRule="auto"/>
            </w:pPr>
            <w:r>
              <w:rPr>
                <w:b/>
                <w:sz w:val="24"/>
                <w:szCs w:val="24"/>
              </w:rPr>
              <w:t>Observación</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Cómputo local de inferencia (RTX 4060 Laptop)</w:t>
            </w:r>
          </w:p>
        </w:tc>
        <w:tc>
          <w:tcPr>
            <w:tcW w:type="dxa" w:w="2721"/>
            <w:tcBorders>
              <w:left w:val="nil"/>
              <w:right w:val="nil"/>
              <w:bottom w:val="nil"/>
            </w:tcBorders>
            <w:tcMar>
              <w:top w:w="80" w:type="dxa"/>
              <w:bottom w:w="80" w:type="dxa"/>
            </w:tcMar>
          </w:tcPr>
          <w:p>
            <w:pPr>
              <w:spacing w:line="480" w:lineRule="auto"/>
            </w:pPr>
            <w:r>
              <w:rPr>
                <w:sz w:val="24"/>
                <w:szCs w:val="24"/>
              </w:rPr>
              <w:t>472 corridas registradas entre julio y agosto de 2026, 34,4 h de GPU</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Energía absorbida en el consumo doméstico. A una potencia de 100 a 150 W, equivale a entre 3 y 5 kWh</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Cómputo en el clúster Mendieta (1 × NVIDIA A30, 10 núcleos por trabajo)</w:t>
            </w:r>
          </w:p>
        </w:tc>
        <w:tc>
          <w:tcPr>
            <w:tcW w:type="dxa" w:w="2721"/>
            <w:tcBorders>
              <w:left w:val="nil"/>
              <w:right w:val="nil"/>
              <w:bottom w:val="nil"/>
            </w:tcBorders>
            <w:tcMar>
              <w:top w:w="80" w:type="dxa"/>
              <w:bottom w:w="80" w:type="dxa"/>
            </w:tcMar>
          </w:tcPr>
          <w:p>
            <w:pPr>
              <w:spacing w:line="480" w:lineRule="auto"/>
            </w:pPr>
            <w:r>
              <w:rPr>
                <w:sz w:val="24"/>
                <w:szCs w:val="24"/>
              </w:rPr>
              <w:t>15 trabajos enviados entre el 13 y el 20 de agosto de 2026, 10 con GPU asignada, 6 completados. 1,2 GPU-h en total, de las cuales 0,94 corresponden a las tres corridas completas de ajuste fino</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Acceso institucional (CCAD-UNC). A precios de alquiler de GPU en nube pública, el equivalente monetario de 1,2 GPU-h es marginal</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Alquiler de servidores o VPS</w:t>
            </w:r>
          </w:p>
        </w:tc>
        <w:tc>
          <w:tcPr>
            <w:tcW w:type="dxa" w:w="2721"/>
            <w:tcBorders>
              <w:left w:val="nil"/>
              <w:right w:val="nil"/>
              <w:bottom w:val="nil"/>
            </w:tcBorders>
            <w:tcMar>
              <w:top w:w="80" w:type="dxa"/>
              <w:bottom w:w="80" w:type="dxa"/>
            </w:tcMar>
          </w:tcPr>
          <w:p>
            <w:pPr>
              <w:spacing w:line="480" w:lineRule="auto"/>
            </w:pPr>
            <w:r>
              <w:rPr>
                <w:sz w:val="24"/>
                <w:szCs w:val="24"/>
              </w:rPr>
              <w:t>Ninguno</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Despliegue local</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Almacenamiento y control de versiones</w:t>
            </w:r>
          </w:p>
        </w:tc>
        <w:tc>
          <w:tcPr>
            <w:tcW w:type="dxa" w:w="2721"/>
            <w:tcBorders>
              <w:left w:val="nil"/>
              <w:right w:val="nil"/>
              <w:bottom w:val="nil"/>
            </w:tcBorders>
            <w:tcMar>
              <w:top w:w="80" w:type="dxa"/>
              <w:bottom w:w="80" w:type="dxa"/>
            </w:tcMar>
          </w:tcPr>
          <w:p>
            <w:pPr>
              <w:spacing w:line="480" w:lineRule="auto"/>
            </w:pPr>
            <w:r>
              <w:rPr>
                <w:sz w:val="24"/>
                <w:szCs w:val="24"/>
              </w:rPr>
              <w:t>2,6 GB de evidencia no regenerable en Google Drive. Código en GitHub</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Planes gratuitos</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Licencias de software</w:t>
            </w:r>
          </w:p>
        </w:tc>
        <w:tc>
          <w:tcPr>
            <w:tcW w:type="dxa" w:w="2721"/>
            <w:tcBorders>
              <w:left w:val="nil"/>
              <w:right w:val="nil"/>
              <w:bottom w:val="nil"/>
            </w:tcBorders>
            <w:tcMar>
              <w:top w:w="80" w:type="dxa"/>
              <w:bottom w:w="80" w:type="dxa"/>
            </w:tcMar>
          </w:tcPr>
          <w:p>
            <w:pPr>
              <w:spacing w:line="480" w:lineRule="auto"/>
            </w:pPr>
            <w:r>
              <w:rPr>
                <w:sz w:val="24"/>
                <w:szCs w:val="24"/>
              </w:rPr>
              <w:t>Conjunto de herramientas de código abierto de punta a punta</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Ver nota sobre AGPL-3.0</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Conjuntos de datos y pesos de modelos</w:t>
            </w:r>
          </w:p>
        </w:tc>
        <w:tc>
          <w:tcPr>
            <w:tcW w:type="dxa" w:w="2721"/>
            <w:tcBorders>
              <w:left w:val="nil"/>
              <w:right w:val="nil"/>
              <w:bottom w:val="nil"/>
            </w:tcBorders>
            <w:tcMar>
              <w:top w:w="80" w:type="dxa"/>
              <w:bottom w:w="80" w:type="dxa"/>
            </w:tcMar>
          </w:tcPr>
          <w:p>
            <w:pPr>
              <w:spacing w:line="480" w:lineRule="auto"/>
            </w:pPr>
            <w:r>
              <w:rPr>
                <w:sz w:val="24"/>
                <w:szCs w:val="24"/>
              </w:rPr>
              <w:t>Licencias abiertas con atribución (CC BY 4.0 y equivalentes, Apache-2.0, AGPL-3.0)</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Descarga directa de las fuentes</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Conectividad a Internet</w:t>
            </w:r>
          </w:p>
        </w:tc>
        <w:tc>
          <w:tcPr>
            <w:tcW w:type="dxa" w:w="2721"/>
            <w:tcBorders>
              <w:left w:val="nil"/>
              <w:right w:val="nil"/>
              <w:bottom w:val="nil"/>
            </w:tcBorders>
            <w:tcMar>
              <w:top w:w="80" w:type="dxa"/>
              <w:bottom w:w="80" w:type="dxa"/>
            </w:tcMar>
          </w:tcPr>
          <w:p>
            <w:pPr>
              <w:spacing w:line="480" w:lineRule="auto"/>
            </w:pPr>
            <w:r>
              <w:rPr>
                <w:sz w:val="24"/>
                <w:szCs w:val="24"/>
              </w:rPr>
              <w:t>Uso doméstico de los integrantes</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No discriminada</w:t>
            </w:r>
          </w:p>
        </w:tc>
      </w:tr>
      <w:tr>
        <w:trPr>
          <w:cantSplit/>
        </w:trPr>
        <w:tc>
          <w:tcPr>
            <w:tcW w:type="dxa" w:w="2721"/>
            <w:tcBorders>
              <w:left w:val="nil"/>
              <w:right w:val="nil"/>
              <w:bottom w:val="nil"/>
            </w:tcBorders>
            <w:tcMar>
              <w:top w:w="80" w:type="dxa"/>
              <w:bottom w:w="80" w:type="dxa"/>
            </w:tcMar>
          </w:tcPr>
          <w:p>
            <w:pPr>
              <w:spacing w:line="480" w:lineRule="auto"/>
            </w:pPr>
            <w:r>
              <w:rPr>
                <w:sz w:val="24"/>
                <w:szCs w:val="24"/>
              </w:rPr>
              <w:t>Mantenimiento</w:t>
            </w:r>
          </w:p>
        </w:tc>
        <w:tc>
          <w:tcPr>
            <w:tcW w:type="dxa" w:w="2721"/>
            <w:tcBorders>
              <w:left w:val="nil"/>
              <w:right w:val="nil"/>
              <w:bottom w:val="nil"/>
            </w:tcBorders>
            <w:tcMar>
              <w:top w:w="80" w:type="dxa"/>
              <w:bottom w:w="80" w:type="dxa"/>
            </w:tcMar>
          </w:tcPr>
          <w:p>
            <w:pPr>
              <w:spacing w:line="480" w:lineRule="auto"/>
            </w:pPr>
            <w:r>
              <w:rPr>
                <w:sz w:val="24"/>
                <w:szCs w:val="24"/>
              </w:rPr>
              <w:t>Suites de pruebas automatizadas de los cinco repositorios, ejecutadas en el equipo local</w:t>
            </w:r>
          </w:p>
        </w:tc>
        <w:tc>
          <w:tcPr>
            <w:tcW w:type="dxa" w:w="1194"/>
            <w:tcBorders>
              <w:left w:val="nil"/>
              <w:right w:val="nil"/>
              <w:bottom w:val="nil"/>
            </w:tcBorders>
            <w:tcMar>
              <w:top w:w="80" w:type="dxa"/>
              <w:bottom w:w="80" w:type="dxa"/>
            </w:tcMar>
          </w:tcPr>
          <w:p>
            <w:pPr>
              <w:spacing w:line="480" w:lineRule="auto"/>
            </w:pPr>
            <w:r>
              <w:rPr>
                <w:sz w:val="24"/>
                <w:szCs w:val="24"/>
              </w:rPr>
              <w:t>0</w:t>
            </w:r>
          </w:p>
        </w:tc>
        <w:tc>
          <w:tcPr>
            <w:tcW w:type="dxa" w:w="2724"/>
            <w:tcBorders>
              <w:left w:val="nil"/>
              <w:right w:val="nil"/>
              <w:bottom w:val="nil"/>
            </w:tcBorders>
            <w:tcMar>
              <w:top w:w="80" w:type="dxa"/>
              <w:bottom w:w="80" w:type="dxa"/>
            </w:tcMar>
          </w:tcPr>
          <w:p>
            <w:pPr>
              <w:spacing w:line="480" w:lineRule="auto"/>
            </w:pPr>
            <w:r>
              <w:rPr>
                <w:sz w:val="24"/>
                <w:szCs w:val="24"/>
              </w:rPr>
              <w:t>Sin integración continua paga</w:t>
            </w:r>
          </w:p>
        </w:tc>
      </w:tr>
      <w:tr>
        <w:trPr>
          <w:cantSplit/>
        </w:trPr>
        <w:tc>
          <w:tcPr>
            <w:tcW w:type="dxa" w:w="2721"/>
            <w:tcBorders>
              <w:left w:val="nil"/>
              <w:right w:val="nil"/>
            </w:tcBorders>
            <w:tcMar>
              <w:top w:w="80" w:type="dxa"/>
              <w:bottom w:w="80" w:type="dxa"/>
            </w:tcMar>
          </w:tcPr>
          <w:p>
            <w:pPr>
              <w:spacing w:line="480" w:lineRule="auto"/>
            </w:pPr>
            <w:r>
              <w:rPr>
                <w:b/>
                <w:sz w:val="24"/>
                <w:szCs w:val="24"/>
              </w:rPr>
              <w:t>Total</w:t>
            </w:r>
          </w:p>
        </w:tc>
        <w:tc>
          <w:tcPr>
            <w:tcW w:type="dxa" w:w="2721"/>
            <w:tcBorders>
              <w:left w:val="nil"/>
              <w:right w:val="nil"/>
            </w:tcBorders>
            <w:tcMar>
              <w:top w:w="80" w:type="dxa"/>
              <w:bottom w:w="80" w:type="dxa"/>
            </w:tcMar>
          </w:tcPr>
          <w:p>
            <w:pPr>
              <w:spacing w:line="480" w:lineRule="auto"/>
            </w:pPr>
          </w:p>
        </w:tc>
        <w:tc>
          <w:tcPr>
            <w:tcW w:type="dxa" w:w="1194"/>
            <w:tcBorders>
              <w:left w:val="nil"/>
              <w:right w:val="nil"/>
            </w:tcBorders>
            <w:tcMar>
              <w:top w:w="80" w:type="dxa"/>
              <w:bottom w:w="80" w:type="dxa"/>
            </w:tcMar>
          </w:tcPr>
          <w:p>
            <w:pPr>
              <w:spacing w:line="480" w:lineRule="auto"/>
            </w:pPr>
            <w:r>
              <w:rPr>
                <w:b/>
                <w:sz w:val="24"/>
                <w:szCs w:val="24"/>
              </w:rPr>
              <w:t>0</w:t>
            </w:r>
          </w:p>
        </w:tc>
        <w:tc>
          <w:tcPr>
            <w:tcW w:type="dxa" w:w="2724"/>
            <w:tcBorders>
              <w:left w:val="nil"/>
              <w:right w:val="nil"/>
            </w:tcBorders>
            <w:tcMar>
              <w:top w:w="80" w:type="dxa"/>
              <w:bottom w:w="80" w:type="dxa"/>
            </w:tcMar>
          </w:tcPr>
          <w:p>
            <w:pPr>
              <w:spacing w:line="480" w:lineRule="auto"/>
            </w:pPr>
          </w:p>
        </w:tc>
      </w:tr>
    </w:tbl>
    <w:p>
      <w:r>
        <w:rPr>
          <w:b/>
          <w:i/>
        </w:rPr>
        <w:t>Nota</w:t>
      </w:r>
      <w:r>
        <w:rPr>
          <w:i/>
        </w:rPr>
        <w:t xml:space="preserve">. </w:t>
      </w:r>
      <w:r>
        <w:rPr/>
        <w:t>Las horas de cómputo local provienen de los registros de duración de cada corrida del plano de medios. Las horas de clúster provienen de la contabilidad de Slurm del clúster Mendieta. El único componente del conjunto de herramientas con licencia AGPL-3.0 es la biblioteca de inferencia de los modelos YOLOE, de uso académico libre. Un despliegue comercial derivado exigiría publicar el código bajo la misma licencia o adquirir una licencia empresarial. El modelo campeón, Grounding DINO, se distribuye bajo Apache-2.0 y no impone esa condición.</w:t>
      </w:r>
    </w:p>
    <w:p>
      <w:pPr>
        <w:pStyle w:val="Ttulo3"/>
      </w:pPr>
      <w:r>
        <w:t>17.2.5. Financiamiento, ahorros e ingresos</w:t>
      </w:r>
    </w:p>
    <w:p>
      <w:pPr>
        <w:ind w:firstLine="720"/>
      </w:pPr>
      <w:r>
        <w:rPr/>
        <w:t>La Tabla 15 consolida las tres tablas anteriores y agrega el único gasto efectivo del proyecto, el traslado a la locación de rodaje, con la fuente de financiamiento de cada componente.</w:t>
      </w:r>
    </w:p>
    <w:p>
      <w:pPr>
        <w:pStyle w:val="Descripcin"/>
        <w:keepNext/>
        <w:rPr>
          <w:i w:val="0"/>
          <w:iCs w:val="0"/>
        </w:rPr>
      </w:pPr>
      <w:r>
        <w:rPr>
          <w:i w:val="0"/>
        </w:rPr>
        <w:t xml:space="preserve">Tabla </w:t>
      </w:r>
      <w:r>
        <w:fldChar w:fldCharType="begin"/>
      </w:r>
      <w:r>
        <w:instrText xml:space="preserve"> SEQ Tabla \* ARABIC </w:instrText>
      </w:r>
      <w:r>
        <w:fldChar w:fldCharType="separate"/>
      </w:r>
      <w:r>
        <w:rPr>
          <w:i w:val="0"/>
        </w:rPr>
        <w:t>15</w:t>
      </w:r>
      <w:r>
        <w:fldChar w:fldCharType="end"/>
      </w:r>
    </w:p>
    <w:p>
      <w:pPr>
        <w:keepNext/>
      </w:pPr>
      <w:r>
        <w:rPr>
          <w:i/>
        </w:rPr>
        <w:t>Resumen económico del proyecto. Costo valorizado, gasto efectivo y fuentes de financiamiento</w:t>
      </w:r>
    </w:p>
    <w:tbl>
      <w:tblPr>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2"/>
        <w:gridCol w:w="1653"/>
        <w:gridCol w:w="1539"/>
        <w:gridCol w:w="3246"/>
      </w:tblGrid>
      <w:tr>
        <w:trPr>
          <w:tblHeader/>
          <w:cantSplit/>
        </w:trPr>
        <w:tc>
          <w:tcPr>
            <w:tcW w:type="dxa" w:w="2922"/>
            <w:tcBorders>
              <w:top w:val="single" w:sz="12" w:space="0" w:color="000000"/>
              <w:left w:val="nil"/>
              <w:right w:val="nil"/>
            </w:tcBorders>
            <w:tcMar>
              <w:top w:w="80" w:type="dxa"/>
              <w:bottom w:w="80" w:type="dxa"/>
            </w:tcMar>
          </w:tcPr>
          <w:p>
            <w:pPr>
              <w:spacing w:line="480" w:lineRule="auto"/>
            </w:pPr>
            <w:r>
              <w:rPr>
                <w:b/>
                <w:sz w:val="24"/>
                <w:szCs w:val="24"/>
              </w:rPr>
              <w:t>Componente</w:t>
            </w:r>
          </w:p>
        </w:tc>
        <w:tc>
          <w:tcPr>
            <w:tcW w:type="dxa" w:w="1653"/>
            <w:tcBorders>
              <w:top w:val="single" w:sz="12" w:space="0" w:color="000000"/>
              <w:left w:val="nil"/>
              <w:right w:val="nil"/>
            </w:tcBorders>
            <w:tcMar>
              <w:top w:w="80" w:type="dxa"/>
              <w:bottom w:w="80" w:type="dxa"/>
            </w:tcMar>
          </w:tcPr>
          <w:p>
            <w:pPr>
              <w:spacing w:line="480" w:lineRule="auto"/>
            </w:pPr>
            <w:r>
              <w:rPr>
                <w:b/>
                <w:sz w:val="24"/>
                <w:szCs w:val="24"/>
              </w:rPr>
              <w:t>Costo valorizado (ARS)</w:t>
            </w:r>
          </w:p>
        </w:tc>
        <w:tc>
          <w:tcPr>
            <w:tcW w:type="dxa" w:w="1539"/>
            <w:tcBorders>
              <w:top w:val="single" w:sz="12" w:space="0" w:color="000000"/>
              <w:left w:val="nil"/>
              <w:right w:val="nil"/>
            </w:tcBorders>
            <w:tcMar>
              <w:top w:w="80" w:type="dxa"/>
              <w:bottom w:w="80" w:type="dxa"/>
            </w:tcMar>
          </w:tcPr>
          <w:p>
            <w:pPr>
              <w:spacing w:line="480" w:lineRule="auto"/>
            </w:pPr>
            <w:r>
              <w:rPr>
                <w:b/>
                <w:sz w:val="24"/>
                <w:szCs w:val="24"/>
              </w:rPr>
              <w:t>Gasto efectivo (ARS)</w:t>
            </w:r>
          </w:p>
        </w:tc>
        <w:tc>
          <w:tcPr>
            <w:tcW w:type="dxa" w:w="3246"/>
            <w:tcBorders>
              <w:top w:val="single" w:sz="12" w:space="0" w:color="000000"/>
              <w:left w:val="nil"/>
              <w:right w:val="nil"/>
            </w:tcBorders>
            <w:tcMar>
              <w:top w:w="80" w:type="dxa"/>
              <w:bottom w:w="80" w:type="dxa"/>
            </w:tcMar>
          </w:tcPr>
          <w:p>
            <w:pPr>
              <w:spacing w:line="480" w:lineRule="auto"/>
            </w:pPr>
            <w:r>
              <w:rPr>
                <w:b/>
                <w:sz w:val="24"/>
                <w:szCs w:val="24"/>
              </w:rPr>
              <w:t>Fuente de financiamiento</w:t>
            </w:r>
          </w:p>
        </w:tc>
      </w:tr>
      <w:tr>
        <w:trPr>
          <w:cantSplit/>
        </w:trPr>
        <w:tc>
          <w:tcPr>
            <w:tcW w:type="dxa" w:w="2922"/>
            <w:tcBorders>
              <w:left w:val="nil"/>
              <w:right w:val="nil"/>
              <w:bottom w:val="nil"/>
            </w:tcBorders>
            <w:tcMar>
              <w:top w:w="80" w:type="dxa"/>
              <w:bottom w:w="80" w:type="dxa"/>
            </w:tcMar>
          </w:tcPr>
          <w:p>
            <w:pPr>
              <w:spacing w:line="480" w:lineRule="auto"/>
            </w:pPr>
            <w:r>
              <w:rPr>
                <w:sz w:val="24"/>
                <w:szCs w:val="24"/>
              </w:rPr>
              <w:t>Recursos humanos (1.152 h, Tabla 13)</w:t>
            </w:r>
          </w:p>
        </w:tc>
        <w:tc>
          <w:tcPr>
            <w:tcW w:type="dxa" w:w="1653"/>
            <w:tcBorders>
              <w:left w:val="nil"/>
              <w:right w:val="nil"/>
              <w:bottom w:val="nil"/>
            </w:tcBorders>
            <w:tcMar>
              <w:top w:w="80" w:type="dxa"/>
              <w:bottom w:w="80" w:type="dxa"/>
            </w:tcMar>
          </w:tcPr>
          <w:p>
            <w:pPr>
              <w:spacing w:line="480" w:lineRule="auto"/>
            </w:pPr>
            <w:r>
              <w:rPr>
                <w:sz w:val="24"/>
                <w:szCs w:val="24"/>
              </w:rPr>
              <w:t>11.077.200</w:t>
            </w:r>
          </w:p>
        </w:tc>
        <w:tc>
          <w:tcPr>
            <w:tcW w:type="dxa" w:w="1539"/>
            <w:tcBorders>
              <w:left w:val="nil"/>
              <w:right w:val="nil"/>
              <w:bottom w:val="nil"/>
            </w:tcBorders>
            <w:tcMar>
              <w:top w:w="80" w:type="dxa"/>
              <w:bottom w:w="80" w:type="dxa"/>
            </w:tcMar>
          </w:tcPr>
          <w:p>
            <w:pPr>
              <w:spacing w:line="480" w:lineRule="auto"/>
            </w:pPr>
            <w:r>
              <w:rPr>
                <w:sz w:val="24"/>
                <w:szCs w:val="24"/>
              </w:rPr>
              <w:t>0</w:t>
            </w:r>
          </w:p>
        </w:tc>
        <w:tc>
          <w:tcPr>
            <w:tcW w:type="dxa" w:w="3246"/>
            <w:tcBorders>
              <w:left w:val="nil"/>
              <w:right w:val="nil"/>
              <w:bottom w:val="nil"/>
            </w:tcBorders>
            <w:tcMar>
              <w:top w:w="80" w:type="dxa"/>
              <w:bottom w:w="80" w:type="dxa"/>
            </w:tcMar>
          </w:tcPr>
          <w:p>
            <w:pPr>
              <w:spacing w:line="480" w:lineRule="auto"/>
            </w:pPr>
            <w:r>
              <w:rPr>
                <w:sz w:val="24"/>
                <w:szCs w:val="24"/>
              </w:rPr>
              <w:t>Trabajo no remunerado de los integrantes</w:t>
            </w:r>
          </w:p>
        </w:tc>
      </w:tr>
      <w:tr>
        <w:trPr>
          <w:cantSplit/>
        </w:trPr>
        <w:tc>
          <w:tcPr>
            <w:tcW w:type="dxa" w:w="2922"/>
            <w:tcBorders>
              <w:left w:val="nil"/>
              <w:right w:val="nil"/>
              <w:bottom w:val="nil"/>
            </w:tcBorders>
            <w:tcMar>
              <w:top w:w="80" w:type="dxa"/>
              <w:bottom w:w="80" w:type="dxa"/>
            </w:tcMar>
          </w:tcPr>
          <w:p>
            <w:pPr>
              <w:spacing w:line="480" w:lineRule="auto"/>
            </w:pPr>
            <w:r>
              <w:rPr>
                <w:sz w:val="24"/>
                <w:szCs w:val="24"/>
              </w:rPr>
              <w:t>Equipamiento (Tabla 12)</w:t>
            </w:r>
          </w:p>
        </w:tc>
        <w:tc>
          <w:tcPr>
            <w:tcW w:type="dxa" w:w="1653"/>
            <w:tcBorders>
              <w:left w:val="nil"/>
              <w:right w:val="nil"/>
              <w:bottom w:val="nil"/>
            </w:tcBorders>
            <w:tcMar>
              <w:top w:w="80" w:type="dxa"/>
              <w:bottom w:w="80" w:type="dxa"/>
            </w:tcMar>
          </w:tcPr>
          <w:p>
            <w:pPr>
              <w:spacing w:line="480" w:lineRule="auto"/>
            </w:pPr>
            <w:r>
              <w:rPr>
                <w:sz w:val="24"/>
                <w:szCs w:val="24"/>
              </w:rPr>
              <w:t>3.647.124</w:t>
            </w:r>
          </w:p>
        </w:tc>
        <w:tc>
          <w:tcPr>
            <w:tcW w:type="dxa" w:w="1539"/>
            <w:tcBorders>
              <w:left w:val="nil"/>
              <w:right w:val="nil"/>
              <w:bottom w:val="nil"/>
            </w:tcBorders>
            <w:tcMar>
              <w:top w:w="80" w:type="dxa"/>
              <w:bottom w:w="80" w:type="dxa"/>
            </w:tcMar>
          </w:tcPr>
          <w:p>
            <w:pPr>
              <w:spacing w:line="480" w:lineRule="auto"/>
            </w:pPr>
            <w:r>
              <w:rPr>
                <w:sz w:val="24"/>
                <w:szCs w:val="24"/>
              </w:rPr>
              <w:t>0</w:t>
            </w:r>
          </w:p>
        </w:tc>
        <w:tc>
          <w:tcPr>
            <w:tcW w:type="dxa" w:w="3246"/>
            <w:tcBorders>
              <w:left w:val="nil"/>
              <w:right w:val="nil"/>
              <w:bottom w:val="nil"/>
            </w:tcBorders>
            <w:tcMar>
              <w:top w:w="80" w:type="dxa"/>
              <w:bottom w:w="80" w:type="dxa"/>
            </w:tcMar>
          </w:tcPr>
          <w:p>
            <w:pPr>
              <w:spacing w:line="480" w:lineRule="auto"/>
            </w:pPr>
            <w:r>
              <w:rPr>
                <w:sz w:val="24"/>
                <w:szCs w:val="24"/>
              </w:rPr>
              <w:t>Aporte propio (notebook) y préstamo del tutor (cámara)</w:t>
            </w:r>
          </w:p>
        </w:tc>
      </w:tr>
      <w:tr>
        <w:trPr>
          <w:cantSplit/>
        </w:trPr>
        <w:tc>
          <w:tcPr>
            <w:tcW w:type="dxa" w:w="2922"/>
            <w:tcBorders>
              <w:left w:val="nil"/>
              <w:right w:val="nil"/>
              <w:bottom w:val="nil"/>
            </w:tcBorders>
            <w:tcMar>
              <w:top w:w="80" w:type="dxa"/>
              <w:bottom w:w="80" w:type="dxa"/>
            </w:tcMar>
          </w:tcPr>
          <w:p>
            <w:pPr>
              <w:spacing w:line="480" w:lineRule="auto"/>
            </w:pPr>
            <w:r>
              <w:rPr>
                <w:sz w:val="24"/>
                <w:szCs w:val="24"/>
              </w:rPr>
              <w:t>Infraestructura y operación (Tabla 14)</w:t>
            </w:r>
          </w:p>
        </w:tc>
        <w:tc>
          <w:tcPr>
            <w:tcW w:type="dxa" w:w="1653"/>
            <w:tcBorders>
              <w:left w:val="nil"/>
              <w:right w:val="nil"/>
              <w:bottom w:val="nil"/>
            </w:tcBorders>
            <w:tcMar>
              <w:top w:w="80" w:type="dxa"/>
              <w:bottom w:w="80" w:type="dxa"/>
            </w:tcMar>
          </w:tcPr>
          <w:p>
            <w:pPr>
              <w:spacing w:line="480" w:lineRule="auto"/>
            </w:pPr>
            <w:r>
              <w:rPr>
                <w:sz w:val="24"/>
                <w:szCs w:val="24"/>
              </w:rPr>
              <w:t>No imputado</w:t>
            </w:r>
          </w:p>
        </w:tc>
        <w:tc>
          <w:tcPr>
            <w:tcW w:type="dxa" w:w="1539"/>
            <w:tcBorders>
              <w:left w:val="nil"/>
              <w:right w:val="nil"/>
              <w:bottom w:val="nil"/>
            </w:tcBorders>
            <w:tcMar>
              <w:top w:w="80" w:type="dxa"/>
              <w:bottom w:w="80" w:type="dxa"/>
            </w:tcMar>
          </w:tcPr>
          <w:p>
            <w:pPr>
              <w:spacing w:line="480" w:lineRule="auto"/>
            </w:pPr>
            <w:r>
              <w:rPr>
                <w:sz w:val="24"/>
                <w:szCs w:val="24"/>
              </w:rPr>
              <w:t>0</w:t>
            </w:r>
          </w:p>
        </w:tc>
        <w:tc>
          <w:tcPr>
            <w:tcW w:type="dxa" w:w="3246"/>
            <w:tcBorders>
              <w:left w:val="nil"/>
              <w:right w:val="nil"/>
              <w:bottom w:val="nil"/>
            </w:tcBorders>
            <w:tcMar>
              <w:top w:w="80" w:type="dxa"/>
              <w:bottom w:w="80" w:type="dxa"/>
            </w:tcMar>
          </w:tcPr>
          <w:p>
            <w:pPr>
              <w:spacing w:line="480" w:lineRule="auto"/>
            </w:pPr>
            <w:r>
              <w:rPr>
                <w:sz w:val="24"/>
                <w:szCs w:val="24"/>
              </w:rPr>
              <w:t>Aportes en especie de CCAD-UNC, GitHub y Google</w:t>
            </w:r>
          </w:p>
        </w:tc>
      </w:tr>
      <w:tr>
        <w:trPr>
          <w:cantSplit/>
        </w:trPr>
        <w:tc>
          <w:tcPr>
            <w:tcW w:type="dxa" w:w="2922"/>
            <w:tcBorders>
              <w:left w:val="nil"/>
              <w:right w:val="nil"/>
              <w:bottom w:val="nil"/>
            </w:tcBorders>
            <w:tcMar>
              <w:top w:w="80" w:type="dxa"/>
              <w:bottom w:w="80" w:type="dxa"/>
            </w:tcMar>
          </w:tcPr>
          <w:p>
            <w:pPr>
              <w:spacing w:line="480" w:lineRule="auto"/>
            </w:pPr>
            <w:r>
              <w:rPr>
                <w:sz w:val="24"/>
                <w:szCs w:val="24"/>
              </w:rPr>
              <w:t>Movilidad (un traslado a la locación de rodaje)</w:t>
            </w:r>
          </w:p>
        </w:tc>
        <w:tc>
          <w:tcPr>
            <w:tcW w:type="dxa" w:w="1653"/>
            <w:tcBorders>
              <w:left w:val="nil"/>
              <w:right w:val="nil"/>
              <w:bottom w:val="nil"/>
            </w:tcBorders>
            <w:tcMar>
              <w:top w:w="80" w:type="dxa"/>
              <w:bottom w:w="80" w:type="dxa"/>
            </w:tcMar>
          </w:tcPr>
          <w:p>
            <w:pPr>
              <w:spacing w:line="480" w:lineRule="auto"/>
            </w:pPr>
            <w:r>
              <w:rPr>
                <w:highlight w:val="yellow"/>
                <w:sz w:val="24"/>
                <w:szCs w:val="24"/>
              </w:rPr>
              <w:t>[monto]</w:t>
            </w:r>
          </w:p>
        </w:tc>
        <w:tc>
          <w:tcPr>
            <w:tcW w:type="dxa" w:w="1539"/>
            <w:tcBorders>
              <w:left w:val="nil"/>
              <w:right w:val="nil"/>
              <w:bottom w:val="nil"/>
            </w:tcBorders>
            <w:tcMar>
              <w:top w:w="80" w:type="dxa"/>
              <w:bottom w:w="80" w:type="dxa"/>
            </w:tcMar>
          </w:tcPr>
          <w:p>
            <w:pPr>
              <w:spacing w:line="480" w:lineRule="auto"/>
            </w:pPr>
            <w:r>
              <w:rPr>
                <w:highlight w:val="yellow"/>
                <w:sz w:val="24"/>
                <w:szCs w:val="24"/>
              </w:rPr>
              <w:t>[monto]</w:t>
            </w:r>
          </w:p>
        </w:tc>
        <w:tc>
          <w:tcPr>
            <w:tcW w:type="dxa" w:w="3246"/>
            <w:tcBorders>
              <w:left w:val="nil"/>
              <w:right w:val="nil"/>
              <w:bottom w:val="nil"/>
            </w:tcBorders>
            <w:tcMar>
              <w:top w:w="80" w:type="dxa"/>
              <w:bottom w:w="80" w:type="dxa"/>
            </w:tcMar>
          </w:tcPr>
          <w:p>
            <w:pPr>
              <w:spacing w:line="480" w:lineRule="auto"/>
            </w:pPr>
            <w:r>
              <w:rPr>
                <w:sz w:val="24"/>
                <w:szCs w:val="24"/>
              </w:rPr>
              <w:t>Aporte propio</w:t>
            </w:r>
          </w:p>
        </w:tc>
      </w:tr>
      <w:tr>
        <w:trPr>
          <w:cantSplit/>
        </w:trPr>
        <w:tc>
          <w:tcPr>
            <w:tcW w:type="dxa" w:w="2922"/>
            <w:tcBorders>
              <w:left w:val="nil"/>
              <w:right w:val="nil"/>
              <w:bottom w:val="nil"/>
            </w:tcBorders>
            <w:tcMar>
              <w:top w:w="80" w:type="dxa"/>
              <w:bottom w:w="80" w:type="dxa"/>
            </w:tcMar>
          </w:tcPr>
          <w:p>
            <w:pPr>
              <w:spacing w:line="480" w:lineRule="auto"/>
            </w:pPr>
            <w:r>
              <w:rPr>
                <w:sz w:val="24"/>
                <w:szCs w:val="24"/>
              </w:rPr>
              <w:t>Locación de rodaje y utilería</w:t>
            </w:r>
          </w:p>
        </w:tc>
        <w:tc>
          <w:tcPr>
            <w:tcW w:type="dxa" w:w="1653"/>
            <w:tcBorders>
              <w:left w:val="nil"/>
              <w:right w:val="nil"/>
              <w:bottom w:val="nil"/>
            </w:tcBorders>
            <w:tcMar>
              <w:top w:w="80" w:type="dxa"/>
              <w:bottom w:w="80" w:type="dxa"/>
            </w:tcMar>
          </w:tcPr>
          <w:p>
            <w:pPr>
              <w:spacing w:line="480" w:lineRule="auto"/>
            </w:pPr>
            <w:r>
              <w:rPr>
                <w:sz w:val="24"/>
                <w:szCs w:val="24"/>
              </w:rPr>
              <w:t>No imputado</w:t>
            </w:r>
          </w:p>
        </w:tc>
        <w:tc>
          <w:tcPr>
            <w:tcW w:type="dxa" w:w="1539"/>
            <w:tcBorders>
              <w:left w:val="nil"/>
              <w:right w:val="nil"/>
              <w:bottom w:val="nil"/>
            </w:tcBorders>
            <w:tcMar>
              <w:top w:w="80" w:type="dxa"/>
              <w:bottom w:w="80" w:type="dxa"/>
            </w:tcMar>
          </w:tcPr>
          <w:p>
            <w:pPr>
              <w:spacing w:line="480" w:lineRule="auto"/>
            </w:pPr>
            <w:r>
              <w:rPr>
                <w:sz w:val="24"/>
                <w:szCs w:val="24"/>
              </w:rPr>
              <w:t>0</w:t>
            </w:r>
          </w:p>
        </w:tc>
        <w:tc>
          <w:tcPr>
            <w:tcW w:type="dxa" w:w="3246"/>
            <w:tcBorders>
              <w:left w:val="nil"/>
              <w:right w:val="nil"/>
              <w:bottom w:val="nil"/>
            </w:tcBorders>
            <w:tcMar>
              <w:top w:w="80" w:type="dxa"/>
              <w:bottom w:w="80" w:type="dxa"/>
            </w:tcMar>
          </w:tcPr>
          <w:p>
            <w:pPr>
              <w:spacing w:line="480" w:lineRule="auto"/>
            </w:pPr>
            <w:r>
              <w:rPr>
                <w:sz w:val="24"/>
                <w:szCs w:val="24"/>
              </w:rPr>
              <w:t>Préstamo de Steel Brox S.R.L.</w:t>
            </w:r>
          </w:p>
        </w:tc>
      </w:tr>
      <w:tr>
        <w:trPr>
          <w:cantSplit/>
        </w:trPr>
        <w:tc>
          <w:tcPr>
            <w:tcW w:type="dxa" w:w="2922"/>
            <w:tcBorders>
              <w:left w:val="nil"/>
              <w:right w:val="nil"/>
            </w:tcBorders>
            <w:tcMar>
              <w:top w:w="80" w:type="dxa"/>
              <w:bottom w:w="80" w:type="dxa"/>
            </w:tcMar>
          </w:tcPr>
          <w:p>
            <w:pPr>
              <w:spacing w:line="480" w:lineRule="auto"/>
            </w:pPr>
            <w:r>
              <w:rPr>
                <w:b/>
                <w:sz w:val="24"/>
                <w:szCs w:val="24"/>
              </w:rPr>
              <w:t>Total</w:t>
            </w:r>
          </w:p>
        </w:tc>
        <w:tc>
          <w:tcPr>
            <w:tcW w:type="dxa" w:w="1653"/>
            <w:tcBorders>
              <w:left w:val="nil"/>
              <w:right w:val="nil"/>
            </w:tcBorders>
            <w:tcMar>
              <w:top w:w="80" w:type="dxa"/>
              <w:bottom w:w="80" w:type="dxa"/>
            </w:tcMar>
          </w:tcPr>
          <w:p>
            <w:pPr>
              <w:spacing w:line="480" w:lineRule="auto"/>
            </w:pPr>
            <w:r>
              <w:rPr>
                <w:b/>
                <w:sz w:val="24"/>
                <w:szCs w:val="24"/>
              </w:rPr>
              <w:t>14.724.324 + `[monto]`</w:t>
            </w:r>
          </w:p>
        </w:tc>
        <w:tc>
          <w:tcPr>
            <w:tcW w:type="dxa" w:w="1539"/>
            <w:tcBorders>
              <w:left w:val="nil"/>
              <w:right w:val="nil"/>
            </w:tcBorders>
            <w:tcMar>
              <w:top w:w="80" w:type="dxa"/>
              <w:bottom w:w="80" w:type="dxa"/>
            </w:tcMar>
          </w:tcPr>
          <w:p>
            <w:pPr>
              <w:spacing w:line="480" w:lineRule="auto"/>
            </w:pPr>
            <w:r>
              <w:rPr>
                <w:b/>
                <w:sz w:val="24"/>
                <w:szCs w:val="24"/>
              </w:rPr>
              <w:t>`[monto]`</w:t>
            </w:r>
          </w:p>
        </w:tc>
        <w:tc>
          <w:tcPr>
            <w:tcW w:type="dxa" w:w="3246"/>
            <w:tcBorders>
              <w:left w:val="nil"/>
              <w:right w:val="nil"/>
            </w:tcBorders>
            <w:tcMar>
              <w:top w:w="80" w:type="dxa"/>
              <w:bottom w:w="80" w:type="dxa"/>
            </w:tcMar>
          </w:tcPr>
          <w:p>
            <w:pPr>
              <w:spacing w:line="480" w:lineRule="auto"/>
            </w:pPr>
          </w:p>
        </w:tc>
      </w:tr>
    </w:tbl>
    <w:p>
      <w:r>
        <w:rPr>
          <w:b/>
          <w:i/>
        </w:rPr>
        <w:t>Nota</w:t>
      </w:r>
      <w:r>
        <w:rPr>
          <w:i/>
        </w:rPr>
        <w:t xml:space="preserve">. </w:t>
      </w:r>
      <w:r>
        <w:rPr/>
        <w:t>El costo valorizado suma la valorización de las horas ejecutadas y el valor de referencia del equipamiento aportado. Los componentes "No imputado" son aportes en especie cuyo equivalente monetario no altera el orden de magnitud del total.</w:t>
      </w:r>
    </w:p>
    <w:p>
      <w:pPr>
        <w:ind w:firstLine="720"/>
      </w:pPr>
      <w:r>
        <w:rPr/>
        <w:t>El costo valorizado del proyecto es de unos $14,7 millones, de los cuales el 75 % corresponde a las horas de trabajo de los integrantes y el resto al equipamiento aportado. El gasto efectivo se limita al traslado a la locación de rodaje. Ese contraste es la conclusión económica central. El proyecto se financia íntegramente con trabajo propio y con aportes en especie, sin subsidios ni financiamiento externo, y ninguno de esos aportes exige una contraprestación.</w:t>
      </w:r>
    </w:p>
    <w:p>
      <w:pPr>
        <w:ind w:firstLine="720"/>
      </w:pPr>
      <w:r>
        <w:rPr>
          <w:b/>
        </w:rPr>
        <w:t>Ingresos esperados.</w:t>
      </w:r>
      <w:r>
        <w:rPr/>
        <w:t xml:space="preserve"> No los hay ni se proyectan. El producto es una plataforma experimental de medición, no un sistema comercial, y su valor se expresa en la evidencia que produce y en el conocimiento transferible sobre detección de vocabulario abierto en el dominio de la obra.</w:t>
      </w:r>
    </w:p>
    <w:p>
      <w:pPr>
        <w:ind w:firstLine="720"/>
      </w:pPr>
      <w:r>
        <w:rPr>
          <w:b/>
        </w:rPr>
        <w:t>Ahorros.</w:t>
      </w:r>
      <w:r>
        <w:rPr/>
        <w:t xml:space="preserve"> Se identifican tres costos evitados, dos de ellos medidos en el propio proyecto.</w:t>
      </w:r>
    </w:p>
    <w:p>
      <w:pPr>
        <w:ind w:left="720" w:hanging="360"/>
      </w:pPr>
      <w:r>
        <w:rPr/>
        <w:t>1.</w:t>
        <w:tab/>
      </w:r>
      <w:r>
        <w:rPr>
          <w:b/>
        </w:rPr>
        <w:t>Licencias.</w:t>
      </w:r>
      <w:r>
        <w:rPr/>
        <w:t xml:space="preserve"> El conjunto de herramientas de código abierto elimina el costo de licencias de software de inferencia, de anotación y de despliegue, con la única salvedad sobre AGPL-3.0 señalada en la Tabla 14.</w:t>
      </w:r>
    </w:p>
    <w:p>
      <w:pPr>
        <w:ind w:left="720" w:hanging="360"/>
      </w:pPr>
      <w:r>
        <w:rPr/>
        <w:t>2.</w:t>
        <w:tab/>
      </w:r>
      <w:r>
        <w:rPr>
          <w:b/>
        </w:rPr>
        <w:t>Entrenamiento.</w:t>
      </w:r>
      <w:r>
        <w:rPr/>
        <w:t xml:space="preserve"> La detección de vocabulario abierto permite operar sin entrenar. Agregar un conjunto de cinco clases que la plataforma nunca había configurado costó un archivo de configuración de 48 líneas y nueve minutos de tiempo de pared, sin anotar datos ni entrenar, y la clase </w:t>
      </w:r>
      <w:r>
        <w:rPr>
          <w:i/>
        </w:rPr>
        <w:t>machinery</w:t>
      </w:r>
      <w:r>
        <w:rPr/>
        <w:t xml:space="preserve"> alcanzó una AP@0.5 zero-shot de 0,662. En contraste, la rama de ajuste fino consumió 1,2 GPU-h de clúster más el trabajo de preparar datos, entorno y recetas, y no produjo un modelo adoptable. Para el alcance de este trabajo, el costo de entrenar fue un costo sin retorno y el costo de no entrenar fue nulo.</w:t>
      </w:r>
    </w:p>
    <w:p>
      <w:pPr>
        <w:ind w:left="720" w:hanging="360"/>
      </w:pPr>
      <w:r>
        <w:rPr/>
        <w:t>3.</w:t>
        <w:tab/>
      </w:r>
      <w:r>
        <w:rPr>
          <w:b/>
        </w:rPr>
        <w:t>Hardware.</w:t>
      </w:r>
      <w:r>
        <w:rPr/>
        <w:t xml:space="preserve"> La plataforma completa, con sus tres servicios y la inferencia del modelo campeón, corre en una notebook de consumo. No requiere estación de trabajo ni servidor con GPU de centro de datos.</w:t>
      </w:r>
    </w:p>
    <w:p>
      <w:pPr>
        <w:ind w:firstLine="720"/>
      </w:pPr>
      <w:r>
        <w:rPr>
          <w:b/>
        </w:rPr>
        <w:t>Costo de replicación.</w:t>
      </w:r>
      <w:r>
        <w:rPr/>
        <w:t xml:space="preserve"> Una unidad mínima de despliegue, compuesta por un nodo de procesamiento, una cámara PoE con su cable y un inyector PoE, tiene un costo de referencia de $3.685.484 al tipo de cambio declarado. El software no agrega costo. Tres cuartas partes de ese monto corresponden a la notebook, de modo que el costo de la unidad sigue de cerca al precio de un equipo de consumo con GPU y baja con él.</w:t>
      </w:r>
    </w:p>
    <w:sectPr w:rsidR="007377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4C6A" w14:textId="77777777" w:rsidR="00A0065B" w:rsidRDefault="00A0065B">
      <w:pPr>
        <w:spacing w:line="240" w:lineRule="auto"/>
      </w:pPr>
      <w:r>
        <w:separator/>
      </w:r>
    </w:p>
  </w:endnote>
  <w:endnote w:type="continuationSeparator" w:id="0">
    <w:p w14:paraId="660921F5" w14:textId="77777777" w:rsidR="00A0065B" w:rsidRDefault="00A006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7A61AC-858C-4426-B394-D1AD0AC765D6}"/>
    <w:embedItalic r:id="rId2" w:fontKey="{33A21DF1-2D2C-4098-A75B-F5E69273B5BB}"/>
  </w:font>
  <w:font w:name="Cambria">
    <w:panose1 w:val="02040503050406030204"/>
    <w:charset w:val="00"/>
    <w:family w:val="roman"/>
    <w:pitch w:val="variable"/>
    <w:sig w:usb0="E00006FF" w:usb1="420024FF" w:usb2="02000000" w:usb3="00000000" w:csb0="0000019F" w:csb1="00000000"/>
    <w:embedRegular r:id="rId3" w:fontKey="{2D0A1ECD-8CB9-4C66-A5E3-53D707916365}"/>
  </w:font>
  <w:font w:name="Cambria Math">
    <w:panose1 w:val="02040503050406030204"/>
    <w:charset w:val="00"/>
    <w:family w:val="roman"/>
    <w:pitch w:val="variable"/>
    <w:sig w:usb0="E00006FF" w:usb1="420024FF" w:usb2="02000000" w:usb3="00000000" w:csb0="0000019F" w:csb1="00000000"/>
    <w:embedRegular r:id="rId4" w:fontKey="{03F703FE-2C06-4A5F-BC59-3084D586DB9E}"/>
    <w:embedBold r:id="rId5" w:fontKey="{F9509545-E4BA-4673-90B7-01C4BB8818E6}"/>
    <w:embedItalic r:id="rId6" w:fontKey="{B82A1063-5313-408F-80DB-4EF795E23962}"/>
    <w:embedBoldItalic r:id="rId7" w:fontKey="{C3B9D95B-621B-480A-939F-DBE41FBD6D06}"/>
  </w:font>
  <w:font w:name="Cardo">
    <w:charset w:val="00"/>
    <w:family w:val="auto"/>
    <w:pitch w:val="default"/>
    <w:embedRegular r:id="rId8" w:fontKey="{B17F004C-9169-44E8-A5BE-D095E90C0A0E}"/>
  </w:font>
  <w:font w:name="Gungsuh">
    <w:charset w:val="81"/>
    <w:family w:val="roman"/>
    <w:pitch w:val="variable"/>
    <w:sig w:usb0="B00002AF" w:usb1="69D77CFB" w:usb2="00000030" w:usb3="00000000" w:csb0="0008009F" w:csb1="00000000"/>
    <w:embedRegular r:id="rId9" w:subsetted="1" w:fontKey="{397D8991-CDBD-4299-9B02-344C6834BB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E5CD" w14:textId="77777777" w:rsidR="007377EE" w:rsidRDefault="00000000">
    <w:pPr>
      <w:pBdr>
        <w:top w:val="nil"/>
        <w:left w:val="nil"/>
        <w:bottom w:val="nil"/>
        <w:right w:val="nil"/>
        <w:between w:val="nil"/>
      </w:pBdr>
      <w:tabs>
        <w:tab w:val="center" w:pos="4680"/>
        <w:tab w:val="right" w:pos="9360"/>
      </w:tabs>
      <w:spacing w:line="240" w:lineRule="auto"/>
      <w:jc w:val="center"/>
      <w:rPr>
        <w:color w:val="000000"/>
      </w:rPr>
    </w:pPr>
    <w:r>
      <w:t xml:space="preserve">Página </w:t>
    </w:r>
    <w:r>
      <w:fldChar w:fldCharType="begin"/>
    </w:r>
    <w:r>
      <w:instrText>PAGE</w:instrText>
    </w:r>
    <w:r>
      <w:fldChar w:fldCharType="separate"/>
    </w:r>
    <w:r w:rsidR="005941E7">
      <w:rPr>
        <w:noProof/>
      </w:rPr>
      <w:t>2</w:t>
    </w:r>
    <w:r>
      <w:fldChar w:fldCharType="end"/>
    </w:r>
    <w:r>
      <w:t xml:space="preserve"> de </w:t>
    </w:r>
    <w:r>
      <w:fldChar w:fldCharType="begin"/>
    </w:r>
    <w:r>
      <w:instrText>NUMPAGES</w:instrText>
    </w:r>
    <w:r>
      <w:fldChar w:fldCharType="separate"/>
    </w:r>
    <w:r w:rsidR="005941E7">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49B2" w14:textId="77777777" w:rsidR="007377EE" w:rsidRDefault="007377E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C112" w14:textId="77777777" w:rsidR="00A0065B" w:rsidRDefault="00A0065B">
      <w:pPr>
        <w:spacing w:line="240" w:lineRule="auto"/>
      </w:pPr>
      <w:r>
        <w:separator/>
      </w:r>
    </w:p>
  </w:footnote>
  <w:footnote w:type="continuationSeparator" w:id="0">
    <w:p w14:paraId="09E09545" w14:textId="77777777" w:rsidR="00A0065B" w:rsidRDefault="00A006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3B43" w14:textId="77777777" w:rsidR="007377EE" w:rsidRDefault="007377E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FBB9" w14:textId="77777777" w:rsidR="007377EE" w:rsidRDefault="007377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7DF7"/>
    <w:multiLevelType w:val="multilevel"/>
    <w:tmpl w:val="6A78F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CC6F32"/>
    <w:multiLevelType w:val="multilevel"/>
    <w:tmpl w:val="3FFC19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446E4F"/>
    <w:multiLevelType w:val="multilevel"/>
    <w:tmpl w:val="3DC8B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DA02BC"/>
    <w:multiLevelType w:val="multilevel"/>
    <w:tmpl w:val="045EE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4D2851"/>
    <w:multiLevelType w:val="multilevel"/>
    <w:tmpl w:val="E50CA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8231E7"/>
    <w:multiLevelType w:val="multilevel"/>
    <w:tmpl w:val="60E0F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364F5D"/>
    <w:multiLevelType w:val="multilevel"/>
    <w:tmpl w:val="B63CB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DF317AA"/>
    <w:multiLevelType w:val="multilevel"/>
    <w:tmpl w:val="266A1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996D78"/>
    <w:multiLevelType w:val="multilevel"/>
    <w:tmpl w:val="DE0E5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BE362B"/>
    <w:multiLevelType w:val="multilevel"/>
    <w:tmpl w:val="8BBC2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19174D"/>
    <w:multiLevelType w:val="multilevel"/>
    <w:tmpl w:val="145ED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486A63"/>
    <w:multiLevelType w:val="multilevel"/>
    <w:tmpl w:val="4D1C8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C019FD"/>
    <w:multiLevelType w:val="multilevel"/>
    <w:tmpl w:val="6B6CA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655F5A"/>
    <w:multiLevelType w:val="multilevel"/>
    <w:tmpl w:val="B1AEF202"/>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2070105600">
    <w:abstractNumId w:val="6"/>
  </w:num>
  <w:num w:numId="2" w16cid:durableId="853422712">
    <w:abstractNumId w:val="1"/>
  </w:num>
  <w:num w:numId="3" w16cid:durableId="937444540">
    <w:abstractNumId w:val="9"/>
  </w:num>
  <w:num w:numId="4" w16cid:durableId="1417749344">
    <w:abstractNumId w:val="4"/>
  </w:num>
  <w:num w:numId="5" w16cid:durableId="1870218191">
    <w:abstractNumId w:val="0"/>
  </w:num>
  <w:num w:numId="6" w16cid:durableId="1291476666">
    <w:abstractNumId w:val="10"/>
  </w:num>
  <w:num w:numId="7" w16cid:durableId="2077194502">
    <w:abstractNumId w:val="3"/>
  </w:num>
  <w:num w:numId="8" w16cid:durableId="1105153720">
    <w:abstractNumId w:val="11"/>
  </w:num>
  <w:num w:numId="9" w16cid:durableId="972490403">
    <w:abstractNumId w:val="8"/>
  </w:num>
  <w:num w:numId="10" w16cid:durableId="270402195">
    <w:abstractNumId w:val="7"/>
  </w:num>
  <w:num w:numId="11" w16cid:durableId="756175637">
    <w:abstractNumId w:val="2"/>
  </w:num>
  <w:num w:numId="12" w16cid:durableId="1173912581">
    <w:abstractNumId w:val="13"/>
  </w:num>
  <w:num w:numId="13" w16cid:durableId="630282756">
    <w:abstractNumId w:val="5"/>
  </w:num>
  <w:num w:numId="14" w16cid:durableId="1733501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7EE"/>
    <w:rsid w:val="000948D6"/>
    <w:rsid w:val="005941E7"/>
    <w:rsid w:val="005F6D22"/>
    <w:rsid w:val="00627C4E"/>
    <w:rsid w:val="006E25AA"/>
    <w:rsid w:val="00722879"/>
    <w:rsid w:val="007377EE"/>
    <w:rsid w:val="007C23D7"/>
    <w:rsid w:val="007D0E3D"/>
    <w:rsid w:val="008D528C"/>
    <w:rsid w:val="009736F5"/>
    <w:rsid w:val="00A0065B"/>
    <w:rsid w:val="00DA2DD9"/>
    <w:rsid w:val="00DA2E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AE73"/>
  <w15:docId w15:val="{8751A9B8-6128-43BD-AFE0-391604D5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s-A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bCs/>
      <w:color w:val="000000"/>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unhideWhenUsed/>
    <w:qFormat/>
    <w:pPr>
      <w:keepNext/>
      <w:keepLines/>
      <w:outlineLvl w:val="2"/>
    </w:pPr>
    <w:rPr>
      <w:b/>
      <w:bCs/>
      <w:i/>
      <w:iCs/>
    </w:rPr>
  </w:style>
  <w:style w:type="paragraph" w:styleId="Ttulo4">
    <w:name w:val="heading 4"/>
    <w:basedOn w:val="Normal"/>
    <w:next w:val="Normal"/>
    <w:uiPriority w:val="9"/>
    <w:unhideWhenUsed/>
    <w:qFormat/>
    <w:pPr>
      <w:keepNext/>
      <w:keepLines/>
      <w:outlineLvl w:val="3"/>
    </w:pPr>
    <w:rPr>
      <w:b/>
      <w:bCs/>
    </w:rPr>
  </w:style>
  <w:style w:type="paragraph" w:styleId="Ttulo5">
    <w:name w:val="heading 5"/>
    <w:basedOn w:val="Normal"/>
    <w:next w:val="Normal"/>
    <w:uiPriority w:val="9"/>
    <w:unhideWhenUsed/>
    <w:qFormat/>
    <w:pPr>
      <w:keepNext/>
      <w:keepLines/>
      <w:outlineLvl w:val="4"/>
    </w:pPr>
    <w:rPr>
      <w:b/>
      <w:bCs/>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pPr>
      <w:spacing w:line="240" w:lineRule="auto"/>
    </w:pPr>
    <w:rPr>
      <w:sz w:val="18"/>
      <w:szCs w:val="18"/>
    </w:rPr>
    <w:tblPr>
      <w:tblStyleRowBandSize w:val="1"/>
      <w:tblStyleColBandSize w:val="1"/>
      <w:tblCellMar>
        <w:top w:w="0" w:type="dxa"/>
        <w:left w:w="108" w:type="dxa"/>
        <w:bottom w:w="0" w:type="dxa"/>
        <w:right w:w="108" w:type="dxa"/>
      </w:tblCellMar>
    </w:tblPr>
  </w:style>
  <w:style w:type="table" w:customStyle="1" w:styleId="af1">
    <w:basedOn w:val="TableNormal"/>
    <w:pPr>
      <w:spacing w:line="240" w:lineRule="auto"/>
    </w:pPr>
    <w:rPr>
      <w:sz w:val="18"/>
      <w:szCs w:val="18"/>
    </w:rPr>
    <w:tblPr>
      <w:tblStyleRowBandSize w:val="1"/>
      <w:tblStyleColBandSize w:val="1"/>
      <w:tblCellMar>
        <w:top w:w="0" w:type="dxa"/>
        <w:left w:w="108" w:type="dxa"/>
        <w:bottom w:w="0" w:type="dxa"/>
        <w:right w:w="108" w:type="dxa"/>
      </w:tblCellMar>
    </w:tblPr>
  </w:style>
  <w:style w:type="table" w:customStyle="1" w:styleId="af2">
    <w:basedOn w:val="TableNormal"/>
    <w:pPr>
      <w:spacing w:line="240" w:lineRule="auto"/>
    </w:pPr>
    <w:rPr>
      <w:sz w:val="18"/>
      <w:szCs w:val="18"/>
    </w:rPr>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Pr>
  </w:style>
  <w:style w:type="table" w:customStyle="1" w:styleId="af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paragraph" w:styleId="Descripcin">
    <w:name w:val="caption"/>
    <w:basedOn w:val="Normal"/>
    <w:next w:val="Normal"/>
    <w:uiPriority w:val="35"/>
    <w:unhideWhenUsed/>
    <w:qFormat/>
    <w:rsid w:val="006E25AA"/>
    <w:pPr>
      <w:spacing w:line="360" w:lineRule="auto"/>
    </w:pPr>
    <w:rPr>
      <w:b/>
      <w:i/>
      <w:iCs/>
      <w:color w:val="000000" w:themeColor="text1"/>
      <w:szCs w:val="18"/>
    </w:rPr>
  </w:style>
  <w:style w:type="paragraph" w:styleId="TtuloTDC">
    <w:name w:val="TOC Heading"/>
    <w:basedOn w:val="Ttulo1"/>
    <w:next w:val="Normal"/>
    <w:uiPriority w:val="39"/>
    <w:unhideWhenUsed/>
    <w:qFormat/>
    <w:rsid w:val="00DA2E3C"/>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s-AR"/>
    </w:rPr>
  </w:style>
  <w:style w:type="paragraph" w:styleId="TDC1">
    <w:name w:val="toc 1"/>
    <w:basedOn w:val="Normal"/>
    <w:next w:val="Normal"/>
    <w:autoRedefine/>
    <w:uiPriority w:val="39"/>
    <w:unhideWhenUsed/>
    <w:rsid w:val="00DA2E3C"/>
    <w:pPr>
      <w:spacing w:after="100"/>
    </w:pPr>
  </w:style>
  <w:style w:type="paragraph" w:styleId="TDC2">
    <w:name w:val="toc 2"/>
    <w:basedOn w:val="Normal"/>
    <w:next w:val="Normal"/>
    <w:autoRedefine/>
    <w:uiPriority w:val="39"/>
    <w:unhideWhenUsed/>
    <w:rsid w:val="00DA2E3C"/>
    <w:pPr>
      <w:spacing w:after="100"/>
      <w:ind w:left="240"/>
    </w:pPr>
  </w:style>
  <w:style w:type="paragraph" w:styleId="TDC3">
    <w:name w:val="toc 3"/>
    <w:basedOn w:val="Normal"/>
    <w:next w:val="Normal"/>
    <w:autoRedefine/>
    <w:uiPriority w:val="39"/>
    <w:unhideWhenUsed/>
    <w:rsid w:val="00DA2E3C"/>
    <w:pPr>
      <w:spacing w:after="100"/>
      <w:ind w:left="480"/>
    </w:pPr>
  </w:style>
  <w:style w:type="paragraph" w:styleId="TDC4">
    <w:name w:val="toc 4"/>
    <w:basedOn w:val="Normal"/>
    <w:next w:val="Normal"/>
    <w:autoRedefine/>
    <w:uiPriority w:val="39"/>
    <w:unhideWhenUsed/>
    <w:rsid w:val="00DA2E3C"/>
    <w:pPr>
      <w:spacing w:after="100" w:line="278" w:lineRule="auto"/>
      <w:ind w:left="720"/>
    </w:pPr>
    <w:rPr>
      <w:rFonts w:asciiTheme="minorHAnsi" w:eastAsiaTheme="minorEastAsia" w:hAnsiTheme="minorHAnsi" w:cstheme="minorBidi"/>
      <w:kern w:val="2"/>
      <w:lang w:val="es-AR"/>
      <w14:ligatures w14:val="standardContextual"/>
    </w:rPr>
  </w:style>
  <w:style w:type="paragraph" w:styleId="TDC5">
    <w:name w:val="toc 5"/>
    <w:basedOn w:val="Normal"/>
    <w:next w:val="Normal"/>
    <w:autoRedefine/>
    <w:uiPriority w:val="39"/>
    <w:unhideWhenUsed/>
    <w:rsid w:val="00DA2E3C"/>
    <w:pPr>
      <w:spacing w:after="100" w:line="278" w:lineRule="auto"/>
      <w:ind w:left="960"/>
    </w:pPr>
    <w:rPr>
      <w:rFonts w:asciiTheme="minorHAnsi" w:eastAsiaTheme="minorEastAsia" w:hAnsiTheme="minorHAnsi" w:cstheme="minorBidi"/>
      <w:kern w:val="2"/>
      <w:lang w:val="es-AR"/>
      <w14:ligatures w14:val="standardContextual"/>
    </w:rPr>
  </w:style>
  <w:style w:type="paragraph" w:styleId="TDC6">
    <w:name w:val="toc 6"/>
    <w:basedOn w:val="Normal"/>
    <w:next w:val="Normal"/>
    <w:autoRedefine/>
    <w:uiPriority w:val="39"/>
    <w:unhideWhenUsed/>
    <w:rsid w:val="00DA2E3C"/>
    <w:pPr>
      <w:spacing w:after="100" w:line="278" w:lineRule="auto"/>
      <w:ind w:left="1200"/>
    </w:pPr>
    <w:rPr>
      <w:rFonts w:asciiTheme="minorHAnsi" w:eastAsiaTheme="minorEastAsia" w:hAnsiTheme="minorHAnsi" w:cstheme="minorBidi"/>
      <w:kern w:val="2"/>
      <w:lang w:val="es-AR"/>
      <w14:ligatures w14:val="standardContextual"/>
    </w:rPr>
  </w:style>
  <w:style w:type="paragraph" w:styleId="TDC7">
    <w:name w:val="toc 7"/>
    <w:basedOn w:val="Normal"/>
    <w:next w:val="Normal"/>
    <w:autoRedefine/>
    <w:uiPriority w:val="39"/>
    <w:unhideWhenUsed/>
    <w:rsid w:val="00DA2E3C"/>
    <w:pPr>
      <w:spacing w:after="100" w:line="278" w:lineRule="auto"/>
      <w:ind w:left="1440"/>
    </w:pPr>
    <w:rPr>
      <w:rFonts w:asciiTheme="minorHAnsi" w:eastAsiaTheme="minorEastAsia" w:hAnsiTheme="minorHAnsi" w:cstheme="minorBidi"/>
      <w:kern w:val="2"/>
      <w:lang w:val="es-AR"/>
      <w14:ligatures w14:val="standardContextual"/>
    </w:rPr>
  </w:style>
  <w:style w:type="paragraph" w:styleId="TDC8">
    <w:name w:val="toc 8"/>
    <w:basedOn w:val="Normal"/>
    <w:next w:val="Normal"/>
    <w:autoRedefine/>
    <w:uiPriority w:val="39"/>
    <w:unhideWhenUsed/>
    <w:rsid w:val="00DA2E3C"/>
    <w:pPr>
      <w:spacing w:after="100" w:line="278" w:lineRule="auto"/>
      <w:ind w:left="1680"/>
    </w:pPr>
    <w:rPr>
      <w:rFonts w:asciiTheme="minorHAnsi" w:eastAsiaTheme="minorEastAsia" w:hAnsiTheme="minorHAnsi" w:cstheme="minorBidi"/>
      <w:kern w:val="2"/>
      <w:lang w:val="es-AR"/>
      <w14:ligatures w14:val="standardContextual"/>
    </w:rPr>
  </w:style>
  <w:style w:type="paragraph" w:styleId="TDC9">
    <w:name w:val="toc 9"/>
    <w:basedOn w:val="Normal"/>
    <w:next w:val="Normal"/>
    <w:autoRedefine/>
    <w:uiPriority w:val="39"/>
    <w:unhideWhenUsed/>
    <w:rsid w:val="00DA2E3C"/>
    <w:pPr>
      <w:spacing w:after="100" w:line="278" w:lineRule="auto"/>
      <w:ind w:left="1920"/>
    </w:pPr>
    <w:rPr>
      <w:rFonts w:asciiTheme="minorHAnsi" w:eastAsiaTheme="minorEastAsia" w:hAnsiTheme="minorHAnsi" w:cstheme="minorBidi"/>
      <w:kern w:val="2"/>
      <w:lang w:val="es-AR"/>
      <w14:ligatures w14:val="standardContextual"/>
    </w:rPr>
  </w:style>
  <w:style w:type="character" w:styleId="Hipervnculo">
    <w:name w:val="Hyperlink"/>
    <w:basedOn w:val="Fuentedeprrafopredeter"/>
    <w:uiPriority w:val="99"/>
    <w:unhideWhenUsed/>
    <w:rsid w:val="00DA2E3C"/>
    <w:rPr>
      <w:color w:val="0000FF" w:themeColor="hyperlink"/>
      <w:u w:val="single"/>
    </w:rPr>
  </w:style>
  <w:style w:type="character" w:styleId="Mencinsinresolver">
    <w:name w:val="Unresolved Mention"/>
    <w:basedOn w:val="Fuentedeprrafopredeter"/>
    <w:uiPriority w:val="99"/>
    <w:semiHidden/>
    <w:unhideWhenUsed/>
    <w:rsid w:val="00DA2E3C"/>
    <w:rPr>
      <w:color w:val="605E5C"/>
      <w:shd w:val="clear" w:color="auto" w:fill="E1DFDD"/>
    </w:rPr>
  </w:style>
  <w:style w:type="paragraph" w:styleId="Tabladeilustraciones">
    <w:name w:val="table of figures"/>
    <w:basedOn w:val="Normal"/>
    <w:next w:val="Normal"/>
    <w:uiPriority w:val="99"/>
    <w:unhideWhenUsed/>
    <w:rsid w:val="00DA2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5" Type="http://schemas.openxmlformats.org/officeDocument/2006/relationships/webSettings" Target="webSettings.xml"/><Relationship Id="rId69"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00F86-2AAF-4465-B71F-1C24FF587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610</Pages>
  <Words>123144</Words>
  <Characters>753643</Characters>
  <Application>Microsoft Office Word</Application>
  <DocSecurity>0</DocSecurity>
  <Lines>14777</Lines>
  <Paragraphs>5964</Paragraphs>
  <ScaleCrop>false</ScaleCrop>
  <Company/>
  <LinksUpToDate>false</LinksUpToDate>
  <CharactersWithSpaces>870823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E-OVRT-VDP — Secciones 14.4 y 17.2 (Costos asociados) — documento de trabajo v0.1</dc:title>
  <dc:creator>Matias Carrizo</dc:creator>
  <cp:lastModifiedBy>Matias Carrizo</cp:lastModifiedBy>
  <cp:revision>2</cp:revision>
  <cp:lastPrinted>2026-06-05T04:52:00Z</cp:lastPrinted>
  <dcterms:created xsi:type="dcterms:W3CDTF">2026-06-05T04:56:00Z</dcterms:created>
  <dcterms:modified xsi:type="dcterms:W3CDTF">2026-06-05T04:56:00Z</dcterms:modified>
</cp:coreProperties>
</file>