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heading=h.j9s40ucjary6" w:id="0"/>
      <w:bookmarkEnd w:id="0"/>
      <w:r w:rsidDel="00000000" w:rsidR="00000000" w:rsidRPr="00000000">
        <w:rPr>
          <w:rFonts w:ascii="Times New Roman" w:cs="Times New Roman" w:eastAsia="Times New Roman" w:hAnsi="Times New Roman"/>
          <w:b w:val="1"/>
          <w:bCs w:val="1"/>
          <w:sz w:val="24"/>
          <w:szCs w:val="24"/>
          <w:rtl w:val="0"/>
        </w:rPr>
        <w:t xml:space="preserve">15. Estado del arte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u4gwvq667qmt"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i7h6tihjrcrp"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3vzukfq0sbd7"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arquitectónicos y modelos representativos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e incorpora el lenguaje dentro de la predicción mediante fusión multimodal. Grounding DINO (Liu et al., 2024) organiza esa integración en un Feature Enhancer que alinea representaciones visuales y textuales, una selección de consultas guiada por lenguaje y un decoder de modalidad cruzada que refina cajas y las vincula con fragmentos del prompt. La fusión profunda favorece expresiones referenciales y consultas con atributos, aunque incrementa el costo computacional y la complejidad de despliegue.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paradigma adapta detectores one-stage de la familia YOLO para puntuar regiones frente a representaciones textuales. YOLO-World (Cheng et al., 2024) incorpora interacción visión-lenguaje en su neck y permite </w:t>
      </w:r>
      <w:r w:rsidDel="00000000" w:rsidR="00000000" w:rsidRPr="00000000">
        <w:rPr>
          <w:rFonts w:ascii="Times New Roman" w:cs="Times New Roman" w:eastAsia="Times New Roman" w:hAnsi="Times New Roman"/>
          <w:sz w:val="24"/>
          <w:szCs w:val="24"/>
          <w:rtl w:val="0"/>
        </w:rPr>
        <w:t xml:space="preserve">reutilizar</w:t>
      </w:r>
      <w:r w:rsidDel="00000000" w:rsidR="00000000" w:rsidRPr="00000000">
        <w:rPr>
          <w:rFonts w:ascii="Times New Roman" w:cs="Times New Roman" w:eastAsia="Times New Roman" w:hAnsi="Times New Roman"/>
          <w:sz w:val="24"/>
          <w:szCs w:val="24"/>
          <w:rtl w:val="0"/>
        </w:rPr>
        <w:t xml:space="preserve"> un vocabulario precomputado; YOLOE (A. Wang et al., 2025) amplía la </w:t>
      </w:r>
      <w:r w:rsidDel="00000000" w:rsidR="00000000" w:rsidRPr="00000000">
        <w:rPr>
          <w:rFonts w:ascii="Times New Roman" w:cs="Times New Roman" w:eastAsia="Times New Roman" w:hAnsi="Times New Roman"/>
          <w:sz w:val="24"/>
          <w:szCs w:val="24"/>
          <w:rtl w:val="0"/>
        </w:rPr>
        <w:t xml:space="preserve">reparametrización</w:t>
      </w:r>
      <w:r w:rsidDel="00000000" w:rsidR="00000000" w:rsidRPr="00000000">
        <w:rPr>
          <w:rFonts w:ascii="Times New Roman" w:cs="Times New Roman" w:eastAsia="Times New Roman" w:hAnsi="Times New Roman"/>
          <w:sz w:val="24"/>
          <w:szCs w:val="24"/>
          <w:rtl w:val="0"/>
        </w:rPr>
        <w:t xml:space="preserve"> para admitir prompts textuales, visuales y un modo sin prompt. Esta familia prioriza eficiencia y compatibilidad con pipelines de baja latencia, a cambio de una expresividad más acotada ante consultas relacionales o altamente composicionales.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deriva la detección del paradigma dual-encoder de CLIP: imagen y texto se proyectan en un espacio compartido y la clase de cada región se obtiene por compatibilidad semántica, no mediante </w:t>
      </w:r>
      <w:r w:rsidDel="00000000" w:rsidR="00000000" w:rsidRPr="00000000">
        <w:rPr>
          <w:rFonts w:ascii="Times New Roman" w:cs="Times New Roman" w:eastAsia="Times New Roman" w:hAnsi="Times New Roman"/>
          <w:sz w:val="24"/>
          <w:szCs w:val="24"/>
          <w:rtl w:val="0"/>
        </w:rPr>
        <w:t xml:space="preserve">logits</w:t>
      </w:r>
      <w:r w:rsidDel="00000000" w:rsidR="00000000" w:rsidRPr="00000000">
        <w:rPr>
          <w:rFonts w:ascii="Times New Roman" w:cs="Times New Roman" w:eastAsia="Times New Roman" w:hAnsi="Times New Roman"/>
          <w:sz w:val="24"/>
          <w:szCs w:val="24"/>
          <w:rtl w:val="0"/>
        </w:rPr>
        <w:t xml:space="preserve"> fijos. OWL-ViT y </w:t>
      </w:r>
      <w:r w:rsidDel="00000000" w:rsidR="00000000" w:rsidRPr="00000000">
        <w:rPr>
          <w:rFonts w:ascii="Times New Roman" w:cs="Times New Roman" w:eastAsia="Times New Roman" w:hAnsi="Times New Roman"/>
          <w:sz w:val="24"/>
          <w:szCs w:val="24"/>
          <w:rtl w:val="0"/>
        </w:rPr>
        <w:t xml:space="preserve">OWLv2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2022, 2023) representan este enfoque y muestran cómo el </w:t>
      </w:r>
      <w:r w:rsidDel="00000000" w:rsidR="00000000" w:rsidRPr="00000000">
        <w:rPr>
          <w:rFonts w:ascii="Times New Roman" w:cs="Times New Roman" w:eastAsia="Times New Roman" w:hAnsi="Times New Roman"/>
          <w:sz w:val="24"/>
          <w:szCs w:val="24"/>
          <w:rtl w:val="0"/>
        </w:rPr>
        <w:t xml:space="preserve">autoentrenamiento</w:t>
      </w:r>
      <w:r w:rsidDel="00000000" w:rsidR="00000000" w:rsidRPr="00000000">
        <w:rPr>
          <w:rFonts w:ascii="Times New Roman" w:cs="Times New Roman" w:eastAsia="Times New Roman" w:hAnsi="Times New Roman"/>
          <w:sz w:val="24"/>
          <w:szCs w:val="24"/>
          <w:rtl w:val="0"/>
        </w:rPr>
        <w:t xml:space="preserve"> puede escalar la supervisión sin alterar el mecanismo de consulta. Su principal ventaja es la modularidad, donde el vocabulario cambia con los prompts. Su costo depende del número de consultas y puede mitigarse mediante el cacheo de embeddings cuando el vocabulario permanece estable.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paradigma agrupa modelos guiados por prompts generalistas, generativos e híbridos. Florence-2 (Xiao et al., 2024) formula las tareas como traducción secuencia-a-secuencia y genera representaciones textuales de cajas, etiquetas u otras salidas estructuradas. APE, </w:t>
      </w:r>
      <w:r w:rsidDel="00000000" w:rsidR="00000000" w:rsidRPr="00000000">
        <w:rPr>
          <w:rFonts w:ascii="Times New Roman" w:cs="Times New Roman" w:eastAsia="Times New Roman" w:hAnsi="Times New Roman"/>
          <w:sz w:val="24"/>
          <w:szCs w:val="24"/>
          <w:rtl w:val="0"/>
        </w:rPr>
        <w:t xml:space="preserve">LLMDet</w:t>
      </w:r>
      <w:r w:rsidDel="00000000" w:rsidR="00000000" w:rsidRPr="00000000">
        <w:rPr>
          <w:rFonts w:ascii="Times New Roman" w:cs="Times New Roman" w:eastAsia="Times New Roman" w:hAnsi="Times New Roman"/>
          <w:sz w:val="24"/>
          <w:szCs w:val="24"/>
          <w:rtl w:val="0"/>
        </w:rPr>
        <w:t xml:space="preserve"> y T-</w:t>
      </w:r>
      <w:r w:rsidDel="00000000" w:rsidR="00000000" w:rsidRPr="00000000">
        <w:rPr>
          <w:rFonts w:ascii="Times New Roman" w:cs="Times New Roman" w:eastAsia="Times New Roman" w:hAnsi="Times New Roman"/>
          <w:sz w:val="24"/>
          <w:szCs w:val="24"/>
          <w:rtl w:val="0"/>
        </w:rPr>
        <w:t xml:space="preserve">Rex2</w:t>
      </w:r>
      <w:r w:rsidDel="00000000" w:rsidR="00000000" w:rsidRPr="00000000">
        <w:rPr>
          <w:rFonts w:ascii="Times New Roman" w:cs="Times New Roman" w:eastAsia="Times New Roman" w:hAnsi="Times New Roman"/>
          <w:sz w:val="24"/>
          <w:szCs w:val="24"/>
          <w:rtl w:val="0"/>
        </w:rPr>
        <w:t xml:space="preserve"> adoptan prompting generalista sin compartir necesariamente una decodificación autoregresiva (Shen et al., 2023; Fu et al., 2025; Jiang et al., 2024). Esta flexibilidad amplía la variedad de tareas y modalidades de consulta, pero en los modelos generativos introduce latencia variable y menor paralelismo que la predicción directa.</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junto con consideraciones prácticas de inferencia relevantes para aplicaciones en vídeo.</w:t>
      </w:r>
    </w:p>
    <w:p w:rsidR="00000000" w:rsidDel="00000000" w:rsidP="00000000" w:rsidRDefault="00000000" w:rsidRPr="00000000" w14:paraId="0000000E">
      <w:pPr>
        <w:pStyle w:val="Heading4"/>
        <w:spacing w:after="0" w:before="0" w:line="480" w:lineRule="auto"/>
        <w:rPr>
          <w:rFonts w:ascii="Times New Roman" w:cs="Times New Roman" w:eastAsia="Times New Roman" w:hAnsi="Times New Roman"/>
          <w:b w:val="1"/>
          <w:bCs w:val="1"/>
          <w:color w:val="000000"/>
        </w:rPr>
      </w:pPr>
      <w:sdt>
        <w:sdtPr>
          <w:id w:val="-2064951361"/>
          <w:tag w:val="goog_rdk_0"/>
        </w:sdtPr>
        <w:sdtContent>
          <w:commentRangeStart w:id="0"/>
        </w:sdtContent>
      </w:sdt>
      <w:r w:rsidDel="00000000" w:rsidR="00000000" w:rsidRPr="00000000">
        <w:rPr>
          <w:rFonts w:ascii="Times New Roman" w:cs="Times New Roman" w:eastAsia="Times New Roman" w:hAnsi="Times New Roman"/>
          <w:b w:val="1"/>
          <w:bCs w:val="1"/>
          <w:color w:val="000000"/>
          <w:rtl w:val="0"/>
        </w:rPr>
        <w:t xml:space="preserve">15.2.1.1. Detectores end-to-end derivados de DETR/DINO con fusión multimodal profunda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detectores derivados de DETR y DINO, el texto participa del propio proceso de predicción en lugar de aplicarse como clasificación posterior sobre regiones ya obtenidas. Grounding DINO extiende el phrase grounding de GLIP mediante un esquema dual-encoder/single-decoder, donde un backbone visual extrae características multiescala, un encoder BERT representa el prompt y un Transformer produce cajas condicionadas por ambas modalidades (L. H. Li et al., 2021; Liu et al., 2024). La alineación se distribuye entre el Feature Enhancer, que relaciona características visuales y textuales, la Language-guided Query Selection, que prioriza consultas relevantes y el Cross-modality Decoder, que refina las cajas y su asociación con fragmentos del prompt. Esta fusión profunda favorece expresiones referenciales y atributos compuestos, pero incrementa el costo de inferencia y la complejidad de despliegue (Liu et al., 2024).</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publicadas deben leerse junto con el backbone, el protocolo y los datos de entrenamiento. Grounding DINO con Swin-L reporta 52,5 AP en COCO y 26,1 mean AP en ODinW bajo evaluación zero-shot, mientras que Swin-T alcanza aproximadamente 48,4 AP en COCO (Liu et al., 2024). La variante Swin-B dispone de pesos públicos, pero su checkpoint incluye COCO entre los datos de entrenamiento; por ello, el 56,7 AP informado para esa configuración no constituye una referencia zero-shot directamente comparable. MM-Grounding-DINO conserva esta línea arquitectónica en una tubería unificada y, en sus variantes Tiny, reporta entre 50,4 y 50,6 AP@[0,50:0,95] en COCO zero-shot y entre 35,7 y 41,4 AP@[0,50:0,95] en LVIS-minival, según la configuración evaluada (IDEA-Research, 2024c; X. Zhao et al., 2024).</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extensiones recientes exploran generalización y eficiencia como objetivos diferenciados. Grounding DINO 1.5 Pro, </w:t>
      </w:r>
      <w:r w:rsidDel="00000000" w:rsidR="00000000" w:rsidRPr="00000000">
        <w:rPr>
          <w:rFonts w:ascii="Times New Roman" w:cs="Times New Roman" w:eastAsia="Times New Roman" w:hAnsi="Times New Roman"/>
          <w:sz w:val="24"/>
          <w:szCs w:val="24"/>
          <w:rtl w:val="0"/>
        </w:rPr>
        <w:t xml:space="preserve">preentrenado</w:t>
      </w:r>
      <w:r w:rsidDel="00000000" w:rsidR="00000000" w:rsidRPr="00000000">
        <w:rPr>
          <w:rFonts w:ascii="Times New Roman" w:cs="Times New Roman" w:eastAsia="Times New Roman" w:hAnsi="Times New Roman"/>
          <w:sz w:val="24"/>
          <w:szCs w:val="24"/>
          <w:rtl w:val="0"/>
        </w:rPr>
        <w:t xml:space="preserve"> con Grounding-20M, reporta 54,3 AP en COCO y 55,7 AP en LVIS-minival en zero-shot transfer; la variante Edge alcanza 75,2 FPS con 36,2 AP en LVIS-minival mediante </w:t>
      </w:r>
      <w:r w:rsidDel="00000000" w:rsidR="00000000" w:rsidRPr="00000000">
        <w:rPr>
          <w:rFonts w:ascii="Times New Roman" w:cs="Times New Roman" w:eastAsia="Times New Roman" w:hAnsi="Times New Roman"/>
          <w:sz w:val="24"/>
          <w:szCs w:val="24"/>
          <w:rtl w:val="0"/>
        </w:rPr>
        <w:t xml:space="preserve">TensorRT</w:t>
      </w:r>
      <w:r w:rsidDel="00000000" w:rsidR="00000000" w:rsidRPr="00000000">
        <w:rPr>
          <w:rFonts w:ascii="Times New Roman" w:cs="Times New Roman" w:eastAsia="Times New Roman" w:hAnsi="Times New Roman"/>
          <w:sz w:val="24"/>
          <w:szCs w:val="24"/>
          <w:rtl w:val="0"/>
        </w:rPr>
        <w:t xml:space="preserve"> y supera 10 FPS en NVIDIA Orin NX (Ren, Jiang, et al., 2024). DINO-X amplía las modalidades de consulta con prompts textuales, visuales y personalizados, además de un Universal Object Prompt para operar sin una lista explícita de clases. Preentrenado sobre Grounding-100M, DINO-X Pro reporta 56,0 AP en COCO, 59,8 AP en LVIS-minival y 63,3 AP en las clases raras de LVIS-minival (Ren, Chen, et al., 2024). La familia ofrece alta precisión semántica y manejo de expresiones referenciales complejas, a costa de mayor exigencia computacional y, en las variantes cerradas, menor reproducibilidad independiente. El repositorio del Grounding DINO original se distribuye bajo Apache-2.0, mientras que Grounding DINO 1.5 y DINO-X se ofrecen mediante API sin pesos abiertos. La licencia Apache-2.0 corresponde a sus SDK de acceso (IDEA-Research, 2024a, 2024c; Ren, Chen, et al., 2024; Ren, Jiang, et al., 2024).</w:t>
      </w:r>
    </w:p>
    <w:p w:rsidR="00000000" w:rsidDel="00000000" w:rsidP="00000000" w:rsidRDefault="00000000" w:rsidRPr="00000000" w14:paraId="0000001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15.2.1.2. Detectores one-stage de la familia YOLO con alineamiento región-texto</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familia one-stage traslada la capacidad open-vocabulary a una estructura orientada a predicción densa y baja latencia. En lugar de sostener un decoder multimodal profundo, realiza el alineamiento región-texto dentro del flujo backbone-PAN-head y procura absorber parte de ese costo mediante reparametrización. YOLO-World introduce RepVL-PAN, con Text-guided CSPLayer para incorporar guía textual en las características visuales e Image Pooling Attention para enriquecer los embeddings del vocabulario. Cuando este permanece estable, puede </w:t>
      </w:r>
      <w:r w:rsidDel="00000000" w:rsidR="00000000" w:rsidRPr="00000000">
        <w:rPr>
          <w:rFonts w:ascii="Times New Roman" w:cs="Times New Roman" w:eastAsia="Times New Roman" w:hAnsi="Times New Roman"/>
          <w:sz w:val="24"/>
          <w:szCs w:val="24"/>
          <w:rtl w:val="0"/>
        </w:rPr>
        <w:t xml:space="preserve">precomputarse</w:t>
      </w:r>
      <w:r w:rsidDel="00000000" w:rsidR="00000000" w:rsidRPr="00000000">
        <w:rPr>
          <w:rFonts w:ascii="Times New Roman" w:cs="Times New Roman" w:eastAsia="Times New Roman" w:hAnsi="Times New Roman"/>
          <w:sz w:val="24"/>
          <w:szCs w:val="24"/>
          <w:rtl w:val="0"/>
        </w:rPr>
        <w:t xml:space="preserve"> y utilizarse offline, prescindiendo del encoder textual durante la inferencia </w:t>
      </w:r>
      <w:r w:rsidDel="00000000" w:rsidR="00000000" w:rsidRPr="00000000">
        <w:rPr>
          <w:rFonts w:ascii="Times New Roman" w:cs="Times New Roman" w:eastAsia="Times New Roman" w:hAnsi="Times New Roman"/>
          <w:sz w:val="24"/>
          <w:szCs w:val="24"/>
          <w:rtl w:val="0"/>
        </w:rPr>
        <w:t xml:space="preserve">reparametrizada</w:t>
      </w:r>
      <w:r w:rsidDel="00000000" w:rsidR="00000000" w:rsidRPr="00000000">
        <w:rPr>
          <w:rFonts w:ascii="Times New Roman" w:cs="Times New Roman" w:eastAsia="Times New Roman" w:hAnsi="Times New Roman"/>
          <w:sz w:val="24"/>
          <w:szCs w:val="24"/>
          <w:rtl w:val="0"/>
        </w:rPr>
        <w:t xml:space="preserve"> (Cheng et al., 2024). YOLOE amplía la estrategia con RepRTA para prompts textuales, SAVPE para prompts visuales y LRPC para un modo sin prompt explícito. Tras la reparametrización, su grafo de inferencia conserva una estructura equivalente a la de un YOLO de vocabulario cerrado (A. Wang et al., 2025).</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puntos de operación publicados reflejan esa prioridad temporal. YOLO-World-L reporta 35,4 AP en LVIS-minival con 52,0 FPS sobre una NVIDIA V100 sin TensorRT. En LVIS-minival zero-shot, YOLOE-v8-S alcanza 27,9 AP con 305,8 FPS y YOLOE-v8-L 35,9 AP con 102,5 FPS sobre una NVIDIA T4 mediante TensorRT (Cheng et al., 2024; A. Wang et al., 2025). Estas cifras provienen de hardware y runtimes distintos y no constituyen un benchmark homogéneo. También debe distinguirse la versión evaluada, donde el trabajo original informa variantes YOLOE-v8 y YOLOE-11, mientras que YOLOE-26 es una extensión posterior de Ultralytics. Los resultados de las variantes v8 no deben presentarse como mediciones de YOLOE-26 (A. Wang et al., 2025; Ultralytics, 2026).</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 se distribuye bajo GPL-3.0 y YOLOE bajo AGPL-3.0, licencias que pueden imponer obligaciones copyleft en integraciones posteriores (AILab-CVC, 2024; THU-MIG, 2025). La fortaleza de este paradigma es la velocidad y su compatibilidad con hardware de borde, y su limitación es una expresividad relativamente menor frente a consultas relacionales o con atributos altamente compuestos, no la ausencia de apertura semántica.</w:t>
      </w:r>
    </w:p>
    <w:p w:rsidR="00000000" w:rsidDel="00000000" w:rsidP="00000000" w:rsidRDefault="00000000" w:rsidRPr="00000000" w14:paraId="0000001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15.2.1.3. Detectores dual-encoder CLIP-like con correspondencia por similitud</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enfoques derivados de CLIP separan con mayor claridad la representación visual de la textual. OWL-ViT utiliza un Vision Transformer encoder-only que conserva tokens espaciales y agrega cabezales livianos para predecir, por token, una caja y un embedding de compatibilidad. La categoría de cada región se obtiene por similitud con embeddings derivados de las consultas, en lugar de surgir de un clasificador con logits fijos, lo que permite que el vocabulario pueda modificarse sin alterar los parámetros ni los cabezales del detector (Minderer et al., 2022). OWLv2 mantiene ese mecanismo y escala la supervisión mediante OWL-ST, que utiliza un modelo OWL-ViT para generar pseudo-cajas sobre WebLI. El entrenamiento incorpora un </w:t>
      </w:r>
      <w:r w:rsidDel="00000000" w:rsidR="00000000" w:rsidRPr="00000000">
        <w:rPr>
          <w:rFonts w:ascii="Times New Roman" w:cs="Times New Roman" w:eastAsia="Times New Roman" w:hAnsi="Times New Roman"/>
          <w:i w:val="1"/>
          <w:iCs w:val="1"/>
          <w:sz w:val="24"/>
          <w:szCs w:val="24"/>
          <w:rtl w:val="0"/>
        </w:rPr>
        <w:t xml:space="preserve">objectness head</w:t>
      </w:r>
      <w:r w:rsidDel="00000000" w:rsidR="00000000" w:rsidRPr="00000000">
        <w:rPr>
          <w:rFonts w:ascii="Times New Roman" w:cs="Times New Roman" w:eastAsia="Times New Roman" w:hAnsi="Times New Roman"/>
          <w:sz w:val="24"/>
          <w:szCs w:val="24"/>
          <w:rtl w:val="0"/>
        </w:rPr>
        <w:t xml:space="preserve"> para concentrar las pérdidas en tokens plausibles como objetos y token dropping para reducir el costo de optimización (Minderer et al., 2023).</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LVIS, OWL-ViT L/14 reporta 34,6 AP y 31,2 AP en clases raras; OWLv2 L/14 con OWL-ST alcanza 44,6 AP zero-shot en clases raras de LVIS-val, y la variante G/14 llega a 47,2 AP. Los pesos de ambas generaciones se distribuyen bajo Apache-2.0 (Google, 2022, 2023; Minderer et al., 2022, 2023).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fortaleza de la familia es la modularidad. Esto permite que el vocabulario se amplíe o sustituya mediante nuevas consultas. Su costo depende, sin embargo, de la cantidad de embeddings activos. Cuando el vocabulario permanece estable entre cuadros, el cacheo evita recomputar la representación textual. Aún así, sostener una latencia estable exige controlar el tamaño del conjunto de consultas.</w:t>
      </w:r>
    </w:p>
    <w:p w:rsidR="00000000" w:rsidDel="00000000" w:rsidP="00000000" w:rsidRDefault="00000000" w:rsidRPr="00000000" w14:paraId="0000001A">
      <w:pPr>
        <w:pStyle w:val="Heading4"/>
        <w:spacing w:after="0" w:before="0" w:line="480" w:lineRule="auto"/>
        <w:rPr>
          <w:rFonts w:ascii="Times New Roman" w:cs="Times New Roman" w:eastAsia="Times New Roman" w:hAnsi="Times New Roman"/>
          <w:b w:val="1"/>
          <w:bCs w:val="1"/>
          <w:color w:val="000000"/>
        </w:rPr>
      </w:pPr>
      <w:bookmarkStart w:colFirst="0" w:colLast="0" w:name="_heading=h.ihr77a2sf2nj" w:id="4"/>
      <w:bookmarkEnd w:id="4"/>
      <w:r w:rsidDel="00000000" w:rsidR="00000000" w:rsidRPr="00000000">
        <w:rPr>
          <w:rFonts w:ascii="Times New Roman" w:cs="Times New Roman" w:eastAsia="Times New Roman" w:hAnsi="Times New Roman"/>
          <w:b w:val="1"/>
          <w:bCs w:val="1"/>
          <w:color w:val="000000"/>
          <w:rtl w:val="0"/>
        </w:rPr>
        <w:t xml:space="preserve">15.2.1.4. Modelos guiados por prompts generalistas: formulaciones generativas e híbridas</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familia se define por ampliar la forma de especificar la tarea y el tipo de salida, no por una única topología de detector. Florence-2 constituye el caso propiamente generativo, donde interpreta una instrucción y produce secuencias de texto o tokens de localización. APE utiliza prompting generalista, pero genera predicciones estructuradas de manera directa. LLMDet incorpora conocimiento de un modelo de lenguaje durante el entrenamiento y prescinde de ese componente en inferencia. T-Rex2, en cambio, combina prompts textuales y visuales dentro de una formulación multimodal (Shen et al., 2023; Fu et al., 2025; Jiang et al., 2024; Xiao et al., 2024). El rasgo común es la flexibilidad de interacción, por lo que no corresponde atribuir decodificación autoregresiva ni una misma restricción temporal a toda la familia.</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materializa esa unificación con un encoder visual DaViT y un Transformer encoder-decoder multimodal que genera etiquetas, cajas y otras salidas estructuradas sin cabezales específicos por tarea. Fue </w:t>
      </w:r>
      <w:r w:rsidDel="00000000" w:rsidR="00000000" w:rsidRPr="00000000">
        <w:rPr>
          <w:rFonts w:ascii="Times New Roman" w:cs="Times New Roman" w:eastAsia="Times New Roman" w:hAnsi="Times New Roman"/>
          <w:sz w:val="24"/>
          <w:szCs w:val="24"/>
          <w:rtl w:val="0"/>
        </w:rPr>
        <w:t xml:space="preserve">preentrenado</w:t>
      </w:r>
      <w:r w:rsidDel="00000000" w:rsidR="00000000" w:rsidRPr="00000000">
        <w:rPr>
          <w:rFonts w:ascii="Times New Roman" w:cs="Times New Roman" w:eastAsia="Times New Roman" w:hAnsi="Times New Roman"/>
          <w:sz w:val="24"/>
          <w:szCs w:val="24"/>
          <w:rtl w:val="0"/>
        </w:rPr>
        <w:t xml:space="preserve"> sobre FLD-5B, compuesto por 126 millones de imágenes y 5,4 mil millones de anotaciones, y su variante large reporta 37,5 mAP en detección zero-shot sobre COCO. Los pesos se publican bajo licencia MIT (Microsoft, 2024; Xiao et al., 2024). La decodificación autoregresiva introduce latencia variable y menor paralelismo, mientras que en APE el prompting masivo no equivale a una garantía de tiempo real estricto. LLMDet y T-Rex2 muestran que la flexibilidad lingüística o multimodal también puede integrarse sin mantener un generador </w:t>
      </w:r>
      <w:r w:rsidDel="00000000" w:rsidR="00000000" w:rsidRPr="00000000">
        <w:rPr>
          <w:rFonts w:ascii="Times New Roman" w:cs="Times New Roman" w:eastAsia="Times New Roman" w:hAnsi="Times New Roman"/>
          <w:sz w:val="24"/>
          <w:szCs w:val="24"/>
          <w:rtl w:val="0"/>
        </w:rPr>
        <w:t xml:space="preserve">autoregresivo</w:t>
      </w:r>
      <w:r w:rsidDel="00000000" w:rsidR="00000000" w:rsidRPr="00000000">
        <w:rPr>
          <w:rFonts w:ascii="Times New Roman" w:cs="Times New Roman" w:eastAsia="Times New Roman" w:hAnsi="Times New Roman"/>
          <w:sz w:val="24"/>
          <w:szCs w:val="24"/>
          <w:rtl w:val="0"/>
        </w:rPr>
        <w:t xml:space="preserve"> en inferencia. </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familia aporta flexibilidad multitarea y multimodal, pero su aptitud temporal debe verificarse por modelo y configuración.</w:t>
      </w:r>
    </w:p>
    <w:p w:rsidR="00000000" w:rsidDel="00000000" w:rsidP="00000000" w:rsidRDefault="00000000" w:rsidRPr="00000000" w14:paraId="0000001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ubhtghhxhuzd" w:id="5"/>
      <w:bookmarkEnd w:id="5"/>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modelos y pipelines de percepción</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detectores OVD pueden integrarse en pipelines que combinan capacidades complementarias. Grounded SAM ejemplifica esta composición al encadenar detección condicionada por texto con segmentación universal, mientras que OVTrack formaliza una extensión temporal mediante tracking-by-detection en vocabulario abierto (Ren, Liu, et al., 2024; S. Li et al., 2023). El aporte conceptual de estos enfoques no es un modelo aislado, sino la posibilidad de desacoplar etapas con responsabilidades distintas.</w:t>
      </w:r>
    </w:p>
    <w:p w:rsidR="00000000" w:rsidDel="00000000" w:rsidP="00000000" w:rsidRDefault="00000000" w:rsidRPr="00000000" w14:paraId="00000020">
      <w:pPr>
        <w:spacing w:line="480" w:lineRule="auto"/>
        <w:ind w:left="0" w:firstLine="72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modularidad permite sustituir componentes y ampliar capacidades, pero también acumula latencia, dependencias de integración y fuentes de variabilidad. Para sistemas de video en tiempo real, la evaluación debe considerar el pipeline completo y no sólo la precisión de cada modelo por separado; este criterio enlaza la detección con el seguimiento temporal y con las etapas posteriores de generación de eventos.</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dc9pvkrxqe91" w:id="6"/>
      <w:bookmarkEnd w:id="6"/>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comparativa y trade-offs para tiempo real</w:t>
      </w:r>
    </w:p>
    <w:p w:rsidR="00000000" w:rsidDel="00000000" w:rsidP="00000000" w:rsidRDefault="00000000" w:rsidRPr="00000000" w14:paraId="00000022">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 en un contexto de vídeo en tiempo real. </w:t>
      </w:r>
      <w:r w:rsidDel="00000000" w:rsidR="00000000" w:rsidRPr="00000000">
        <w:rPr>
          <w:rtl w:val="0"/>
        </w:rPr>
      </w:r>
    </w:p>
    <w:p w:rsidR="00000000" w:rsidDel="00000000" w:rsidP="00000000" w:rsidRDefault="00000000" w:rsidRPr="00000000" w14:paraId="00000023">
      <w:pPr>
        <w:keepNext w:val="1"/>
        <w:keepLines w:val="1"/>
        <w:spacing w:after="0" w:before="0" w:line="480" w:lineRule="auto"/>
        <w:ind w:left="0" w:right="0" w:firstLine="0"/>
        <w:rPr>
          <w:rFonts w:ascii="Times New Roman" w:cs="Times New Roman" w:eastAsia="Times New Roman" w:hAnsi="Times New Roman"/>
          <w:b w:val="1"/>
          <w:bCs w:val="1"/>
          <w:i w:val="1"/>
          <w:iCs w:val="1"/>
          <w:sz w:val="24"/>
          <w:szCs w:val="24"/>
        </w:rPr>
      </w:pPr>
      <w:bookmarkStart w:colFirst="0" w:colLast="0" w:name="_heading=h.zox1et0cdv1" w:id="7"/>
      <w:bookmarkEnd w:id="7"/>
      <w:r w:rsidDel="00000000" w:rsidR="00000000" w:rsidRPr="00000000">
        <w:rPr>
          <w:rFonts w:ascii="Times New Roman" w:cs="Times New Roman" w:eastAsia="Times New Roman" w:hAnsi="Times New Roman"/>
          <w:b w:val="1"/>
          <w:bCs w:val="1"/>
          <w:i w:val="0"/>
          <w:iCs w:val="0"/>
          <w:color w:val="000000"/>
          <w:sz w:val="24"/>
          <w:szCs w:val="24"/>
          <w:rtl w:val="0"/>
        </w:rPr>
        <w:t xml:space="preserve">Tabla 2</w:t>
      </w:r>
      <w:r w:rsidDel="00000000" w:rsidR="00000000" w:rsidRPr="00000000">
        <w:rPr>
          <w:rtl w:val="0"/>
        </w:rPr>
      </w:r>
    </w:p>
    <w:p w:rsidR="00000000" w:rsidDel="00000000" w:rsidP="00000000" w:rsidRDefault="00000000" w:rsidRPr="00000000" w14:paraId="00000024">
      <w:pPr>
        <w:keepNext w:val="1"/>
        <w:keepLines w:val="1"/>
        <w:spacing w:after="12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Síntesis comparativa de paradigmas arquitectónicos OVD según dimensiones relevantes para sistemas de video en tiempo real</w:t>
      </w:r>
      <w:r w:rsidDel="00000000" w:rsidR="00000000" w:rsidRPr="00000000">
        <w:rPr>
          <w:rtl w:val="0"/>
        </w:rPr>
      </w:r>
    </w:p>
    <w:tbl>
      <w:tblPr>
        <w:tblStyle w:val="Table1"/>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564"/>
        <w:gridCol w:w="2657"/>
        <w:gridCol w:w="2806"/>
        <w:gridCol w:w="2135"/>
        <w:gridCol w:w="3798"/>
        <w:tblGridChange w:id="0">
          <w:tblGrid>
            <w:gridCol w:w="1564"/>
            <w:gridCol w:w="2657"/>
            <w:gridCol w:w="2806"/>
            <w:gridCol w:w="2135"/>
            <w:gridCol w:w="3798"/>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Paradigma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Modelo(s) representativos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Mecanismo visión-lenguaje</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Fortaleza principal</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Limitación para tiempo real</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2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DETR/DINO + fusión profunda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 MM-Grounding-DINO, DINO-X</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Fusión multimodal en decoder mediante atención cruzada visión-lenguaje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precisión semántica; manejo de expresiones referenciales complejas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Costo computacional elevado; requiere optimización explícita para tiempo real</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2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One-stage YOLO + puntuación región-texto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 YOLOE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Alineamiento región-texto reparametrizable; reducción progresiva del overhead de fusión mediante </w:t>
            </w:r>
            <w:r w:rsidDel="00000000" w:rsidR="00000000" w:rsidRPr="00000000">
              <w:rPr>
                <w:rFonts w:ascii="Times New Roman" w:cs="Times New Roman" w:eastAsia="Times New Roman" w:hAnsi="Times New Roman"/>
                <w:i w:val="0"/>
                <w:iCs w:val="0"/>
                <w:color w:val="000000"/>
                <w:sz w:val="24"/>
                <w:szCs w:val="24"/>
                <w:rtl w:val="0"/>
              </w:rPr>
              <w:t xml:space="preserve">reparametrización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velocidad de inferencia; compatible con hardware de borde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Menor expresividad semántica frente a consultas complejas o con atributos compuestos</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3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Dual-encoder CLIP-like + matching por similitud</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OWL-ViT, OWLv2</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Matching por similitud en espacio de embeddings compartido; reutilización directa de preentrenamiento contrastivo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Modularidad; cambio de vocabulario sin modificar el modelo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latencia variable según tamaño del vocabulario; requiere caching para vocabularios estables; requiere cómputo de embeddings por consulta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3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Prompts generalistas: generativo e híbrido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Florence-2, APE, LLMDet, T-Rex2</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Mecanismos heterogéneos: generación autoregresiva en Florence-2; predicción directa o integración híbrida en APE, </w:t>
            </w:r>
            <w:r w:rsidDel="00000000" w:rsidR="00000000" w:rsidRPr="00000000">
              <w:rPr>
                <w:rFonts w:ascii="Times New Roman" w:cs="Times New Roman" w:eastAsia="Times New Roman" w:hAnsi="Times New Roman"/>
                <w:i w:val="0"/>
                <w:iCs w:val="0"/>
                <w:color w:val="000000"/>
                <w:sz w:val="24"/>
                <w:szCs w:val="24"/>
                <w:rtl w:val="0"/>
              </w:rPr>
              <w:t xml:space="preserve">LLMDet</w:t>
            </w:r>
            <w:r w:rsidDel="00000000" w:rsidR="00000000" w:rsidRPr="00000000">
              <w:rPr>
                <w:rFonts w:ascii="Times New Roman" w:cs="Times New Roman" w:eastAsia="Times New Roman" w:hAnsi="Times New Roman"/>
                <w:i w:val="0"/>
                <w:iCs w:val="0"/>
                <w:color w:val="000000"/>
                <w:sz w:val="24"/>
                <w:szCs w:val="24"/>
                <w:rtl w:val="0"/>
              </w:rPr>
              <w:t xml:space="preserve"> y T-</w:t>
            </w:r>
            <w:r w:rsidDel="00000000" w:rsidR="00000000" w:rsidRPr="00000000">
              <w:rPr>
                <w:rFonts w:ascii="Times New Roman" w:cs="Times New Roman" w:eastAsia="Times New Roman" w:hAnsi="Times New Roman"/>
                <w:i w:val="0"/>
                <w:iCs w:val="0"/>
                <w:color w:val="000000"/>
                <w:sz w:val="24"/>
                <w:szCs w:val="24"/>
                <w:rtl w:val="0"/>
              </w:rPr>
              <w:t xml:space="preserve">Rex2</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Flexibilidad multitarea; soporte para prompts complejos y multimodales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Florence-2: latencia de inferencia variable e inestabilidad temporal por decodificación autoregresiva; APE: costo de prompting masivo escalable pero sin garantías de tiempo real estricto</w:t>
            </w:r>
            <w:r w:rsidDel="00000000" w:rsidR="00000000" w:rsidRPr="00000000">
              <w:rPr>
                <w:rtl w:val="0"/>
              </w:rPr>
            </w:r>
          </w:p>
        </w:tc>
      </w:tr>
    </w:tbl>
    <w:p w:rsidR="00000000" w:rsidDel="00000000" w:rsidP="00000000" w:rsidRDefault="00000000" w:rsidRPr="00000000" w14:paraId="0000003E">
      <w:pPr>
        <w:keepLines w:val="1"/>
        <w:spacing w:after="0" w:before="12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10">
        <w:r w:rsidDel="00000000" w:rsidR="00000000" w:rsidRPr="00000000">
          <w:rPr>
            <w:rFonts w:ascii="Times New Roman" w:cs="Times New Roman" w:eastAsia="Times New Roman" w:hAnsi="Times New Roman"/>
            <w:i w:val="0"/>
            <w:iCs w:val="0"/>
            <w:color w:val="000000"/>
            <w:sz w:val="24"/>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de disponibilidad constituye una dimensión independiente del rendimiento. YOLO-World y YOLOE se publican bajo GPL-3.0 y AGPL-3.0, respectivamente, mientras que el Grounding DINO original y OWLv2 utilizan licencias permisivas Apache-2.0; por otra parte, Grounding DINO 1.5 y DINO-X se ofrecen mediante API sin pesos abiertos. Estas diferencias afectan la reproducción independiente, la redistribución de artefactos y la continuidad tecnológica, aún en un prototipo académico. Por ello, la comparación de alternativas debe distinguir entre licencia del código, licencia de los pesos y condiciones del servicio de acceso (AILab-CVC, 2024; Google, 2022, 2023; IDEA-Research, 2024a, 2024c; THU-MIG, 2025).</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sdt>
        <w:sdtPr>
          <w:id w:val="-1894621705"/>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tensión entre precisión semántica y latencia de inferencia. Los modelos </w:t>
      </w:r>
      <w:r w:rsidDel="00000000" w:rsidR="00000000" w:rsidRPr="00000000">
        <w:rPr>
          <w:rFonts w:ascii="Times New Roman" w:cs="Times New Roman" w:eastAsia="Times New Roman" w:hAnsi="Times New Roman"/>
          <w:sz w:val="24"/>
          <w:szCs w:val="24"/>
          <w:rtl w:val="0"/>
        </w:rPr>
        <w:t xml:space="preserve">con fusión</w:t>
      </w:r>
      <w:r w:rsidDel="00000000" w:rsidR="00000000" w:rsidRPr="00000000">
        <w:rPr>
          <w:rFonts w:ascii="Times New Roman" w:cs="Times New Roman" w:eastAsia="Times New Roman" w:hAnsi="Times New Roman"/>
          <w:sz w:val="24"/>
          <w:szCs w:val="24"/>
          <w:rtl w:val="0"/>
        </w:rPr>
        <w:t xml:space="preserve"> visión-lenguaje más </w:t>
      </w:r>
      <w:r w:rsidDel="00000000" w:rsidR="00000000" w:rsidRPr="00000000">
        <w:rPr>
          <w:rFonts w:ascii="Times New Roman" w:cs="Times New Roman" w:eastAsia="Times New Roman" w:hAnsi="Times New Roman"/>
          <w:sz w:val="24"/>
          <w:szCs w:val="24"/>
          <w:rtl w:val="0"/>
        </w:rPr>
        <w:t xml:space="preserve">profunda</w:t>
      </w:r>
      <w:r w:rsidDel="00000000" w:rsidR="00000000" w:rsidRPr="00000000">
        <w:rPr>
          <w:rFonts w:ascii="Times New Roman" w:cs="Times New Roman" w:eastAsia="Times New Roman" w:hAnsi="Times New Roman"/>
          <w:sz w:val="24"/>
          <w:szCs w:val="24"/>
          <w:rtl w:val="0"/>
        </w:rPr>
        <w:t xml:space="preserve"> suelen ofrecer mayor capacidad frente a consultas complejas, pero con un costo computacional que puede reducir la tasa de procesamiento. </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lo cual define qué parámetros se ajustan o congelan, si se conserva supervisión lingüística amplia y si se evalúan categorías no vistas (Cheng et al., 2024;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2023; X. Zhao et al., 2024). Por ello, debe describirse para cada configuración y no inferirse de la profundidad o </w:t>
      </w:r>
      <w:r w:rsidDel="00000000" w:rsidR="00000000" w:rsidRPr="00000000">
        <w:rPr>
          <w:rFonts w:ascii="Times New Roman" w:cs="Times New Roman" w:eastAsia="Times New Roman" w:hAnsi="Times New Roman"/>
          <w:sz w:val="24"/>
          <w:szCs w:val="24"/>
          <w:rtl w:val="0"/>
        </w:rPr>
        <w:t xml:space="preserve">removibilidad</w:t>
      </w:r>
      <w:r w:rsidDel="00000000" w:rsidR="00000000" w:rsidRPr="00000000">
        <w:rPr>
          <w:rFonts w:ascii="Times New Roman" w:cs="Times New Roman" w:eastAsia="Times New Roman" w:hAnsi="Times New Roman"/>
          <w:sz w:val="24"/>
          <w:szCs w:val="24"/>
          <w:rtl w:val="0"/>
        </w:rPr>
        <w:t xml:space="preserve"> de la fusión. </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siendo esta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47">
      <w:pPr>
        <w:pStyle w:val="Heading4"/>
        <w:spacing w:after="0" w:before="0" w:line="480" w:lineRule="auto"/>
        <w:rPr>
          <w:rFonts w:ascii="Times New Roman" w:cs="Times New Roman" w:eastAsia="Times New Roman" w:hAnsi="Times New Roman"/>
          <w:b w:val="1"/>
          <w:bCs w:val="1"/>
          <w:color w:val="000000"/>
        </w:rPr>
      </w:pPr>
      <w:bookmarkStart w:colFirst="0" w:colLast="0" w:name="_heading=h.9wj48vazq6ic" w:id="8"/>
      <w:bookmarkEnd w:id="8"/>
      <w:r w:rsidDel="00000000" w:rsidR="00000000" w:rsidRPr="00000000">
        <w:rPr>
          <w:rFonts w:ascii="Times New Roman" w:cs="Times New Roman" w:eastAsia="Times New Roman" w:hAnsi="Times New Roman"/>
          <w:b w:val="1"/>
          <w:bCs w:val="1"/>
          <w:color w:val="000000"/>
          <w:rtl w:val="0"/>
        </w:rPr>
        <w:t xml:space="preserve">15.2.3.1. Análisis de rendimiento para tiempo real</w:t>
      </w:r>
    </w:p>
    <w:p w:rsidR="00000000" w:rsidDel="00000000" w:rsidP="00000000" w:rsidRDefault="00000000" w:rsidRPr="00000000" w14:paraId="00000048">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49">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upwwcyl4a7ym" w:id="9"/>
      <w:bookmarkEnd w:id="9"/>
      <w:r w:rsidDel="00000000" w:rsidR="00000000" w:rsidRPr="00000000">
        <w:rPr>
          <w:rFonts w:ascii="Times New Roman" w:cs="Times New Roman" w:eastAsia="Times New Roman" w:hAnsi="Times New Roman"/>
          <w:b w:val="1"/>
          <w:bCs w:val="1"/>
          <w:i w:val="0"/>
          <w:iCs w:val="0"/>
          <w:color w:val="000000"/>
          <w:sz w:val="24"/>
          <w:szCs w:val="24"/>
          <w:rtl w:val="0"/>
        </w:rPr>
        <w:t xml:space="preserve">Tabla 3</w:t>
      </w:r>
      <w:r w:rsidDel="00000000" w:rsidR="00000000" w:rsidRPr="00000000">
        <w:rPr>
          <w:rtl w:val="0"/>
        </w:rPr>
      </w:r>
    </w:p>
    <w:p w:rsidR="00000000" w:rsidDel="00000000" w:rsidP="00000000" w:rsidRDefault="00000000" w:rsidRPr="00000000" w14:paraId="0000004A">
      <w:pPr>
        <w:keepNext w:val="1"/>
        <w:keepLines w:val="1"/>
        <w:spacing w:after="12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Análisis comparativo de rendimiento de modelos OVD para tiempo real</w:t>
      </w:r>
      <w:r w:rsidDel="00000000" w:rsidR="00000000" w:rsidRPr="00000000">
        <w:rPr>
          <w:rtl w:val="0"/>
        </w:rPr>
      </w:r>
    </w:p>
    <w:tbl>
      <w:tblPr>
        <w:tblStyle w:val="Table2"/>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550"/>
        <w:gridCol w:w="1357"/>
        <w:gridCol w:w="2073"/>
        <w:gridCol w:w="1133"/>
        <w:gridCol w:w="2839"/>
        <w:gridCol w:w="3008"/>
        <w:tblGridChange w:id="0">
          <w:tblGrid>
            <w:gridCol w:w="2550"/>
            <w:gridCol w:w="1357"/>
            <w:gridCol w:w="2073"/>
            <w:gridCol w:w="1133"/>
            <w:gridCol w:w="2839"/>
            <w:gridCol w:w="3008"/>
          </w:tblGrid>
        </w:tblGridChange>
      </w:tblGrid>
      <w:tr>
        <w:trPr>
          <w:cantSplit w:val="1"/>
          <w:tblHeader w:val="1"/>
        </w:trPr>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Hardware</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Framework</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FPS</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Latencia derivada (ms/cuadro)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5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LVIS-minival AP@[0,50:0,95]</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5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YOLOE-v8-S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TensorRT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305,8</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3,3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27,9</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5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YOLOE-v8-L</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TensorRT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102,5</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9,8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35,9</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5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G-DINO 1.5 Edge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A100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TensorRT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75,2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13,3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36,2</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YOLO-World-L</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V100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PyTorch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52,0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19,2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35,4</w:t>
            </w:r>
            <w:r w:rsidDel="00000000" w:rsidR="00000000" w:rsidRPr="00000000">
              <w:rPr>
                <w:rtl w:val="0"/>
              </w:rPr>
            </w:r>
          </w:p>
        </w:tc>
      </w:tr>
    </w:tbl>
    <w:p w:rsidR="00000000" w:rsidDel="00000000" w:rsidP="00000000" w:rsidRDefault="00000000" w:rsidRPr="00000000" w14:paraId="00000069">
      <w:pPr>
        <w:keepLines w:val="1"/>
        <w:spacing w:after="0" w:before="120" w:line="48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Nota.</w:t>
      </w:r>
      <w:r w:rsidDel="00000000" w:rsidR="00000000" w:rsidRPr="00000000">
        <w:rPr>
          <w:rFonts w:ascii="Times New Roman" w:cs="Times New Roman" w:eastAsia="Times New Roman" w:hAnsi="Times New Roman"/>
          <w:i w:val="0"/>
          <w:iCs w:val="0"/>
          <w:color w:val="000000"/>
          <w:sz w:val="24"/>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A. Wang et al. (2025), Ren, Jiang, et al. (2024) y Cheng et al. (2024).</w:t>
      </w:r>
      <w:r w:rsidDel="00000000" w:rsidR="00000000" w:rsidRPr="00000000">
        <w:rPr>
          <w:rtl w:val="0"/>
        </w:rPr>
      </w:r>
    </w:p>
    <w:p w:rsidR="00000000" w:rsidDel="00000000" w:rsidP="00000000" w:rsidRDefault="00000000" w:rsidRPr="00000000" w14:paraId="0000006A">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6B">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ygqibvodzobw" w:id="10"/>
      <w:bookmarkEnd w:id="10"/>
      <w:r w:rsidDel="00000000" w:rsidR="00000000" w:rsidRPr="00000000">
        <w:rPr>
          <w:rFonts w:ascii="Times New Roman" w:cs="Times New Roman" w:eastAsia="Times New Roman" w:hAnsi="Times New Roman"/>
          <w:b w:val="1"/>
          <w:bCs w:val="1"/>
          <w:i w:val="1"/>
          <w:iCs w:val="1"/>
          <w:color w:val="000000"/>
          <w:sz w:val="24"/>
          <w:szCs w:val="24"/>
          <w:rtl w:val="0"/>
        </w:rPr>
        <w:t xml:space="preserve">15.2.4. Adaptabilidad mediante fine-tuning y preservación de capacidad open-vocabulary</w:t>
      </w:r>
    </w:p>
    <w:p w:rsidR="00000000" w:rsidDel="00000000" w:rsidP="00000000" w:rsidRDefault="00000000" w:rsidRPr="00000000" w14:paraId="000000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 un modelo preentrenado introduce un compromiso entre especialización de dominio y preservación de las representaciones adquiridas. La literatura muestra que actualizar todos los parámetros puede mejorar el desempeño in-domain y, al mismo tiempo, deteriorar la generalización fuera de distribución frente a estrategias que congelan la mayor parte del modelo; este fenómeno se vincula con el olvido catastrófico (catastrophic forgetting) y exige medir la retención de forma explícita (Kirkpatrick et al., 2017; Kumar et al., 2022). Cuando la evidencia del dominio es limitada, la cantidad y ubicación de los parámetros actualizados también importan. Una solución </w:t>
      </w:r>
      <w:r w:rsidDel="00000000" w:rsidR="00000000" w:rsidRPr="00000000">
        <w:rPr>
          <w:rFonts w:ascii="Times New Roman" w:cs="Times New Roman" w:eastAsia="Times New Roman" w:hAnsi="Times New Roman"/>
          <w:sz w:val="24"/>
          <w:szCs w:val="24"/>
          <w:rtl w:val="0"/>
        </w:rPr>
        <w:t xml:space="preserve">es el ajuste</w:t>
      </w:r>
      <w:r w:rsidDel="00000000" w:rsidR="00000000" w:rsidRPr="00000000">
        <w:rPr>
          <w:rFonts w:ascii="Times New Roman" w:cs="Times New Roman" w:eastAsia="Times New Roman" w:hAnsi="Times New Roman"/>
          <w:sz w:val="24"/>
          <w:szCs w:val="24"/>
          <w:rtl w:val="0"/>
        </w:rPr>
        <w:t xml:space="preserve"> selectivo de capas, el cual puede puede preservar mejor información </w:t>
      </w:r>
      <w:r w:rsidDel="00000000" w:rsidR="00000000" w:rsidRPr="00000000">
        <w:rPr>
          <w:rFonts w:ascii="Times New Roman" w:cs="Times New Roman" w:eastAsia="Times New Roman" w:hAnsi="Times New Roman"/>
          <w:sz w:val="24"/>
          <w:szCs w:val="24"/>
          <w:rtl w:val="0"/>
        </w:rPr>
        <w:t xml:space="preserve">preentrenada</w:t>
      </w:r>
      <w:r w:rsidDel="00000000" w:rsidR="00000000" w:rsidRPr="00000000">
        <w:rPr>
          <w:rFonts w:ascii="Times New Roman" w:cs="Times New Roman" w:eastAsia="Times New Roman" w:hAnsi="Times New Roman"/>
          <w:sz w:val="24"/>
          <w:szCs w:val="24"/>
          <w:rtl w:val="0"/>
        </w:rPr>
        <w:t xml:space="preserve"> que el ajuste completo (Lee et al., 2023).</w:t>
      </w:r>
    </w:p>
    <w:p w:rsidR="00000000" w:rsidDel="00000000" w:rsidP="00000000" w:rsidRDefault="00000000" w:rsidRPr="00000000" w14:paraId="000000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Grounding DINO se documentan fine-tuning closed-set,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continuado open-set y ajuste open-vocabulary. MM-Grounding-DINO, por su parte, muestra que la retención depende de mantener supervisión y evaluación sobre categorías no vistas (X. Zhao et al., 2024). La adaptación con LoRA constituye una variante de actualización acotada en la que se conservan congelados los backbones y se entrenan adaptadores de bajo rango (Rasaee et al., 2025). Como referencia de especialización, Grounding DINO con Swin-L reporta 62,6 AP en COCO val y 63,0 AP en test-dev tras fine-tuning closed-set, frente a 52,5 AP en su evaluación zero-shot; los regímenes no son equivalentes y no deben confundirse (Liu et al., 2024).</w:t>
      </w:r>
    </w:p>
    <w:p w:rsidR="00000000" w:rsidDel="00000000" w:rsidP="00000000" w:rsidRDefault="00000000" w:rsidRPr="00000000" w14:paraId="000000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YOLO-World, la documentación distingue el ajuste con Mixed Grounding Dataset, que conserva textos y tareas de grounding, del ajuste closed-set con MultiModal Dataset y vocabulario fijo. La variante </w:t>
      </w:r>
      <w:r w:rsidDel="00000000" w:rsidR="00000000" w:rsidRPr="00000000">
        <w:rPr>
          <w:rFonts w:ascii="Times New Roman" w:cs="Times New Roman" w:eastAsia="Times New Roman" w:hAnsi="Times New Roman"/>
          <w:sz w:val="24"/>
          <w:szCs w:val="24"/>
          <w:rtl w:val="0"/>
        </w:rPr>
        <w:t xml:space="preserve">reparametrizada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elimina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RepVL</w:t>
      </w:r>
      <w:r w:rsidDel="00000000" w:rsidR="00000000" w:rsidRPr="00000000">
        <w:rPr>
          <w:rFonts w:ascii="Times New Roman" w:cs="Times New Roman" w:eastAsia="Times New Roman" w:hAnsi="Times New Roman"/>
          <w:sz w:val="24"/>
          <w:szCs w:val="24"/>
          <w:rtl w:val="0"/>
        </w:rPr>
        <w:t xml:space="preserve">-PAN y el encoder textual, con lo cual prioriza eficiencia a costa de cerrar el vocabulario. El ajuste del encoder textual puede degradar la generalización, mientras que congelarlo o conservar supervisión abierta reduce ese riesgo (AILab-CVC, 2024; Cheng et al., 2024).</w:t>
      </w:r>
    </w:p>
    <w:p w:rsidR="00000000" w:rsidDel="00000000" w:rsidP="00000000" w:rsidRDefault="00000000" w:rsidRPr="00000000" w14:paraId="000000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ofrece linear probing y full tuning para transferencia a un dominio. La receta estándar produce un modelo de vocabulario fijo después del ajuste; los autores no reportan una métrica de retención open-vocabulary para ese camino. Evaluarla exige </w:t>
      </w:r>
      <w:r w:rsidDel="00000000" w:rsidR="00000000" w:rsidRPr="00000000">
        <w:rPr>
          <w:rFonts w:ascii="Times New Roman" w:cs="Times New Roman" w:eastAsia="Times New Roman" w:hAnsi="Times New Roman"/>
          <w:sz w:val="24"/>
          <w:szCs w:val="24"/>
          <w:rtl w:val="0"/>
        </w:rPr>
        <w:t xml:space="preserve">reinyectar</w:t>
      </w:r>
      <w:r w:rsidDel="00000000" w:rsidR="00000000" w:rsidRPr="00000000">
        <w:rPr>
          <w:rFonts w:ascii="Times New Roman" w:cs="Times New Roman" w:eastAsia="Times New Roman" w:hAnsi="Times New Roman"/>
          <w:sz w:val="24"/>
          <w:szCs w:val="24"/>
          <w:rtl w:val="0"/>
        </w:rPr>
        <w:t xml:space="preserve"> vocabulario abierto y aplicar un protocolo explícito, de modo que especialización in-domain y capacidad abierta permanezcan como dimensiones separadas (A. Wang et al., 2025).</w:t>
      </w:r>
    </w:p>
    <w:p w:rsidR="00000000" w:rsidDel="00000000" w:rsidP="00000000" w:rsidRDefault="00000000" w:rsidRPr="00000000" w14:paraId="000000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dual-encoders, el ajuste de extremo a extremo sobre datasets cerrados requiere estrategias de regularización para evitar el colapso del espacio de embeddings compartido del que depende la capacidad abierta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2022). </w:t>
      </w:r>
      <w:r w:rsidDel="00000000" w:rsidR="00000000" w:rsidRPr="00000000">
        <w:rPr>
          <w:rFonts w:ascii="Times New Roman" w:cs="Times New Roman" w:eastAsia="Times New Roman" w:hAnsi="Times New Roman"/>
          <w:sz w:val="24"/>
          <w:szCs w:val="24"/>
          <w:rtl w:val="0"/>
        </w:rPr>
        <w:t xml:space="preserve">OWLv2</w:t>
      </w:r>
      <w:r w:rsidDel="00000000" w:rsidR="00000000" w:rsidRPr="00000000">
        <w:rPr>
          <w:rFonts w:ascii="Times New Roman" w:cs="Times New Roman" w:eastAsia="Times New Roman" w:hAnsi="Times New Roman"/>
          <w:sz w:val="24"/>
          <w:szCs w:val="24"/>
          <w:rtl w:val="0"/>
        </w:rPr>
        <w:t xml:space="preserve"> aporta además la receta OWL-ST de </w:t>
      </w:r>
      <w:r w:rsidDel="00000000" w:rsidR="00000000" w:rsidRPr="00000000">
        <w:rPr>
          <w:rFonts w:ascii="Times New Roman" w:cs="Times New Roman" w:eastAsia="Times New Roman" w:hAnsi="Times New Roman"/>
          <w:sz w:val="24"/>
          <w:szCs w:val="24"/>
          <w:rtl w:val="0"/>
        </w:rPr>
        <w:t xml:space="preserve">autoentrenamiento</w:t>
      </w:r>
      <w:r w:rsidDel="00000000" w:rsidR="00000000" w:rsidRPr="00000000">
        <w:rPr>
          <w:rFonts w:ascii="Times New Roman" w:cs="Times New Roman" w:eastAsia="Times New Roman" w:hAnsi="Times New Roman"/>
          <w:sz w:val="24"/>
          <w:szCs w:val="24"/>
          <w:rtl w:val="0"/>
        </w:rPr>
        <w:t xml:space="preserve"> con </w:t>
      </w:r>
      <w:r w:rsidDel="00000000" w:rsidR="00000000" w:rsidRPr="00000000">
        <w:rPr>
          <w:rFonts w:ascii="Times New Roman" w:cs="Times New Roman" w:eastAsia="Times New Roman" w:hAnsi="Times New Roman"/>
          <w:sz w:val="24"/>
          <w:szCs w:val="24"/>
          <w:rtl w:val="0"/>
        </w:rPr>
        <w:t xml:space="preserve">pseudoanotaciones</w:t>
      </w:r>
      <w:r w:rsidDel="00000000" w:rsidR="00000000" w:rsidRPr="00000000">
        <w:rPr>
          <w:rFonts w:ascii="Times New Roman" w:cs="Times New Roman" w:eastAsia="Times New Roman" w:hAnsi="Times New Roman"/>
          <w:sz w:val="24"/>
          <w:szCs w:val="24"/>
          <w:rtl w:val="0"/>
        </w:rPr>
        <w:t xml:space="preserve">; el uso de un vocabulario diverso derivado de n-gramas preserva mejor la generalización que un espacio de etiquetas estrecho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2023). En Florence-2, el ajuste mediante LoRA modifica una fracción acotada de parámetros, aunque la retención de clases base se informa como parcial y dependiente de la configuración (Ucar et al., 2025; Xiao et al., 2024).</w:t>
      </w:r>
    </w:p>
    <w:p w:rsidR="00000000" w:rsidDel="00000000" w:rsidP="00000000" w:rsidRDefault="00000000" w:rsidRPr="00000000" w14:paraId="00000071">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tal, no existe una jerarquía universal de familias frente al fine-tuning. La comparación defendible se realiza por receta concreta, distinguiendo parámetros actualizados, datos de adaptación y evaluación posterior de generalización. La Tabla 4 resume las estrategias documentadas y sus condiciones de retención.</w:t>
      </w:r>
    </w:p>
    <w:p w:rsidR="00000000" w:rsidDel="00000000" w:rsidP="00000000" w:rsidRDefault="00000000" w:rsidRPr="00000000" w14:paraId="00000072">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qvy3nfx4njbp" w:id="11"/>
      <w:bookmarkEnd w:id="11"/>
      <w:r w:rsidDel="00000000" w:rsidR="00000000" w:rsidRPr="00000000">
        <w:rPr>
          <w:rFonts w:ascii="Times New Roman" w:cs="Times New Roman" w:eastAsia="Times New Roman" w:hAnsi="Times New Roman"/>
          <w:b w:val="1"/>
          <w:bCs w:val="1"/>
          <w:i w:val="0"/>
          <w:iCs w:val="0"/>
          <w:color w:val="000000"/>
          <w:sz w:val="24"/>
          <w:szCs w:val="24"/>
          <w:rtl w:val="0"/>
        </w:rPr>
        <w:t xml:space="preserve">Tabla 4</w:t>
      </w:r>
      <w:r w:rsidDel="00000000" w:rsidR="00000000" w:rsidRPr="00000000">
        <w:rPr>
          <w:rtl w:val="0"/>
        </w:rPr>
      </w:r>
    </w:p>
    <w:p w:rsidR="00000000" w:rsidDel="00000000" w:rsidP="00000000" w:rsidRDefault="00000000" w:rsidRPr="00000000" w14:paraId="00000073">
      <w:pPr>
        <w:keepNext w:val="1"/>
        <w:keepLines w:val="1"/>
        <w:spacing w:after="120" w:before="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Estrategias de fine-tuning documentadas y retención OVD reportada por familia arquitectónica</w:t>
      </w:r>
      <w:r w:rsidDel="00000000" w:rsidR="00000000" w:rsidRPr="00000000">
        <w:rPr>
          <w:rtl w:val="0"/>
        </w:rPr>
      </w:r>
    </w:p>
    <w:tbl>
      <w:tblPr>
        <w:tblStyle w:val="Table3"/>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3092"/>
        <w:gridCol w:w="3809"/>
        <w:gridCol w:w="2028"/>
        <w:gridCol w:w="4031"/>
        <w:tblGridChange w:id="0">
          <w:tblGrid>
            <w:gridCol w:w="3092"/>
            <w:gridCol w:w="3809"/>
            <w:gridCol w:w="2028"/>
            <w:gridCol w:w="4031"/>
          </w:tblGrid>
        </w:tblGridChange>
      </w:tblGrid>
      <w:tr>
        <w:trPr>
          <w:cantSplit w:val="1"/>
          <w:tblHeader w:val="1"/>
        </w:trPr>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Familia / Modelo</w:t>
            </w:r>
            <w:r w:rsidDel="00000000" w:rsidR="00000000" w:rsidRPr="00000000">
              <w:rPr>
                <w:rtl w:val="0"/>
              </w:rPr>
            </w:r>
          </w:p>
        </w:tc>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Estrategia de fine-tuning</w:t>
            </w:r>
            <w:r w:rsidDel="00000000" w:rsidR="00000000" w:rsidRPr="00000000">
              <w:rPr>
                <w:rtl w:val="0"/>
              </w:rPr>
            </w:r>
          </w:p>
        </w:tc>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Retención OVD reportada </w:t>
            </w:r>
            <w:r w:rsidDel="00000000" w:rsidR="00000000" w:rsidRPr="00000000">
              <w:rPr>
                <w:rtl w:val="0"/>
              </w:rPr>
            </w:r>
          </w:p>
        </w:tc>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Condición clave</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7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closed-set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Vocabulario restringido post-ajuste</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7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Preentrenamiento continuado open-set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LR reducido; módulos congelados; datos mixtos</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open-vocabulary (base a novel)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Evaluación explícita en categorías no vistas</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Adaptación LoRA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Backbones congelados; solo adapters entrenables</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con MixedGroundingDataset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Parcial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Depende de capas ajustadas; text encoder frágil</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closed-set (MultiModalDataset)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Vocabulario fijo en JSON</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Reparametrización eficiente (sin </w:t>
            </w:r>
            <w:r w:rsidDel="00000000" w:rsidR="00000000" w:rsidRPr="00000000">
              <w:rPr>
                <w:rFonts w:ascii="Times New Roman" w:cs="Times New Roman" w:eastAsia="Times New Roman" w:hAnsi="Times New Roman"/>
                <w:i w:val="0"/>
                <w:iCs w:val="0"/>
                <w:color w:val="000000"/>
                <w:sz w:val="24"/>
                <w:szCs w:val="24"/>
                <w:rtl w:val="0"/>
              </w:rPr>
              <w:t xml:space="preserve">RepVL</w:t>
            </w:r>
            <w:r w:rsidDel="00000000" w:rsidR="00000000" w:rsidRPr="00000000">
              <w:rPr>
                <w:rFonts w:ascii="Times New Roman" w:cs="Times New Roman" w:eastAsia="Times New Roman" w:hAnsi="Times New Roman"/>
                <w:i w:val="0"/>
                <w:iCs w:val="0"/>
                <w:color w:val="000000"/>
                <w:sz w:val="24"/>
                <w:szCs w:val="24"/>
                <w:rtl w:val="0"/>
              </w:rPr>
              <w:t xml:space="preserve">-PAN)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Text encoder removido; equivale a YOLOv8</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Transferring (linear probing / full tuning)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 evaluada por los autores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receta estándar produce vocabulario fijo; la retención requiere reinyectar y evaluar vocabulario abierto</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OWL-ViT / OWLv2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de extremo a extremo con regularización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Parcial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Requiere estrategias de regularización</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OWL-ViT / OWLv2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Self-training (OWL-ST) con pseudo-anotaciones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Vocabulario diverso (n-gramas) preserva OVD</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A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Florence-2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con LoRA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Parcial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Retención parcial de clases base; encoder congelado recomendado</w:t>
            </w:r>
            <w:r w:rsidDel="00000000" w:rsidR="00000000" w:rsidRPr="00000000">
              <w:rPr>
                <w:rtl w:val="0"/>
              </w:rPr>
            </w:r>
          </w:p>
        </w:tc>
      </w:tr>
    </w:tbl>
    <w:p w:rsidR="00000000" w:rsidDel="00000000" w:rsidP="00000000" w:rsidRDefault="00000000" w:rsidRPr="00000000" w14:paraId="000000A4">
      <w:pPr>
        <w:keepLines w:val="1"/>
        <w:spacing w:after="0" w:before="12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w:t>
      </w:r>
      <w:r w:rsidDel="00000000" w:rsidR="00000000" w:rsidRPr="00000000">
        <w:rPr>
          <w:rFonts w:ascii="Times New Roman" w:cs="Times New Roman" w:eastAsia="Times New Roman" w:hAnsi="Times New Roman"/>
          <w:i w:val="0"/>
          <w:iCs w:val="0"/>
          <w:color w:val="000000"/>
          <w:sz w:val="24"/>
          <w:szCs w:val="24"/>
          <w:rtl w:val="0"/>
        </w:rPr>
        <w:t xml:space="preserve">Minderer</w:t>
      </w:r>
      <w:r w:rsidDel="00000000" w:rsidR="00000000" w:rsidRPr="00000000">
        <w:rPr>
          <w:rFonts w:ascii="Times New Roman" w:cs="Times New Roman" w:eastAsia="Times New Roman" w:hAnsi="Times New Roman"/>
          <w:i w:val="0"/>
          <w:iCs w:val="0"/>
          <w:color w:val="000000"/>
          <w:sz w:val="24"/>
          <w:szCs w:val="24"/>
          <w:rtl w:val="0"/>
        </w:rPr>
        <w:t xml:space="preserve"> et al. (2022, 2023), Rasaee et al. (2025), Ucar et al. (2025), A. Wang et al. (2025), Xiao et al. (2024) y X. Zhao et al. (2024).</w:t>
      </w:r>
      <w:r w:rsidDel="00000000" w:rsidR="00000000" w:rsidRPr="00000000">
        <w:rPr>
          <w:rtl w:val="0"/>
        </w:rPr>
      </w:r>
    </w:p>
    <w:p w:rsidR="00000000" w:rsidDel="00000000" w:rsidP="00000000" w:rsidRDefault="00000000" w:rsidRPr="00000000" w14:paraId="000000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w:t>
      </w:r>
      <w:r w:rsidDel="00000000" w:rsidR="00000000" w:rsidRPr="00000000">
        <w:rPr>
          <w:rFonts w:ascii="Times New Roman" w:cs="Times New Roman" w:eastAsia="Times New Roman" w:hAnsi="Times New Roman"/>
          <w:sz w:val="24"/>
          <w:szCs w:val="24"/>
          <w:rtl w:val="0"/>
        </w:rPr>
        <w:t xml:space="preserve">congelan</w:t>
      </w:r>
      <w:r w:rsidDel="00000000" w:rsidR="00000000" w:rsidRPr="00000000">
        <w:rPr>
          <w:rFonts w:ascii="Times New Roman" w:cs="Times New Roman" w:eastAsia="Times New Roman" w:hAnsi="Times New Roman"/>
          <w:sz w:val="24"/>
          <w:szCs w:val="24"/>
          <w:rtl w:val="0"/>
        </w:rPr>
        <w:t xml:space="preserve">,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más bien, corresponde describir qué receta retuvo capacidad OVD, bajo qué datos y con qué protocolo de evaluación.</w:t>
      </w:r>
    </w:p>
    <w:p w:rsidR="00000000" w:rsidDel="00000000" w:rsidP="00000000" w:rsidRDefault="00000000" w:rsidRPr="00000000" w14:paraId="000000A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66jphxyv5oc6" w:id="12"/>
      <w:bookmarkEnd w:id="12"/>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0A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0A8">
      <w:pPr>
        <w:pStyle w:val="Heading4"/>
        <w:spacing w:after="0" w:before="0" w:line="480" w:lineRule="auto"/>
        <w:rPr>
          <w:rFonts w:ascii="Times New Roman" w:cs="Times New Roman" w:eastAsia="Times New Roman" w:hAnsi="Times New Roman"/>
          <w:b w:val="1"/>
          <w:bCs w:val="1"/>
          <w:color w:val="000000"/>
        </w:rPr>
      </w:pPr>
      <w:bookmarkStart w:colFirst="0" w:colLast="0" w:name="_heading=h.6ypaep4gc4p7" w:id="13"/>
      <w:bookmarkEnd w:id="13"/>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0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0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Esta limitación impide dar por resueltas las condiciones relacionales a partir de la salida local del detector y exige que cualquier tratamiento adicional se defina y valide de forma explícita.</w:t>
      </w:r>
    </w:p>
    <w:p w:rsidR="00000000" w:rsidDel="00000000" w:rsidP="00000000" w:rsidRDefault="00000000" w:rsidRPr="00000000" w14:paraId="000000AB">
      <w:pPr>
        <w:pStyle w:val="Heading4"/>
        <w:spacing w:after="0" w:before="0" w:line="480" w:lineRule="auto"/>
        <w:rPr>
          <w:rFonts w:ascii="Times New Roman" w:cs="Times New Roman" w:eastAsia="Times New Roman" w:hAnsi="Times New Roman"/>
          <w:b w:val="1"/>
          <w:bCs w:val="1"/>
          <w:color w:val="000000"/>
        </w:rPr>
      </w:pPr>
      <w:bookmarkStart w:colFirst="0" w:colLast="0" w:name="_heading=h.305ogsoex38y" w:id="14"/>
      <w:bookmarkEnd w:id="14"/>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p>
    <w:p w:rsidR="00000000" w:rsidDel="00000000" w:rsidP="00000000" w:rsidRDefault="00000000" w:rsidRPr="00000000" w14:paraId="000000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cuadro de manera independiente sin mantener memoria de estados previos ni modelar explícitamente la evolución temporal de las detecciones. Esta característica introduce variabilidad entre cuadros consecutivos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0A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(S. Li et al., 2023). No obstante, esta integración introduce complejidad arquitectónica adicional y requiere considerar la compatibilidad entre el detector y el método de seguimiento seleccionado.</w:t>
      </w:r>
    </w:p>
    <w:p w:rsidR="00000000" w:rsidDel="00000000" w:rsidP="00000000" w:rsidRDefault="00000000" w:rsidRPr="00000000" w14:paraId="000000AE">
      <w:pPr>
        <w:pStyle w:val="Heading4"/>
        <w:spacing w:after="0" w:before="0" w:line="480" w:lineRule="auto"/>
        <w:rPr>
          <w:rFonts w:ascii="Times New Roman" w:cs="Times New Roman" w:eastAsia="Times New Roman" w:hAnsi="Times New Roman"/>
          <w:b w:val="1"/>
          <w:bCs w:val="1"/>
          <w:color w:val="000000"/>
        </w:rPr>
      </w:pPr>
      <w:bookmarkStart w:colFirst="0" w:colLast="0" w:name="_heading=h.i11h1powflqu" w:id="15"/>
      <w:bookmarkEnd w:id="15"/>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0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Por ejemplo,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0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0B1">
      <w:pPr>
        <w:pStyle w:val="Heading4"/>
        <w:spacing w:after="0" w:before="0" w:line="480" w:lineRule="auto"/>
        <w:rPr>
          <w:rFonts w:ascii="Times New Roman" w:cs="Times New Roman" w:eastAsia="Times New Roman" w:hAnsi="Times New Roman"/>
          <w:b w:val="1"/>
          <w:bCs w:val="1"/>
          <w:color w:val="000000"/>
        </w:rPr>
      </w:pPr>
      <w:bookmarkStart w:colFirst="0" w:colLast="0" w:name="_heading=h.6txoeihsmzw0" w:id="16"/>
      <w:bookmarkEnd w:id="16"/>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0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0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0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0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0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w:t>
      </w:r>
      <w:r w:rsidDel="00000000" w:rsidR="00000000" w:rsidRPr="00000000">
        <w:rPr>
          <w:rFonts w:ascii="Times New Roman" w:cs="Times New Roman" w:eastAsia="Times New Roman" w:hAnsi="Times New Roman"/>
          <w:sz w:val="24"/>
          <w:szCs w:val="24"/>
          <w:rtl w:val="0"/>
        </w:rPr>
        <w:t xml:space="preserve">Zou</w:t>
      </w:r>
      <w:r w:rsidDel="00000000" w:rsidR="00000000" w:rsidRPr="00000000">
        <w:rPr>
          <w:rFonts w:ascii="Times New Roman" w:cs="Times New Roman" w:eastAsia="Times New Roman" w:hAnsi="Times New Roman"/>
          <w:sz w:val="24"/>
          <w:szCs w:val="24"/>
          <w:rtl w:val="0"/>
        </w:rPr>
        <w:t xml:space="preserve">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0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0B9">
      <w:pPr>
        <w:pStyle w:val="Heading4"/>
        <w:spacing w:after="0" w:before="0" w:line="480" w:lineRule="auto"/>
        <w:rPr>
          <w:rFonts w:ascii="Times New Roman" w:cs="Times New Roman" w:eastAsia="Times New Roman" w:hAnsi="Times New Roman"/>
          <w:b w:val="1"/>
          <w:bCs w:val="1"/>
          <w:color w:val="000000"/>
        </w:rPr>
      </w:pPr>
      <w:bookmarkStart w:colFirst="0" w:colLast="0" w:name="_heading=h.3xqpxvq793fn" w:id="17"/>
      <w:bookmarkEnd w:id="17"/>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0B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cuadro a cuadro, sin considerar aspectos temporales ni el impacto diferenciado de distintos tipos de error en escenarios de monitoreo de riesgos.</w:t>
      </w:r>
    </w:p>
    <w:p w:rsidR="00000000" w:rsidDel="00000000" w:rsidP="00000000" w:rsidRDefault="00000000" w:rsidRPr="00000000" w14:paraId="000000BB">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0BC">
      <w:pPr>
        <w:pStyle w:val="Heading4"/>
        <w:spacing w:after="0" w:before="0" w:line="480" w:lineRule="auto"/>
        <w:rPr>
          <w:rFonts w:ascii="Times New Roman" w:cs="Times New Roman" w:eastAsia="Times New Roman" w:hAnsi="Times New Roman"/>
          <w:b w:val="1"/>
          <w:bCs w:val="1"/>
          <w:color w:val="000000"/>
        </w:rPr>
      </w:pPr>
      <w:bookmarkStart w:colFirst="0" w:colLast="0" w:name="_heading=h.92bt48osfy2c" w:id="18"/>
      <w:bookmarkEnd w:id="18"/>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0BD">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5 organiza las brechas identificadas en las subsecciones precedentes con su descripción técnica y su implicación específica para el proyecto.</w:t>
      </w:r>
    </w:p>
    <w:p w:rsidR="00000000" w:rsidDel="00000000" w:rsidP="00000000" w:rsidRDefault="00000000" w:rsidRPr="00000000" w14:paraId="000000BE">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c1z4d4d86g5a" w:id="19"/>
      <w:bookmarkEnd w:id="19"/>
      <w:r w:rsidDel="00000000" w:rsidR="00000000" w:rsidRPr="00000000">
        <w:rPr>
          <w:rFonts w:ascii="Times New Roman" w:cs="Times New Roman" w:eastAsia="Times New Roman" w:hAnsi="Times New Roman"/>
          <w:b w:val="1"/>
          <w:bCs w:val="1"/>
          <w:i w:val="0"/>
          <w:iCs w:val="0"/>
          <w:color w:val="000000"/>
          <w:sz w:val="24"/>
          <w:szCs w:val="24"/>
          <w:rtl w:val="0"/>
        </w:rPr>
        <w:t xml:space="preserve">Tabla 5</w:t>
      </w:r>
      <w:r w:rsidDel="00000000" w:rsidR="00000000" w:rsidRPr="00000000">
        <w:rPr>
          <w:rtl w:val="0"/>
        </w:rPr>
      </w:r>
    </w:p>
    <w:p w:rsidR="00000000" w:rsidDel="00000000" w:rsidP="00000000" w:rsidRDefault="00000000" w:rsidRPr="00000000" w14:paraId="000000BF">
      <w:pPr>
        <w:keepNext w:val="1"/>
        <w:keepLines w:val="1"/>
        <w:spacing w:after="12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Brechas identificadas en la aplicación de modelos OVD al dominio de seguridad en construcción civil</w:t>
      </w:r>
      <w:r w:rsidDel="00000000" w:rsidR="00000000" w:rsidRPr="00000000">
        <w:rPr>
          <w:rtl w:val="0"/>
        </w:rPr>
      </w:r>
    </w:p>
    <w:tbl>
      <w:tblPr>
        <w:tblStyle w:val="Table4"/>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949"/>
        <w:gridCol w:w="5328"/>
        <w:gridCol w:w="4683"/>
        <w:tblGridChange w:id="0">
          <w:tblGrid>
            <w:gridCol w:w="2949"/>
            <w:gridCol w:w="5328"/>
            <w:gridCol w:w="4683"/>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C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Brecha identificada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C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Descripción</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C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Implicación para el proyecto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Contextualización semántica limitada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Los modelos OVD detectan entidades localmente pero no infieren relaciones espaciales complejas entre ellas (p. ej., “persona dentro de zona restringida” requiere razonamiento relacional)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Las condiciones composicionales no pueden evaluarse a partir de la salida local del detector sin una estrategia adicional explícitamente definida y validada.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Ausencia de consistencia temporal nativa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detección cuadro a cuadro introduce variabilidad en puntajes de confianza, apariciones y desapariciones espurias entre cuadros consecutivos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Necesidad de integración con módulo MOT para aportar coherencia temporal a las detecciones semánticas </w:t>
            </w:r>
            <w:hyperlink r:id="rId11">
              <w:r w:rsidDel="00000000" w:rsidR="00000000" w:rsidRPr="00000000">
                <w:rPr>
                  <w:rFonts w:ascii="Times New Roman" w:cs="Times New Roman" w:eastAsia="Times New Roman" w:hAnsi="Times New Roman"/>
                  <w:i w:val="0"/>
                  <w:iCs w:val="0"/>
                  <w:color w:val="000000"/>
                  <w:sz w:val="24"/>
                  <w:szCs w:val="24"/>
                  <w:rtl w:val="0"/>
                </w:rPr>
                <w:t xml:space="preserve">(S. Li et al., 2023)</w:t>
              </w:r>
            </w:hyperlink>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Sensibilidad a la formulación del prompt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Pequeños cambios en la redacción producen diferencias significativas en el desempeño, incluso para conceptos equivalentes </w:t>
            </w:r>
            <w:hyperlink r:id="rId12">
              <w:r w:rsidDel="00000000" w:rsidR="00000000" w:rsidRPr="00000000">
                <w:rPr>
                  <w:rFonts w:ascii="Times New Roman" w:cs="Times New Roman" w:eastAsia="Times New Roman" w:hAnsi="Times New Roman"/>
                  <w:i w:val="0"/>
                  <w:iCs w:val="0"/>
                  <w:color w:val="000000"/>
                  <w:sz w:val="24"/>
                  <w:szCs w:val="24"/>
                  <w:rtl w:val="0"/>
                </w:rPr>
                <w:t xml:space="preserve">(Zhou et al., 2022b)</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diseño de prompts para condiciones de riesgo requiere un proceso sistemático; la selección informal puede comprometer la robustez del sistema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Brecha de dominio con benchmarks estándar</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Los resultados en COCO o LVIS no garantizan transferencia al dominio objetivo. Grounding DINO con backbone Swin-L pasa de 52,5 AP en COCO a 26,1 mean AP en ODinW.</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protocolo debe incorporar una línea base zero-shot propia y un conjunto de prueba de dominio congelado; los benchmarks generales funcionan únicamente como referencia externa.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Ausencia de protocolos de evaluación específicos para seguridad industrial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Las métricas AP en COCO/LVIS </w:t>
            </w:r>
            <w:hyperlink r:id="rId13">
              <w:r w:rsidDel="00000000" w:rsidR="00000000" w:rsidRPr="00000000">
                <w:rPr>
                  <w:rFonts w:ascii="Times New Roman" w:cs="Times New Roman" w:eastAsia="Times New Roman" w:hAnsi="Times New Roman"/>
                  <w:i w:val="0"/>
                  <w:iCs w:val="0"/>
                  <w:color w:val="000000"/>
                  <w:sz w:val="24"/>
                  <w:szCs w:val="24"/>
                  <w:rtl w:val="0"/>
                </w:rPr>
                <w:t xml:space="preserve">(Gupta et al., 2019; Lin et al., 2014)</w:t>
              </w:r>
            </w:hyperlink>
            <w:r w:rsidDel="00000000" w:rsidR="00000000" w:rsidRPr="00000000">
              <w:rPr>
                <w:rFonts w:ascii="Times New Roman" w:cs="Times New Roman" w:eastAsia="Times New Roman" w:hAnsi="Times New Roman"/>
                <w:i w:val="0"/>
                <w:iCs w:val="0"/>
                <w:color w:val="000000"/>
                <w:sz w:val="24"/>
                <w:szCs w:val="24"/>
                <w:rtl w:val="0"/>
              </w:rPr>
              <w:t xml:space="preserve"> no capturan el valor operativo del sistema: no consideran latencia de alerta, persistencia de la detección ni impacto diferenciado de falsos positivos/negativos.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protocolo experimental debe definir métricas alineadas con el valor operativo de la alerta, incluyendo persistencia temporal, latencia y tratamiento diferenciado de falsos positivos y falsos negativos.</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D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Escasez de evaluación OVD × EPP</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literatura ofrece evidencia directa limitada. Choi y Greer (2024) reportan AP@IoU&gt;0,5 de 0,6767 para </w:t>
            </w:r>
            <w:r w:rsidDel="00000000" w:rsidR="00000000" w:rsidRPr="00000000">
              <w:rPr>
                <w:rFonts w:ascii="Times New Roman" w:cs="Times New Roman" w:eastAsia="Times New Roman" w:hAnsi="Times New Roman"/>
                <w:i w:val="1"/>
                <w:iCs w:val="1"/>
                <w:color w:val="000000"/>
                <w:sz w:val="24"/>
                <w:szCs w:val="24"/>
                <w:rtl w:val="0"/>
              </w:rPr>
              <w:t xml:space="preserve">person</w:t>
            </w:r>
            <w:r w:rsidDel="00000000" w:rsidR="00000000" w:rsidRPr="00000000">
              <w:rPr>
                <w:rFonts w:ascii="Times New Roman" w:cs="Times New Roman" w:eastAsia="Times New Roman" w:hAnsi="Times New Roman"/>
                <w:i w:val="0"/>
                <w:iCs w:val="0"/>
                <w:color w:val="000000"/>
                <w:sz w:val="24"/>
                <w:szCs w:val="24"/>
                <w:rtl w:val="0"/>
              </w:rPr>
              <w:t xml:space="preserve">, 0,6493 para detección directa de </w:t>
            </w:r>
            <w:r w:rsidDel="00000000" w:rsidR="00000000" w:rsidRPr="00000000">
              <w:rPr>
                <w:rFonts w:ascii="Times New Roman" w:cs="Times New Roman" w:eastAsia="Times New Roman" w:hAnsi="Times New Roman"/>
                <w:i w:val="1"/>
                <w:iCs w:val="1"/>
                <w:color w:val="000000"/>
                <w:sz w:val="24"/>
                <w:szCs w:val="24"/>
                <w:rtl w:val="0"/>
              </w:rPr>
              <w:t xml:space="preserve">hardhat</w:t>
            </w:r>
            <w:r w:rsidDel="00000000" w:rsidR="00000000" w:rsidRPr="00000000">
              <w:rPr>
                <w:rFonts w:ascii="Times New Roman" w:cs="Times New Roman" w:eastAsia="Times New Roman" w:hAnsi="Times New Roman"/>
                <w:i w:val="0"/>
                <w:iCs w:val="0"/>
                <w:color w:val="000000"/>
                <w:sz w:val="24"/>
                <w:szCs w:val="24"/>
                <w:rtl w:val="0"/>
              </w:rPr>
              <w:t xml:space="preserve">, 0,1024 para la clase </w:t>
            </w:r>
            <w:r w:rsidDel="00000000" w:rsidR="00000000" w:rsidRPr="00000000">
              <w:rPr>
                <w:rFonts w:ascii="Times New Roman" w:cs="Times New Roman" w:eastAsia="Times New Roman" w:hAnsi="Times New Roman"/>
                <w:i w:val="1"/>
                <w:iCs w:val="1"/>
                <w:color w:val="000000"/>
                <w:sz w:val="24"/>
                <w:szCs w:val="24"/>
                <w:rtl w:val="0"/>
              </w:rPr>
              <w:t xml:space="preserve">head </w:t>
            </w:r>
            <w:r w:rsidDel="00000000" w:rsidR="00000000" w:rsidRPr="00000000">
              <w:rPr>
                <w:rFonts w:ascii="Times New Roman" w:cs="Times New Roman" w:eastAsia="Times New Roman" w:hAnsi="Times New Roman"/>
                <w:i w:val="0"/>
                <w:iCs w:val="0"/>
                <w:color w:val="000000"/>
                <w:sz w:val="24"/>
                <w:szCs w:val="24"/>
                <w:rtl w:val="0"/>
              </w:rPr>
              <w:t xml:space="preserve">y 0,2699 para la cascada multietapa. El relevamiento no identificó evaluaciones de Grounding DINO o YOLO-World zero-shot sobre SHEL5K o CHV, ni un benchmark de EPP multi-fuente bajo protocolo COCO.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 requiere una línea base zero-shot propia y un conjunto de prueba congelado; la respuesta experimental se presenta fuera del estado del arte.</w:t>
            </w:r>
            <w:r w:rsidDel="00000000" w:rsidR="00000000" w:rsidRPr="00000000">
              <w:rPr>
                <w:rtl w:val="0"/>
              </w:rPr>
            </w:r>
          </w:p>
        </w:tc>
      </w:tr>
    </w:tbl>
    <w:p w:rsidR="00000000" w:rsidDel="00000000" w:rsidP="00000000" w:rsidRDefault="00000000" w:rsidRPr="00000000" w14:paraId="000000D5">
      <w:pPr>
        <w:keepLines w:val="1"/>
        <w:spacing w:after="0" w:before="12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Las brechas listadas delimitan problemas técnicos que el protocolo y la arquitectura deben abordar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i w:val="0"/>
          <w:iCs w:val="0"/>
          <w:color w:val="000000"/>
          <w:sz w:val="24"/>
          <w:szCs w:val="24"/>
          <w:rtl w:val="0"/>
        </w:rPr>
        <w:t xml:space="preserve">o se presentan como limitaciones insalvables. Fuente: elaboración propia basada en Choi y Greer (2024), Chen y Zou (2025), Gupta et al. (2019), S. Li et al. (2023), Lin et al. (2014), Liu et al. (2024), Zareian et al. (2021) y Zhou et al. (2022b).</w:t>
      </w:r>
      <w:r w:rsidDel="00000000" w:rsidR="00000000" w:rsidRPr="00000000">
        <w:rPr>
          <w:rtl w:val="0"/>
        </w:rPr>
      </w:r>
    </w:p>
    <w:p w:rsidR="00000000" w:rsidDel="00000000" w:rsidP="00000000" w:rsidRDefault="00000000" w:rsidRPr="00000000" w14:paraId="000000D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eh6agl8yrcoc" w:id="20"/>
      <w:bookmarkEnd w:id="20"/>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cuadro a cuadro,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w:t>
      </w:r>
      <w:r w:rsidDel="00000000" w:rsidR="00000000" w:rsidRPr="00000000">
        <w:rPr>
          <w:rFonts w:ascii="Times New Roman" w:cs="Times New Roman" w:eastAsia="Times New Roman" w:hAnsi="Times New Roman"/>
          <w:sz w:val="24"/>
          <w:szCs w:val="24"/>
          <w:rtl w:val="0"/>
        </w:rPr>
        <w:t xml:space="preserve">reentrenados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pp1zrldqw7i" w:id="21"/>
      <w:bookmarkEnd w:id="21"/>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0DB">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38tguem6rnmb" w:id="22"/>
      <w:bookmarkEnd w:id="22"/>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representativos</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w:t>
      </w:r>
      <w:r w:rsidDel="00000000" w:rsidR="00000000" w:rsidRPr="00000000">
        <w:rPr>
          <w:rFonts w:ascii="Times New Roman" w:cs="Times New Roman" w:eastAsia="Times New Roman" w:hAnsi="Times New Roman"/>
          <w:sz w:val="24"/>
          <w:szCs w:val="24"/>
          <w:rtl w:val="0"/>
        </w:rPr>
        <w:t xml:space="preserve">MOT</w:t>
      </w:r>
      <w:r w:rsidDel="00000000" w:rsidR="00000000" w:rsidRPr="00000000">
        <w:rPr>
          <w:rFonts w:ascii="Times New Roman" w:cs="Times New Roman" w:eastAsia="Times New Roman" w:hAnsi="Times New Roman"/>
          <w:sz w:val="24"/>
          <w:szCs w:val="24"/>
          <w:rtl w:val="0"/>
        </w:rPr>
        <w:t xml:space="preserve">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0DD">
      <w:pPr>
        <w:pStyle w:val="Heading4"/>
        <w:spacing w:after="0" w:before="0" w:line="480" w:lineRule="auto"/>
        <w:rPr>
          <w:rFonts w:ascii="Times New Roman" w:cs="Times New Roman" w:eastAsia="Times New Roman" w:hAnsi="Times New Roman"/>
          <w:b w:val="1"/>
          <w:bCs w:val="1"/>
          <w:color w:val="000000"/>
        </w:rPr>
      </w:pPr>
      <w:bookmarkStart w:colFirst="0" w:colLast="0" w:name="_heading=h.ina524lejo6t" w:id="23"/>
      <w:bookmarkEnd w:id="23"/>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w:t>
      </w:r>
      <w:r w:rsidDel="00000000" w:rsidR="00000000" w:rsidRPr="00000000">
        <w:rPr>
          <w:rFonts w:ascii="Times New Roman" w:cs="Times New Roman" w:eastAsia="Times New Roman" w:hAnsi="Times New Roman"/>
          <w:sz w:val="24"/>
          <w:szCs w:val="24"/>
          <w:rtl w:val="0"/>
        </w:rPr>
        <w:t xml:space="preserve">modelado</w:t>
      </w:r>
      <w:r w:rsidDel="00000000" w:rsidR="00000000" w:rsidRPr="00000000">
        <w:rPr>
          <w:rFonts w:ascii="Times New Roman" w:cs="Times New Roman" w:eastAsia="Times New Roman" w:hAnsi="Times New Roman"/>
          <w:sz w:val="24"/>
          <w:szCs w:val="24"/>
          <w:rtl w:val="0"/>
        </w:rPr>
        <w:t xml:space="preserve">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0DF">
      <w:pPr>
        <w:pStyle w:val="Heading4"/>
        <w:spacing w:after="0" w:before="0" w:line="480" w:lineRule="auto"/>
        <w:rPr>
          <w:rFonts w:ascii="Times New Roman" w:cs="Times New Roman" w:eastAsia="Times New Roman" w:hAnsi="Times New Roman"/>
          <w:b w:val="1"/>
          <w:bCs w:val="1"/>
          <w:color w:val="000000"/>
        </w:rPr>
      </w:pPr>
      <w:bookmarkStart w:colFirst="0" w:colLast="0" w:name="_heading=h.n13z75yemuiy" w:id="24"/>
      <w:bookmarkEnd w:id="24"/>
      <w:r w:rsidDel="00000000" w:rsidR="00000000" w:rsidRPr="00000000">
        <w:rPr>
          <w:rFonts w:ascii="Times New Roman" w:cs="Times New Roman" w:eastAsia="Times New Roman" w:hAnsi="Times New Roman"/>
          <w:b w:val="1"/>
          <w:bCs w:val="1"/>
          <w:color w:val="000000"/>
          <w:rtl w:val="0"/>
        </w:rPr>
        <w:t xml:space="preserve">15.3.1.2. Contraste con variantes posteriores</w:t>
      </w:r>
    </w:p>
    <w:p w:rsidR="00000000" w:rsidDel="00000000" w:rsidP="00000000" w:rsidRDefault="00000000" w:rsidRPr="00000000" w14:paraId="000000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extensiones de tracking-by-detection introducen distintos mecanismos para mejorar la continuidad: DeepSORT agrega apariencia mediante ReID (</w:t>
      </w:r>
      <w:r w:rsidDel="00000000" w:rsidR="00000000" w:rsidRPr="00000000">
        <w:rPr>
          <w:rFonts w:ascii="Times New Roman" w:cs="Times New Roman" w:eastAsia="Times New Roman" w:hAnsi="Times New Roman"/>
          <w:sz w:val="24"/>
          <w:szCs w:val="24"/>
          <w:rtl w:val="0"/>
        </w:rPr>
        <w:t xml:space="preserve">Wojke</w:t>
      </w:r>
      <w:r w:rsidDel="00000000" w:rsidR="00000000" w:rsidRPr="00000000">
        <w:rPr>
          <w:rFonts w:ascii="Times New Roman" w:cs="Times New Roman" w:eastAsia="Times New Roman" w:hAnsi="Times New Roman"/>
          <w:sz w:val="24"/>
          <w:szCs w:val="24"/>
          <w:rtl w:val="0"/>
        </w:rPr>
        <w:t xml:space="preserve"> et al., 2017); ByteTrack reutiliza detecciones de baja confianza para sostener trayectorias (Y. Zhang et al., 2022); y OC-SORT corrige la estimación de movimiento durante oclusiones sin requerir apariencia (Cao et al., 2023). En el extremo de mayor complejidad, BoT-SORT combina movimiento y ReID, mientras que TrackFormer y MOTR aprenden detección y asociación de manera conjunta. Estas variantes permiten contrastar robustez, dependencia de entrenamiento y costo computacional, pero no establecen por sí mismas un método preferente para una plataforma OVD modular; la síntesis comparativa se conserva en la Tabla 6.</w:t>
      </w:r>
    </w:p>
    <w:p w:rsidR="00000000" w:rsidDel="00000000" w:rsidP="00000000" w:rsidRDefault="00000000" w:rsidRPr="00000000" w14:paraId="000000E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s42rooj34blk" w:id="25"/>
      <w:bookmarkEnd w:id="25"/>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0E2">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 paradigma, modelo de movimiento, estrategia de asociación, robustez ante oclusiones, latencia y dependencias de entrenamiento.</w:t>
      </w:r>
    </w:p>
    <w:p w:rsidR="00000000" w:rsidDel="00000000" w:rsidP="00000000" w:rsidRDefault="00000000" w:rsidRPr="00000000" w14:paraId="000000E3">
      <w:pPr>
        <w:keepNext w:val="1"/>
        <w:keepLines w:val="1"/>
        <w:spacing w:after="0" w:before="0" w:line="480" w:lineRule="auto"/>
        <w:ind w:left="0" w:right="0" w:firstLine="0"/>
        <w:rPr>
          <w:rFonts w:ascii="Times New Roman" w:cs="Times New Roman" w:eastAsia="Times New Roman" w:hAnsi="Times New Roman"/>
          <w:sz w:val="24"/>
          <w:szCs w:val="24"/>
        </w:rPr>
      </w:pPr>
      <w:bookmarkStart w:colFirst="0" w:colLast="0" w:name="_heading=h.cyq1a757twcg" w:id="26"/>
      <w:bookmarkEnd w:id="26"/>
      <w:r w:rsidDel="00000000" w:rsidR="00000000" w:rsidRPr="00000000">
        <w:rPr>
          <w:rFonts w:ascii="Times New Roman" w:cs="Times New Roman" w:eastAsia="Times New Roman" w:hAnsi="Times New Roman"/>
          <w:b w:val="1"/>
          <w:bCs w:val="1"/>
          <w:i w:val="0"/>
          <w:iCs w:val="0"/>
          <w:color w:val="000000"/>
          <w:sz w:val="24"/>
          <w:szCs w:val="24"/>
          <w:rtl w:val="0"/>
        </w:rPr>
        <w:t xml:space="preserve">Tabla 6</w:t>
      </w:r>
      <w:r w:rsidDel="00000000" w:rsidR="00000000" w:rsidRPr="00000000">
        <w:rPr>
          <w:rtl w:val="0"/>
        </w:rPr>
      </w:r>
    </w:p>
    <w:p w:rsidR="00000000" w:rsidDel="00000000" w:rsidP="00000000" w:rsidRDefault="00000000" w:rsidRPr="00000000" w14:paraId="000000E4">
      <w:pPr>
        <w:keepNext w:val="1"/>
        <w:keepLines w:val="1"/>
        <w:spacing w:after="12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5"/>
        <w:tblW w:w="12959.99999999999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366"/>
        <w:gridCol w:w="1415"/>
        <w:gridCol w:w="1887"/>
        <w:gridCol w:w="2210"/>
        <w:gridCol w:w="1465"/>
        <w:gridCol w:w="2086"/>
        <w:gridCol w:w="2531"/>
        <w:tblGridChange w:id="0">
          <w:tblGrid>
            <w:gridCol w:w="1366"/>
            <w:gridCol w:w="1415"/>
            <w:gridCol w:w="1887"/>
            <w:gridCol w:w="2210"/>
            <w:gridCol w:w="1465"/>
            <w:gridCol w:w="2086"/>
            <w:gridCol w:w="2531"/>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Método</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Paradigma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 de movimiento</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Asociación de datos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Robustez a oclusiones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Latencia / FPS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Dependencia de entrenamiento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E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E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E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lineal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E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IoU + Húngaro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Baja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 (&gt;200 FPS)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Ninguna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F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DeepSORT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lineal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Cascada: movimiento + apariencia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Modelo ReID preentrenado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F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ByteTrack</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lineal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Jerárquica: alta/baja confianza + IoU</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 (&gt;170 FPS)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Ninguna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0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OC-SORT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 correcciones OC</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IoU + consistencia de momento (OCM)</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Ninguna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0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BoT-SORT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mejorado + CMC</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Fusión </w:t>
            </w:r>
            <w:r w:rsidDel="00000000" w:rsidR="00000000" w:rsidRPr="00000000">
              <w:rPr>
                <w:rFonts w:ascii="Times New Roman" w:cs="Times New Roman" w:eastAsia="Times New Roman" w:hAnsi="Times New Roman"/>
                <w:i w:val="0"/>
                <w:iCs w:val="0"/>
                <w:color w:val="000000"/>
                <w:sz w:val="24"/>
                <w:szCs w:val="24"/>
                <w:rtl w:val="0"/>
              </w:rPr>
              <w:t xml:space="preserve">IoU</w:t>
            </w:r>
            <w:r w:rsidDel="00000000" w:rsidR="00000000" w:rsidRPr="00000000">
              <w:rPr>
                <w:rFonts w:ascii="Times New Roman" w:cs="Times New Roman" w:eastAsia="Times New Roman" w:hAnsi="Times New Roman"/>
                <w:i w:val="0"/>
                <w:iCs w:val="0"/>
                <w:color w:val="000000"/>
                <w:sz w:val="24"/>
                <w:szCs w:val="24"/>
                <w:rtl w:val="0"/>
              </w:rPr>
              <w:t xml:space="preserve">-ReID</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Modelo ReID preentrenado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0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TrackFormer / MOTR</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End-to-end (Transformer)</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Atención temporal aprendida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Mecanismo de atención global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Baja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Entrenamiento conjunto requerido</w:t>
            </w:r>
            <w:r w:rsidDel="00000000" w:rsidR="00000000" w:rsidRPr="00000000">
              <w:rPr>
                <w:rtl w:val="0"/>
              </w:rPr>
            </w:r>
          </w:p>
        </w:tc>
      </w:tr>
    </w:tbl>
    <w:p w:rsidR="00000000" w:rsidDel="00000000" w:rsidP="00000000" w:rsidRDefault="00000000" w:rsidRPr="00000000" w14:paraId="00000116">
      <w:pPr>
        <w:keepLines w:val="1"/>
        <w:spacing w:after="0" w:before="12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4">
        <w:r w:rsidDel="00000000" w:rsidR="00000000" w:rsidRPr="00000000">
          <w:rPr>
            <w:rFonts w:ascii="Times New Roman" w:cs="Times New Roman" w:eastAsia="Times New Roman" w:hAnsi="Times New Roman"/>
            <w:i w:val="0"/>
            <w:iCs w:val="0"/>
            <w:color w:val="000000"/>
            <w:sz w:val="24"/>
            <w:szCs w:val="24"/>
            <w:rtl w:val="0"/>
          </w:rPr>
          <w:t xml:space="preserve">(Adžemović, 2025; Aharon et al., 2022; Bewley et al., 2016; Cao et al., 2023; </w:t>
        </w:r>
      </w:hyperlink>
      <w:hyperlink r:id="rId15">
        <w:r w:rsidDel="00000000" w:rsidR="00000000" w:rsidRPr="00000000">
          <w:rPr>
            <w:rFonts w:ascii="Times New Roman" w:cs="Times New Roman" w:eastAsia="Times New Roman" w:hAnsi="Times New Roman"/>
            <w:i w:val="0"/>
            <w:iCs w:val="0"/>
            <w:color w:val="000000"/>
            <w:sz w:val="24"/>
            <w:szCs w:val="24"/>
            <w:rtl w:val="0"/>
          </w:rPr>
          <w:t xml:space="preserve">Wojke</w:t>
        </w:r>
      </w:hyperlink>
      <w:hyperlink r:id="rId16">
        <w:r w:rsidDel="00000000" w:rsidR="00000000" w:rsidRPr="00000000">
          <w:rPr>
            <w:rFonts w:ascii="Times New Roman" w:cs="Times New Roman" w:eastAsia="Times New Roman" w:hAnsi="Times New Roman"/>
            <w:i w:val="0"/>
            <w:iCs w:val="0"/>
            <w:color w:val="000000"/>
            <w:sz w:val="24"/>
            <w:szCs w:val="24"/>
            <w:rtl w:val="0"/>
          </w:rPr>
          <w:t xml:space="preserve"> et al., 2017; Y. Zhang et al., 2022)</w:t>
        </w:r>
      </w:hyperlink>
      <w:r w:rsidDel="00000000" w:rsidR="00000000" w:rsidRPr="00000000">
        <w:rPr>
          <w:rFonts w:ascii="Times New Roman" w:cs="Times New Roman" w:eastAsia="Times New Roman" w:hAnsi="Times New Roman"/>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17">
      <w:pPr>
        <w:pStyle w:val="Heading4"/>
        <w:spacing w:after="0" w:before="0" w:line="480" w:lineRule="auto"/>
        <w:rPr>
          <w:rFonts w:ascii="Times New Roman" w:cs="Times New Roman" w:eastAsia="Times New Roman" w:hAnsi="Times New Roman"/>
          <w:b w:val="1"/>
          <w:bCs w:val="1"/>
          <w:color w:val="000000"/>
        </w:rPr>
      </w:pPr>
      <w:bookmarkStart w:colFirst="0" w:colLast="0" w:name="_heading=h.udd69iamsgsn" w:id="27"/>
      <w:bookmarkEnd w:id="27"/>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comparativa muestra que los métodos de seguimiento difieren no sólo en sus resultados agregados, sino también en las dependencias que introducen. Los enfoques geométricos sin modelos de apariencia pueden acoplarse a detectores externos sin requerir entrenamiento adicional de ReID, mientras que las variantes basadas en apariencia o entrenamiento conjunto dependen de datos y componentes específicos (Adžemović, 2025; </w:t>
      </w:r>
      <w:r w:rsidDel="00000000" w:rsidR="00000000" w:rsidRPr="00000000">
        <w:rPr>
          <w:rFonts w:ascii="Times New Roman" w:cs="Times New Roman" w:eastAsia="Times New Roman" w:hAnsi="Times New Roman"/>
          <w:sz w:val="24"/>
          <w:szCs w:val="24"/>
          <w:rtl w:val="0"/>
        </w:rPr>
        <w:t xml:space="preserve">Wojke</w:t>
      </w:r>
      <w:r w:rsidDel="00000000" w:rsidR="00000000" w:rsidRPr="00000000">
        <w:rPr>
          <w:rFonts w:ascii="Times New Roman" w:cs="Times New Roman" w:eastAsia="Times New Roman" w:hAnsi="Times New Roman"/>
          <w:sz w:val="24"/>
          <w:szCs w:val="24"/>
          <w:rtl w:val="0"/>
        </w:rPr>
        <w:t xml:space="preserve"> et al., 2017). Esta diferencia delimita un compromiso entre simplicidad de integración y robustez de asociación; por sí sola, no determina la elección de un tracker para una plataforma OVD.</w:t>
      </w:r>
    </w:p>
    <w:p w:rsidR="00000000" w:rsidDel="00000000" w:rsidP="00000000" w:rsidRDefault="00000000" w:rsidRPr="00000000" w14:paraId="0000011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in0n84immy2w" w:id="28"/>
      <w:bookmarkEnd w:id="28"/>
      <w:sdt>
        <w:sdtPr>
          <w:id w:val="-478340205"/>
          <w:tag w:val="goog_rdk_2"/>
        </w:sdtPr>
        <w:sdtContent>
          <w:commentRangeStart w:id="2"/>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1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resume falsos negativos, falsos positivos y cambios de identidad respecto del ground truth, aunque su lectura está fuertemente condicionada por los errores de detección (Bernardin &amp; Stiefelhagen, 2008). IDF1 enfatiza la consistencia de identidad a lo largo de la secuencia (Ristani et al., 2016), mientras que HOTA separa y combina calidad de detección, asociación y localización (Luiten et al., 2021). Estas métricas caracterizan al tracker, pero no miden el valor temporal de una alerta; la evaluación de un sistema asistivo exige niveles adicionales, cuya definición corresponde al protocolo experimental. Una comparación ampliada de estas métricas y de sus limitaciones se presenta en la </w:t>
      </w:r>
      <w:sdt>
        <w:sdtPr>
          <w:id w:val="-1096277595"/>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Tabla A.2 del Anexo 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1B">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qseag15ghlai" w:id="29"/>
      <w:bookmarkEnd w:id="29"/>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1C">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1D">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selregkmggds" w:id="30"/>
      <w:bookmarkEnd w:id="30"/>
      <w:r w:rsidDel="00000000" w:rsidR="00000000" w:rsidRPr="00000000">
        <w:rPr>
          <w:rFonts w:ascii="Times New Roman" w:cs="Times New Roman" w:eastAsia="Times New Roman" w:hAnsi="Times New Roman"/>
          <w:b w:val="1"/>
          <w:bCs w:val="1"/>
          <w:i w:val="0"/>
          <w:iCs w:val="0"/>
          <w:color w:val="000000"/>
          <w:sz w:val="24"/>
          <w:szCs w:val="24"/>
          <w:rtl w:val="0"/>
        </w:rPr>
        <w:t xml:space="preserve">Tabla 7</w:t>
      </w:r>
      <w:r w:rsidDel="00000000" w:rsidR="00000000" w:rsidRPr="00000000">
        <w:rPr>
          <w:rtl w:val="0"/>
        </w:rPr>
      </w:r>
    </w:p>
    <w:p w:rsidR="00000000" w:rsidDel="00000000" w:rsidP="00000000" w:rsidRDefault="00000000" w:rsidRPr="00000000" w14:paraId="0000011E">
      <w:pPr>
        <w:keepNext w:val="1"/>
        <w:keepLines w:val="1"/>
        <w:spacing w:after="12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6"/>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329"/>
        <w:gridCol w:w="5576"/>
        <w:gridCol w:w="5055"/>
        <w:tblGridChange w:id="0">
          <w:tblGrid>
            <w:gridCol w:w="2329"/>
            <w:gridCol w:w="5576"/>
            <w:gridCol w:w="5055"/>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11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Brecha identificada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12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Descripción</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12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Implicación para el proyecto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Dependencia de la calidad del detector subyacente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rendimiento del MOT está fuertemente acoplado al desempeño del detector. Errores de detección —FP, FN, bounding boxes inestables— se propagan al seguimiento, produciendo fragmentación de trayectorias, pérdidas de identidad y asociaciones erróneas </w:t>
            </w:r>
            <w:hyperlink r:id="rId17">
              <w:r w:rsidDel="00000000" w:rsidR="00000000" w:rsidRPr="00000000">
                <w:rPr>
                  <w:rFonts w:ascii="Times New Roman" w:cs="Times New Roman" w:eastAsia="Times New Roman" w:hAnsi="Times New Roman"/>
                  <w:i w:val="0"/>
                  <w:iCs w:val="0"/>
                  <w:color w:val="000000"/>
                  <w:sz w:val="24"/>
                  <w:szCs w:val="24"/>
                  <w:rtl w:val="0"/>
                </w:rPr>
                <w:t xml:space="preserve">(S. Li et al., 2025)</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Fragilidad ante oclusiones prolongadas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Aunque los métodos modernos manejan oclusiones breves, las oclusiones de larga duración producen terminación prematura de trayectorias, re-asociaciones inciertas y aumento de ID switches </w:t>
            </w:r>
            <w:hyperlink r:id="rId18">
              <w:r w:rsidDel="00000000" w:rsidR="00000000" w:rsidRPr="00000000">
                <w:rPr>
                  <w:rFonts w:ascii="Times New Roman" w:cs="Times New Roman" w:eastAsia="Times New Roman" w:hAnsi="Times New Roman"/>
                  <w:i w:val="0"/>
                  <w:iCs w:val="0"/>
                  <w:color w:val="000000"/>
                  <w:sz w:val="24"/>
                  <w:szCs w:val="24"/>
                  <w:rtl w:val="0"/>
                </w:rPr>
                <w:t xml:space="preserve">(Du et al., 2024)</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 entornos de obra civil con alta densidad de obstrucciones (andamios, maquinaria, materiales), la robustez ante oclusiones es una restricción de diseño relevante que debe evaluarse empíricamente</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Métricas estándar no alineadas con objetivos operativos de seguridad</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Las métricas MOTA, IDF1 y HOTA evalúan el desempeño del seguimiento cuadro a cuadro sin considerar el impacto operativo diferenciado de distintos tipos de error en el contexto de seguridad laboral </w:t>
            </w:r>
            <w:hyperlink r:id="rId19">
              <w:r w:rsidDel="00000000" w:rsidR="00000000" w:rsidRPr="00000000">
                <w:rPr>
                  <w:rFonts w:ascii="Times New Roman" w:cs="Times New Roman" w:eastAsia="Times New Roman" w:hAnsi="Times New Roman"/>
                  <w:i w:val="0"/>
                  <w:iCs w:val="0"/>
                  <w:color w:val="000000"/>
                  <w:sz w:val="24"/>
                  <w:szCs w:val="24"/>
                  <w:rtl w:val="0"/>
                </w:rPr>
                <w:t xml:space="preserve">(Luiten et al., 2021)</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Ausencia de datasets de construcción con anotaciones de seguimiento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Los benchmarks estándar de MOT (</w:t>
            </w:r>
            <w:r w:rsidDel="00000000" w:rsidR="00000000" w:rsidRPr="00000000">
              <w:rPr>
                <w:rFonts w:ascii="Times New Roman" w:cs="Times New Roman" w:eastAsia="Times New Roman" w:hAnsi="Times New Roman"/>
                <w:i w:val="0"/>
                <w:iCs w:val="0"/>
                <w:color w:val="000000"/>
                <w:sz w:val="24"/>
                <w:szCs w:val="24"/>
                <w:rtl w:val="0"/>
              </w:rPr>
              <w:t xml:space="preserve">MOT17</w:t>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i w:val="0"/>
                <w:iCs w:val="0"/>
                <w:color w:val="000000"/>
                <w:sz w:val="24"/>
                <w:szCs w:val="24"/>
                <w:rtl w:val="0"/>
              </w:rPr>
              <w:t xml:space="preserve">MOT20</w:t>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i w:val="0"/>
                <w:iCs w:val="0"/>
                <w:color w:val="000000"/>
                <w:sz w:val="24"/>
                <w:szCs w:val="24"/>
                <w:rtl w:val="0"/>
              </w:rPr>
              <w:t xml:space="preserve">DanceTrack</w:t>
            </w:r>
            <w:r w:rsidDel="00000000" w:rsidR="00000000" w:rsidRPr="00000000">
              <w:rPr>
                <w:rFonts w:ascii="Times New Roman" w:cs="Times New Roman" w:eastAsia="Times New Roman" w:hAnsi="Times New Roman"/>
                <w:i w:val="0"/>
                <w:iCs w:val="0"/>
                <w:color w:val="000000"/>
                <w:sz w:val="24"/>
                <w:szCs w:val="24"/>
                <w:rtl w:val="0"/>
              </w:rPr>
              <w:t xml:space="preserve">) no contemplan el dominio de obras civiles; la evaluación del tracker en condiciones representativas requiere datos del dominio específico </w:t>
            </w:r>
            <w:hyperlink r:id="rId20">
              <w:r w:rsidDel="00000000" w:rsidR="00000000" w:rsidRPr="00000000">
                <w:rPr>
                  <w:rFonts w:ascii="Times New Roman" w:cs="Times New Roman" w:eastAsia="Times New Roman" w:hAnsi="Times New Roman"/>
                  <w:i w:val="0"/>
                  <w:iCs w:val="0"/>
                  <w:color w:val="000000"/>
                  <w:sz w:val="24"/>
                  <w:szCs w:val="24"/>
                  <w:rtl w:val="0"/>
                </w:rPr>
                <w:t xml:space="preserve">(Dendorfer et al., 2020; Milan et al., 2016)</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validación del componente MOT en el prototipo no puede apoyarse en benchmarks estándar; se requiere la definición de un protocolo de evaluación propio con datos recopilados en el contexto del proyecto</w:t>
            </w:r>
            <w:r w:rsidDel="00000000" w:rsidR="00000000" w:rsidRPr="00000000">
              <w:rPr>
                <w:rtl w:val="0"/>
              </w:rPr>
            </w:r>
          </w:p>
        </w:tc>
      </w:tr>
    </w:tbl>
    <w:p w:rsidR="00000000" w:rsidDel="00000000" w:rsidP="00000000" w:rsidRDefault="00000000" w:rsidRPr="00000000" w14:paraId="0000012E">
      <w:pPr>
        <w:keepLines w:val="1"/>
        <w:spacing w:after="0" w:before="12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Las brechas listadas definen el espacio de problemas </w:t>
      </w:r>
      <w:r w:rsidDel="00000000" w:rsidR="00000000" w:rsidRPr="00000000">
        <w:rPr>
          <w:rFonts w:ascii="Times New Roman" w:cs="Times New Roman" w:eastAsia="Times New Roman" w:hAnsi="Times New Roman"/>
          <w:i w:val="0"/>
          <w:iCs w:val="0"/>
          <w:color w:val="000000"/>
          <w:sz w:val="24"/>
          <w:szCs w:val="24"/>
          <w:rtl w:val="0"/>
        </w:rPr>
        <w:t xml:space="preserve">abiertos </w:t>
      </w:r>
      <w:r w:rsidDel="00000000" w:rsidR="00000000" w:rsidRPr="00000000">
        <w:rPr>
          <w:rFonts w:ascii="Times New Roman" w:cs="Times New Roman" w:eastAsia="Times New Roman" w:hAnsi="Times New Roman"/>
          <w:sz w:val="24"/>
          <w:szCs w:val="24"/>
          <w:rtl w:val="0"/>
        </w:rPr>
        <w:t xml:space="preserve">se abordan</w:t>
      </w:r>
      <w:r w:rsidDel="00000000" w:rsidR="00000000" w:rsidRPr="00000000">
        <w:rPr>
          <w:rFonts w:ascii="Times New Roman" w:cs="Times New Roman" w:eastAsia="Times New Roman" w:hAnsi="Times New Roman"/>
          <w:sz w:val="24"/>
          <w:szCs w:val="24"/>
          <w:rtl w:val="0"/>
        </w:rPr>
        <w:t xml:space="preserve"> en las siguientes etapas</w:t>
      </w:r>
      <w:r w:rsidDel="00000000" w:rsidR="00000000" w:rsidRPr="00000000">
        <w:rPr>
          <w:rFonts w:ascii="Times New Roman" w:cs="Times New Roman" w:eastAsia="Times New Roman" w:hAnsi="Times New Roman"/>
          <w:i w:val="0"/>
          <w:iCs w:val="0"/>
          <w:color w:val="000000"/>
          <w:sz w:val="24"/>
          <w:szCs w:val="24"/>
          <w:rtl w:val="0"/>
        </w:rPr>
        <w:t xml:space="preserve">. Fuente: Elaboración propia basada en las fuentes citadas </w:t>
      </w:r>
      <w:hyperlink r:id="rId21">
        <w:r w:rsidDel="00000000" w:rsidR="00000000" w:rsidRPr="00000000">
          <w:rPr>
            <w:rFonts w:ascii="Times New Roman" w:cs="Times New Roman" w:eastAsia="Times New Roman" w:hAnsi="Times New Roman"/>
            <w:i w:val="0"/>
            <w:iCs w:val="0"/>
            <w:color w:val="000000"/>
            <w:sz w:val="24"/>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seguimiento merece una consideración adicional. Los benchmarks estándar de MOT —</w:t>
      </w: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MOT20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DanceTrack</w:t>
      </w:r>
      <w:r w:rsidDel="00000000" w:rsidR="00000000" w:rsidRPr="00000000">
        <w:rPr>
          <w:rFonts w:ascii="Times New Roman" w:cs="Times New Roman" w:eastAsia="Times New Roman" w:hAnsi="Times New Roman"/>
          <w:sz w:val="24"/>
          <w:szCs w:val="24"/>
          <w:rtl w:val="0"/>
        </w:rPr>
        <w:t xml:space="preserve">—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sino que requiere de la definición de un protocolo de evaluación propio que se </w:t>
      </w:r>
      <w:r w:rsidDel="00000000" w:rsidR="00000000" w:rsidRPr="00000000">
        <w:rPr>
          <w:rFonts w:ascii="Times New Roman" w:cs="Times New Roman" w:eastAsia="Times New Roman" w:hAnsi="Times New Roman"/>
          <w:sz w:val="24"/>
          <w:szCs w:val="24"/>
          <w:rtl w:val="0"/>
        </w:rPr>
        <w:t xml:space="preserve">apoyará</w:t>
      </w:r>
      <w:r w:rsidDel="00000000" w:rsidR="00000000" w:rsidRPr="00000000">
        <w:rPr>
          <w:rFonts w:ascii="Times New Roman" w:cs="Times New Roman" w:eastAsia="Times New Roman" w:hAnsi="Times New Roman"/>
          <w:sz w:val="24"/>
          <w:szCs w:val="24"/>
          <w:rtl w:val="0"/>
        </w:rPr>
        <w:t xml:space="preserve"> en los datos recopilados durante la fase experimental del proyecto.</w:t>
      </w:r>
    </w:p>
    <w:p w:rsidR="00000000" w:rsidDel="00000000" w:rsidP="00000000" w:rsidRDefault="00000000" w:rsidRPr="00000000" w14:paraId="00000130">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km0jhbfxtlz5" w:id="31"/>
      <w:bookmarkEnd w:id="31"/>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3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p39swiz6rady" w:id="32"/>
      <w:bookmarkEnd w:id="32"/>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w:t>
      </w:r>
      <w:r w:rsidDel="00000000" w:rsidR="00000000" w:rsidRPr="00000000">
        <w:rPr>
          <w:rFonts w:ascii="Times New Roman" w:cs="Times New Roman" w:eastAsia="Times New Roman" w:hAnsi="Times New Roman"/>
          <w:sz w:val="24"/>
          <w:szCs w:val="24"/>
          <w:rtl w:val="0"/>
        </w:rPr>
        <w:t xml:space="preserve">decodificadas</w:t>
      </w:r>
      <w:r w:rsidDel="00000000" w:rsidR="00000000" w:rsidRPr="00000000">
        <w:rPr>
          <w:rFonts w:ascii="Times New Roman" w:cs="Times New Roman" w:eastAsia="Times New Roman" w:hAnsi="Times New Roman"/>
          <w:sz w:val="24"/>
          <w:szCs w:val="24"/>
          <w:rtl w:val="0"/>
        </w:rPr>
        <w:t xml:space="preserve"> y procesadas con una latencia compatible con la generación oportuna de alertas.</w:t>
      </w:r>
    </w:p>
    <w:p w:rsidR="00000000" w:rsidDel="00000000" w:rsidP="00000000" w:rsidRDefault="00000000" w:rsidRPr="00000000" w14:paraId="000001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35">
      <w:pPr>
        <w:pStyle w:val="Heading4"/>
        <w:spacing w:after="0" w:before="0" w:line="480" w:lineRule="auto"/>
        <w:rPr>
          <w:rFonts w:ascii="Times New Roman" w:cs="Times New Roman" w:eastAsia="Times New Roman" w:hAnsi="Times New Roman"/>
          <w:b w:val="1"/>
          <w:bCs w:val="1"/>
          <w:color w:val="000000"/>
        </w:rPr>
      </w:pPr>
      <w:sdt>
        <w:sdtPr>
          <w:id w:val="-301348807"/>
          <w:tag w:val="goog_rdk_4"/>
        </w:sdtPr>
        <w:sdtContent>
          <w:commentRangeStart w:id="4"/>
        </w:sdtContent>
      </w:sdt>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no se comparan adecuadamente mediante una única etiqueta de latencia. Su comportamiento resulta de la combinación entre la forma de controlar la entrega, la topología de distribución y la configuración temporal del flujo. Estas dimensiones permiten ordenar alternativas sin asumir que una familia sea superior en todos los escenarios.</w:t>
      </w:r>
    </w:p>
    <w:p w:rsidR="00000000" w:rsidDel="00000000" w:rsidP="00000000" w:rsidRDefault="00000000" w:rsidRPr="00000000" w14:paraId="000001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dimensión distingue quién gobierna la transferencia. En un esquema push, una vez establecida la sesión, el emisor sostiene el envío continuo y el receptor consume las unidades a medida que llegan. En un esquema pull, el receptor inicia y regula solicitudes sucesivas de contenido. La diferencia no determina por sí sola la latencia ni la confiabilidad: indica dónde reside el control operativo de la entrega y cómo avanza el flujo.</w:t>
      </w:r>
    </w:p>
    <w:p w:rsidR="00000000" w:rsidDel="00000000" w:rsidP="00000000" w:rsidRDefault="00000000" w:rsidRPr="00000000" w14:paraId="000001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dimensión corresponde a la topología de distribución. En unicast, cada receptor mantiene una comunicación individual con el origen o con un intermediario; en multicast, una única transmisión se replica dentro de la red para un conjunto de receptores. Esta dimensión es independiente del modelo push o pull y permite analizar el costo de escalar destinatarios, el control por receptor y las restricciones de la infraestructura de red.</w:t>
      </w:r>
    </w:p>
    <w:p w:rsidR="00000000" w:rsidDel="00000000" w:rsidP="00000000" w:rsidRDefault="00000000" w:rsidRPr="00000000" w14:paraId="000001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tercera dimensión es el orden de magnitud de la latencia extremo a extremo. Su clasificación en rangos bajos, medios o altos tiene valor comparativo, pero no constituye una propiedad invariable del protocolo. El resultado depende también de la captura, la codificación, las pérdidas y retransmisiones, las colas, la decodificación y el buffer de reproducción. Por ello, la latencia debe interpretarse como efecto de una configuración completa y no como garantía aislada del estándar.</w:t>
      </w:r>
    </w:p>
    <w:p w:rsidR="00000000" w:rsidDel="00000000" w:rsidP="00000000" w:rsidRDefault="00000000" w:rsidRPr="00000000" w14:paraId="000001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dimensiones conforman un marco teórico común. La sección siguiente lo aplica a las principales familias de protocolos y </w:t>
      </w:r>
      <w:r w:rsidDel="00000000" w:rsidR="00000000" w:rsidRPr="00000000">
        <w:rPr>
          <w:rFonts w:ascii="Times New Roman" w:cs="Times New Roman" w:eastAsia="Times New Roman" w:hAnsi="Times New Roman"/>
          <w:sz w:val="24"/>
          <w:szCs w:val="24"/>
          <w:rtl w:val="0"/>
        </w:rPr>
        <w:t xml:space="preserve">explicita</w:t>
      </w:r>
      <w:r w:rsidDel="00000000" w:rsidR="00000000" w:rsidRPr="00000000">
        <w:rPr>
          <w:rFonts w:ascii="Times New Roman" w:cs="Times New Roman" w:eastAsia="Times New Roman" w:hAnsi="Times New Roman"/>
          <w:sz w:val="24"/>
          <w:szCs w:val="24"/>
          <w:rtl w:val="0"/>
        </w:rPr>
        <w:t xml:space="preserve"> qué combinación de control de entrega, topología y compromiso temporal caracteriza a cada una.</w:t>
      </w:r>
    </w:p>
    <w:p w:rsidR="00000000" w:rsidDel="00000000" w:rsidP="00000000" w:rsidRDefault="00000000" w:rsidRPr="00000000" w14:paraId="0000013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aplicar los criterios anteriores, las familias se organizan por su perfil operativo dominante y por el tramo del sistema que resuelven. El mapa resultante no establece equivalencias ni un ordenamiento general: muestra cómo cada alternativa combina control de entrega, distribución, resiliencia y latencia.</w:t>
      </w:r>
    </w:p>
    <w:p w:rsidR="00000000" w:rsidDel="00000000" w:rsidP="00000000" w:rsidRDefault="00000000" w:rsidRPr="00000000" w14:paraId="000001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 representa el perfil de ingesta continua asociado a cámaras IP. RTSP gobierna la sesión mediante la descripción del flujo, la negociación de parámetros y las operaciones de reproducción, mientras que RTP transporta el medio como un flujo continuo y RTCP informa pérdida y jitter (Schulzrinne et al., 1998, 2003, 2016). En esta combinación, el cliente controla el establecimiento de la sesión, pero, una vez iniciada, el medio se envía de forma continua. RTP puede operar en unicast o multicast y sobre UDP, o intercalado sobre la conexión TCP de RTSP. Su madurez y su adopción por ONVIF Profile S explican su presencia extendida en videovigilancia y cámaras IP industriales (ONVIF, 2019).</w:t>
      </w:r>
    </w:p>
    <w:p w:rsidR="00000000" w:rsidDel="00000000" w:rsidP="00000000" w:rsidRDefault="00000000" w:rsidRPr="00000000" w14:paraId="000001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ubicación en el mapa no implica una latencia invariable. El retardo extremo a extremo depende de la captura, la codificación, la red, la decodificación y, de manera marcada, del buffer del receptor. Axis Communications AB (2015) identifica el play-out buffer como un componente que puede dominar el retardo cuando se prioriza estabilidad frente a jitter. Bajo condiciones favorables, RTSP/RTP puede operar aproximadamente entre 200 y 800 ms, mientras que configuraciones de videovigilancia con buffering conservador pueden elevarlo a valores de entre 1.000 y 2.000 ms o más.</w:t>
      </w:r>
    </w:p>
    <w:p w:rsidR="00000000" w:rsidDel="00000000" w:rsidP="00000000" w:rsidRDefault="00000000" w:rsidRPr="00000000" w14:paraId="000001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demás familias responden a prioridades diferentes. RTMP se utiliza principalmente para contribución push y unicast hacia un servidor mediante una sesión persistente. HLS y MPEG-DASH adoptan entrega pull y segmentada sobre HTTP; su integración con cachés y CDN favorece la distribución masiva, a costa del retardo de segmentación, incluso cuando las variantes de baja latencia reducen ese margen. WebRTC privilegia la interacción </w:t>
      </w:r>
      <w:r w:rsidDel="00000000" w:rsidR="00000000" w:rsidRPr="00000000">
        <w:rPr>
          <w:rFonts w:ascii="Times New Roman" w:cs="Times New Roman" w:eastAsia="Times New Roman" w:hAnsi="Times New Roman"/>
          <w:sz w:val="24"/>
          <w:szCs w:val="24"/>
          <w:rtl w:val="0"/>
        </w:rPr>
        <w:t xml:space="preserve">subsegundo</w:t>
      </w:r>
      <w:r w:rsidDel="00000000" w:rsidR="00000000" w:rsidRPr="00000000">
        <w:rPr>
          <w:rFonts w:ascii="Times New Roman" w:cs="Times New Roman" w:eastAsia="Times New Roman" w:hAnsi="Times New Roman"/>
          <w:sz w:val="24"/>
          <w:szCs w:val="24"/>
          <w:rtl w:val="0"/>
        </w:rPr>
        <w:t xml:space="preserve"> mediante transporte seguro y control de congestión, mientras que SRT y RIST combinan transporte sobre UDP con recuperación selectiva de pérdidas dentro de un presupuesto temporal. No son sustitutos directos: el mapa distingue perfiles orientados a contribución, distribución escalable, interacción y transporte resiliente de baja latencia. La Tabla 8 sintetiza estos compromisos sin convertirlos en un ranking universal (ISO/IEC, 2022; Keranen et al., 2018; May, 2017; Sharabayko et al., 2024; Video Services Forum, 2020).</w:t>
      </w:r>
    </w:p>
    <w:p w:rsidR="00000000" w:rsidDel="00000000" w:rsidP="00000000" w:rsidRDefault="00000000" w:rsidRPr="00000000" w14:paraId="00000140">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c85xxecrk1e9" w:id="33"/>
      <w:bookmarkEnd w:id="33"/>
      <w:r w:rsidDel="00000000" w:rsidR="00000000" w:rsidRPr="00000000">
        <w:rPr>
          <w:rFonts w:ascii="Times New Roman" w:cs="Times New Roman" w:eastAsia="Times New Roman" w:hAnsi="Times New Roman"/>
          <w:b w:val="1"/>
          <w:bCs w:val="1"/>
          <w:i w:val="1"/>
          <w:iCs w:val="1"/>
          <w:color w:val="000000"/>
          <w:sz w:val="24"/>
          <w:szCs w:val="24"/>
          <w:rtl w:val="0"/>
        </w:rPr>
        <w:t xml:space="preserve">15.4.2. Alternativas complementarias de ingesta, transporte y distribución</w:t>
      </w:r>
    </w:p>
    <w:p w:rsidR="00000000" w:rsidDel="00000000" w:rsidP="00000000" w:rsidRDefault="00000000" w:rsidRPr="00000000" w14:paraId="0000014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mapa anterior caracteriza el transporte de un flujo de medios ya codificado, pero un pipeline completo incorpora decisiones que pertenecen a capas distintas. La captura mediante SDK, la intermediación de un servidor de medios y la distribución de alertas intervienen, respectivamente, en el acceso a la fuente, la transformación o </w:t>
      </w:r>
      <w:r w:rsidDel="00000000" w:rsidR="00000000" w:rsidRPr="00000000">
        <w:rPr>
          <w:rFonts w:ascii="Times New Roman" w:cs="Times New Roman" w:eastAsia="Times New Roman" w:hAnsi="Times New Roman"/>
          <w:sz w:val="24"/>
          <w:szCs w:val="24"/>
          <w:rtl w:val="0"/>
        </w:rPr>
        <w:t xml:space="preserve">retransmisión</w:t>
      </w:r>
      <w:r w:rsidDel="00000000" w:rsidR="00000000" w:rsidRPr="00000000">
        <w:rPr>
          <w:rFonts w:ascii="Times New Roman" w:cs="Times New Roman" w:eastAsia="Times New Roman" w:hAnsi="Times New Roman"/>
          <w:sz w:val="24"/>
          <w:szCs w:val="24"/>
          <w:rtl w:val="0"/>
        </w:rPr>
        <w:t xml:space="preserve"> del video y la entrega de eventos posteriores a la inferencia; por ello, no corresponde tratarlas como alternativas de una misma categoría.</w:t>
      </w:r>
    </w:p>
    <w:p w:rsidR="00000000" w:rsidDel="00000000" w:rsidP="00000000" w:rsidRDefault="00000000" w:rsidRPr="00000000" w14:paraId="000001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entrada, la captura mediante SDK evita consumir necesariamente un stream de red preconfigurado. En cámaras inteligentes, el host puede gobernar un pipeline ejecutado en el dispositivo y recibir las unidades visuales o salidas requeridas para el procesamiento posterior. Esta modalidad permite desplazar operaciones acotadas de adquisición o preprocesamiento hacia la fuente, sin </w:t>
      </w:r>
      <w:r w:rsidDel="00000000" w:rsidR="00000000" w:rsidRPr="00000000">
        <w:rPr>
          <w:rFonts w:ascii="Times New Roman" w:cs="Times New Roman" w:eastAsia="Times New Roman" w:hAnsi="Times New Roman"/>
          <w:sz w:val="24"/>
          <w:szCs w:val="24"/>
          <w:rtl w:val="0"/>
        </w:rPr>
        <w:t xml:space="preserve">equipararla a</w:t>
      </w:r>
      <w:r w:rsidDel="00000000" w:rsidR="00000000" w:rsidRPr="00000000">
        <w:rPr>
          <w:rFonts w:ascii="Times New Roman" w:cs="Times New Roman" w:eastAsia="Times New Roman" w:hAnsi="Times New Roman"/>
          <w:sz w:val="24"/>
          <w:szCs w:val="24"/>
          <w:rtl w:val="0"/>
        </w:rPr>
        <w:t xml:space="preserve"> la ejecución de inferencia OVD en el borde (Luxonis, s. f.-b).</w:t>
      </w:r>
    </w:p>
    <w:p w:rsidR="00000000" w:rsidDel="00000000" w:rsidP="00000000" w:rsidRDefault="00000000" w:rsidRPr="00000000" w14:paraId="000001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incorpora un servidor de medios, su efecto depende de la función que cumpla. Un relay agrega principalmente un salto de red y gestión de colas; una pasarela o un </w:t>
      </w:r>
      <w:r w:rsidDel="00000000" w:rsidR="00000000" w:rsidRPr="00000000">
        <w:rPr>
          <w:rFonts w:ascii="Times New Roman" w:cs="Times New Roman" w:eastAsia="Times New Roman" w:hAnsi="Times New Roman"/>
          <w:sz w:val="24"/>
          <w:szCs w:val="24"/>
          <w:rtl w:val="0"/>
        </w:rPr>
        <w:t xml:space="preserve">reempaquetador</w:t>
      </w:r>
      <w:r w:rsidDel="00000000" w:rsidR="00000000" w:rsidRPr="00000000">
        <w:rPr>
          <w:rFonts w:ascii="Times New Roman" w:cs="Times New Roman" w:eastAsia="Times New Roman" w:hAnsi="Times New Roman"/>
          <w:sz w:val="24"/>
          <w:szCs w:val="24"/>
          <w:rtl w:val="0"/>
        </w:rPr>
        <w:t xml:space="preserve"> adapta protocolos o contenedores; y la transcodificación añade decodificación y recodificación. Para un sistema de analítica visual, esta distinción resulta más informativa que un catálogo de productos, porque permite separar el costo del transporte del costo de transformar el contenido (Ahmad et al., 2005; Amirante et al., 2014, 2015).</w:t>
      </w:r>
    </w:p>
    <w:p w:rsidR="00000000" w:rsidDel="00000000" w:rsidP="00000000" w:rsidRDefault="00000000" w:rsidRPr="00000000" w14:paraId="000001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la inferencia, el problema deja de ser el transporte de video y pasa a ser la distribución de eventos. Los patrones publicador-suscriptor desacoplan la generación de alertas de sus consumidores. MQTT formaliza niveles de calidad de servicio.QoS 1 requiere confirmación mediante PUBACK y ofrece una semántica de entrega al menos una vez, por lo que la aplicación debe tolerar reentregas y controlar idempotencia cuando un mismo evento no deba producir efectos duplicados (OASIS, 2019).</w:t>
      </w:r>
    </w:p>
    <w:p w:rsidR="00000000" w:rsidDel="00000000" w:rsidP="00000000" w:rsidRDefault="00000000" w:rsidRPr="00000000" w14:paraId="00000145">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lxdld8jqpfgb" w:id="34"/>
      <w:bookmarkEnd w:id="34"/>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1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147">
      <w:pPr>
        <w:pStyle w:val="Heading4"/>
        <w:spacing w:after="0" w:before="0" w:line="480" w:lineRule="auto"/>
        <w:rPr>
          <w:rFonts w:ascii="Times New Roman" w:cs="Times New Roman" w:eastAsia="Times New Roman" w:hAnsi="Times New Roman"/>
          <w:b w:val="1"/>
          <w:bCs w:val="1"/>
          <w:color w:val="000000"/>
        </w:rPr>
      </w:pPr>
      <w:bookmarkStart w:colFirst="0" w:colLast="0" w:name="_heading=h.nk6ehv4vb3h1" w:id="35"/>
      <w:bookmarkEnd w:id="35"/>
      <w:r w:rsidDel="00000000" w:rsidR="00000000" w:rsidRPr="00000000">
        <w:rPr>
          <w:rFonts w:ascii="Times New Roman" w:cs="Times New Roman" w:eastAsia="Times New Roman" w:hAnsi="Times New Roman"/>
          <w:b w:val="1"/>
          <w:bCs w:val="1"/>
          <w:color w:val="000000"/>
          <w:rtl w:val="0"/>
        </w:rPr>
        <w:t xml:space="preserve">15.4.3.1. Ausencia de benchmarks extremo a extremo integrados para pipelines OVD</w:t>
      </w:r>
    </w:p>
    <w:p w:rsidR="00000000" w:rsidDel="00000000" w:rsidP="00000000" w:rsidRDefault="00000000" w:rsidRPr="00000000" w14:paraId="000001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 el criterio de selección debe basarse en mediciones reproducibles del pipeline completo, y no extrapolarse directamente de métricas parciales o aisladas.</w:t>
      </w:r>
    </w:p>
    <w:p w:rsidR="00000000" w:rsidDel="00000000" w:rsidP="00000000" w:rsidRDefault="00000000" w:rsidRPr="00000000" w14:paraId="000001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de video, inferencia OVD y emisión de eventos bajo restricciones de latencia propias de operación en tiempo real. En consecuencia, la validación empírica del pipeline completo constituye una contribución necesaria del proyecto. La definición de protocolos de medición reproducibles se aborda en las siguientes secciones.</w:t>
      </w:r>
    </w:p>
    <w:p w:rsidR="00000000" w:rsidDel="00000000" w:rsidP="00000000" w:rsidRDefault="00000000" w:rsidRPr="00000000" w14:paraId="0000014A">
      <w:pPr>
        <w:pStyle w:val="Heading4"/>
        <w:spacing w:after="0" w:before="0" w:line="480" w:lineRule="auto"/>
        <w:rPr>
          <w:rFonts w:ascii="Times New Roman" w:cs="Times New Roman" w:eastAsia="Times New Roman" w:hAnsi="Times New Roman"/>
          <w:b w:val="1"/>
          <w:bCs w:val="1"/>
          <w:color w:val="000000"/>
        </w:rPr>
      </w:pPr>
      <w:bookmarkStart w:colFirst="0" w:colLast="0" w:name="_heading=h.rrreujogzau8" w:id="36"/>
      <w:bookmarkEnd w:id="36"/>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1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w:t>
      </w:r>
      <w:r w:rsidDel="00000000" w:rsidR="00000000" w:rsidRPr="00000000">
        <w:rPr>
          <w:rFonts w:ascii="Times New Roman" w:cs="Times New Roman" w:eastAsia="Times New Roman" w:hAnsi="Times New Roman"/>
          <w:sz w:val="24"/>
          <w:szCs w:val="24"/>
          <w:rtl w:val="0"/>
        </w:rPr>
        <w:t xml:space="preserve">TensorRT</w:t>
      </w:r>
      <w:r w:rsidDel="00000000" w:rsidR="00000000" w:rsidRPr="00000000">
        <w:rPr>
          <w:rFonts w:ascii="Times New Roman" w:cs="Times New Roman" w:eastAsia="Times New Roman" w:hAnsi="Times New Roman"/>
          <w:sz w:val="24"/>
          <w:szCs w:val="24"/>
          <w:rtl w:val="0"/>
        </w:rPr>
        <w:t xml:space="preserve"> puede requerir adaptaciones no triviales cuando la arquitectura incluye operadores no soportados nativamente o componentes dinámicos asociados a la codificación de prompts textuales. Dado que </w:t>
      </w:r>
      <w:r w:rsidDel="00000000" w:rsidR="00000000" w:rsidRPr="00000000">
        <w:rPr>
          <w:rFonts w:ascii="Times New Roman" w:cs="Times New Roman" w:eastAsia="Times New Roman" w:hAnsi="Times New Roman"/>
          <w:sz w:val="24"/>
          <w:szCs w:val="24"/>
          <w:rtl w:val="0"/>
        </w:rPr>
        <w:t xml:space="preserve">TensorRT</w:t>
      </w:r>
      <w:r w:rsidDel="00000000" w:rsidR="00000000" w:rsidRPr="00000000">
        <w:rPr>
          <w:rFonts w:ascii="Times New Roman" w:cs="Times New Roman" w:eastAsia="Times New Roman" w:hAnsi="Times New Roman"/>
          <w:sz w:val="24"/>
          <w:szCs w:val="24"/>
          <w:rtl w:val="0"/>
        </w:rPr>
        <w:t xml:space="preserve"> no admite entradas de tipo texto, la etapa de tokenización debe separarse del grafo del modelo y </w:t>
      </w:r>
      <w:r w:rsidDel="00000000" w:rsidR="00000000" w:rsidRPr="00000000">
        <w:rPr>
          <w:rFonts w:ascii="Times New Roman" w:cs="Times New Roman" w:eastAsia="Times New Roman" w:hAnsi="Times New Roman"/>
          <w:sz w:val="24"/>
          <w:szCs w:val="24"/>
          <w:rtl w:val="0"/>
        </w:rPr>
        <w:t xml:space="preserve">gestionarse externamente</w:t>
      </w:r>
      <w:r w:rsidDel="00000000" w:rsidR="00000000" w:rsidRPr="00000000">
        <w:rPr>
          <w:rFonts w:ascii="Times New Roman" w:cs="Times New Roman" w:eastAsia="Times New Roman" w:hAnsi="Times New Roman"/>
          <w:sz w:val="24"/>
          <w:szCs w:val="24"/>
          <w:rtl w:val="0"/>
        </w:rPr>
        <w:t xml:space="preserv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en particular implica que la integración de modelos OVD dentro del pipeline de streaming requerirá capas de adaptación específicas.</w:t>
      </w:r>
    </w:p>
    <w:p w:rsidR="00000000" w:rsidDel="00000000" w:rsidP="00000000" w:rsidRDefault="00000000" w:rsidRPr="00000000" w14:paraId="0000014D">
      <w:pPr>
        <w:pStyle w:val="Heading4"/>
        <w:spacing w:after="0" w:before="0" w:line="480" w:lineRule="auto"/>
        <w:rPr>
          <w:rFonts w:ascii="Times New Roman" w:cs="Times New Roman" w:eastAsia="Times New Roman" w:hAnsi="Times New Roman"/>
          <w:b w:val="1"/>
          <w:bCs w:val="1"/>
          <w:color w:val="000000"/>
        </w:rPr>
      </w:pPr>
      <w:bookmarkStart w:colFirst="0" w:colLast="0" w:name="_heading=h.hdqt3wavxjxq" w:id="37"/>
      <w:bookmarkEnd w:id="37"/>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 cuando la literatura describe los roles del servidor de medios y las funciones de pasarela, </w:t>
      </w:r>
      <w:r w:rsidDel="00000000" w:rsidR="00000000" w:rsidRPr="00000000">
        <w:rPr>
          <w:rFonts w:ascii="Times New Roman" w:cs="Times New Roman" w:eastAsia="Times New Roman" w:hAnsi="Times New Roman"/>
          <w:sz w:val="24"/>
          <w:szCs w:val="24"/>
          <w:rtl w:val="0"/>
        </w:rPr>
        <w:t xml:space="preserve">reempaquetamiento</w:t>
      </w:r>
      <w:r w:rsidDel="00000000" w:rsidR="00000000" w:rsidRPr="00000000">
        <w:rPr>
          <w:rFonts w:ascii="Times New Roman" w:cs="Times New Roman" w:eastAsia="Times New Roman" w:hAnsi="Times New Roman"/>
          <w:sz w:val="24"/>
          <w:szCs w:val="24"/>
          <w:rtl w:val="0"/>
        </w:rPr>
        <w:t xml:space="preserve"> y transcodificación, no ofrece evidencia consolidada sobre el overhead real introducido por las conversiones entre protocolos —por ejemplo, de RTSP a WebRTC o de RTMP a SRT— en condiciones de operación representativas. La transcodificación, el </w:t>
      </w:r>
      <w:r w:rsidDel="00000000" w:rsidR="00000000" w:rsidRPr="00000000">
        <w:rPr>
          <w:rFonts w:ascii="Times New Roman" w:cs="Times New Roman" w:eastAsia="Times New Roman" w:hAnsi="Times New Roman"/>
          <w:sz w:val="24"/>
          <w:szCs w:val="24"/>
          <w:rtl w:val="0"/>
        </w:rPr>
        <w:t xml:space="preserve">reempaquetamiento</w:t>
      </w:r>
      <w:r w:rsidDel="00000000" w:rsidR="00000000" w:rsidRPr="00000000">
        <w:rPr>
          <w:rFonts w:ascii="Times New Roman" w:cs="Times New Roman" w:eastAsia="Times New Roman" w:hAnsi="Times New Roman"/>
          <w:sz w:val="24"/>
          <w:szCs w:val="24"/>
          <w:rtl w:val="0"/>
        </w:rPr>
        <w:t xml:space="preserve"> entre contenedores de medios —como MPEG-TS, FLV o fMP4— y la adaptación entre pilas de transporte pueden agregar latencia y puntos de fallo que no quedan reflejados en las especificaciones de cada protocolo por separado.</w:t>
      </w:r>
    </w:p>
    <w:p w:rsidR="00000000" w:rsidDel="00000000" w:rsidP="00000000" w:rsidRDefault="00000000" w:rsidRPr="00000000" w14:paraId="000001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esta brecha resulta relevante,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a una solución que no introduzca dependencias rígidas con un único protocolo de ingesta.</w:t>
      </w:r>
    </w:p>
    <w:p w:rsidR="00000000" w:rsidDel="00000000" w:rsidP="00000000" w:rsidRDefault="00000000" w:rsidRPr="00000000" w14:paraId="00000150">
      <w:pPr>
        <w:pStyle w:val="Heading4"/>
        <w:spacing w:after="0" w:before="0" w:line="480" w:lineRule="auto"/>
        <w:rPr>
          <w:rFonts w:ascii="Times New Roman" w:cs="Times New Roman" w:eastAsia="Times New Roman" w:hAnsi="Times New Roman"/>
          <w:b w:val="1"/>
          <w:bCs w:val="1"/>
          <w:color w:val="000000"/>
        </w:rPr>
      </w:pPr>
      <w:bookmarkStart w:colFirst="0" w:colLast="0" w:name="_heading=h.azwzdgkqzqsu" w:id="38"/>
      <w:bookmarkEnd w:id="38"/>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15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w4bhcllll5wj" w:id="39"/>
      <w:bookmarkEnd w:id="39"/>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w:t>
      </w:r>
    </w:p>
    <w:p w:rsidR="00000000" w:rsidDel="00000000" w:rsidP="00000000" w:rsidRDefault="00000000" w:rsidRPr="00000000" w14:paraId="00000154">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5bisvvgook34" w:id="40"/>
      <w:bookmarkEnd w:id="40"/>
      <w:r w:rsidDel="00000000" w:rsidR="00000000" w:rsidRPr="00000000">
        <w:rPr>
          <w:rFonts w:ascii="Times New Roman" w:cs="Times New Roman" w:eastAsia="Times New Roman" w:hAnsi="Times New Roman"/>
          <w:b w:val="1"/>
          <w:bCs w:val="1"/>
          <w:i w:val="0"/>
          <w:iCs w:val="0"/>
          <w:color w:val="000000"/>
          <w:sz w:val="24"/>
          <w:szCs w:val="24"/>
          <w:rtl w:val="0"/>
        </w:rPr>
        <w:t xml:space="preserve">Tabla 8</w:t>
      </w:r>
      <w:r w:rsidDel="00000000" w:rsidR="00000000" w:rsidRPr="00000000">
        <w:rPr>
          <w:rtl w:val="0"/>
        </w:rPr>
      </w:r>
    </w:p>
    <w:p w:rsidR="00000000" w:rsidDel="00000000" w:rsidP="00000000" w:rsidRDefault="00000000" w:rsidRPr="00000000" w14:paraId="00000155">
      <w:pPr>
        <w:keepNext w:val="1"/>
        <w:keepLines w:val="1"/>
        <w:spacing w:after="120" w:before="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Comparativa de protocolos de transmisión de video de baja latencia para sistemas de video analítico en tiempo real</w:t>
      </w:r>
      <w:r w:rsidDel="00000000" w:rsidR="00000000" w:rsidRPr="00000000">
        <w:rPr>
          <w:rtl w:val="0"/>
        </w:rPr>
      </w:r>
    </w:p>
    <w:tbl>
      <w:tblPr>
        <w:tblStyle w:val="Table7"/>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487"/>
        <w:gridCol w:w="1611"/>
        <w:gridCol w:w="1611"/>
        <w:gridCol w:w="1784"/>
        <w:gridCol w:w="2057"/>
        <w:gridCol w:w="1660"/>
        <w:gridCol w:w="2750"/>
        <w:tblGridChange w:id="0">
          <w:tblGrid>
            <w:gridCol w:w="1487"/>
            <w:gridCol w:w="1611"/>
            <w:gridCol w:w="1611"/>
            <w:gridCol w:w="1784"/>
            <w:gridCol w:w="2057"/>
            <w:gridCol w:w="1660"/>
            <w:gridCol w:w="2750"/>
          </w:tblGrid>
        </w:tblGridChange>
      </w:tblGrid>
      <w:tr>
        <w:trPr>
          <w:cantSplit w:val="1"/>
          <w:tblHeader w:val="1"/>
        </w:trPr>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Protocolo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 E2E</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Transporte base</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 de entrega</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Resiliencia a pérdida</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Cifrado nativo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Caso de uso principal</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5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RTSP/RTP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5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~200–800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5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UDP (o 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RTSP controla la sesión; RTP transporta el flujo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 (con RTCP)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Opcional (RTSPS)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Cámaras IP industriales, CCTV, entornos LAN controlados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6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RTMP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~2–5 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(TCP garantiza entrega)</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(RTMPS/TLS)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Ingesta a plataformas de streaming; encoders hacia servidores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6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HLS / MPEG-DASH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~5–45 s (LL: ~2–10 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HTTP/TCP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Pull (segmentado)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(CDN + HTTP)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(HTTPS)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Distribución masiva de contenido; viewers simultáneos elevados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7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WebRTC</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&lt; 500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UDP (SRTP sobre DTLS)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Push/Pull (P2P o SFU)</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 (con NACK/FEC)</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(DTLS-SRTP, obligatorio)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Interactividad ultra-baja latencia; videoconferencia; monitoreo P2P</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7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~120–500 ms (configurable)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UDP + ARQ selectivo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 o Pull</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(ARQ con presupuesto de tiempo)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(AES-128/256)</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Contribución broadcast; enlaces WAN no confiables; 4G/5G</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8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RIST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~120–500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RTP + ARQ (RTCP FB)</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 o Pull (multicast posible)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(ARQ + FEC)</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(DTLS)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Broadcast profesional; distribución multicast en redes gestionadas</w:t>
            </w:r>
            <w:r w:rsidDel="00000000" w:rsidR="00000000" w:rsidRPr="00000000">
              <w:rPr>
                <w:rtl w:val="0"/>
              </w:rPr>
            </w:r>
          </w:p>
        </w:tc>
      </w:tr>
    </w:tbl>
    <w:p w:rsidR="00000000" w:rsidDel="00000000" w:rsidP="00000000" w:rsidRDefault="00000000" w:rsidRPr="00000000" w14:paraId="00000187">
      <w:pPr>
        <w:keepLines w:val="1"/>
        <w:spacing w:after="0" w:before="12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Los rangos de latencia extremo a extremo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 SFU = Selective Forwarding Unit. NACK = Negative Acknowledgement.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r w:rsidDel="00000000" w:rsidR="00000000" w:rsidRPr="00000000">
        <w:rPr>
          <w:rtl w:val="0"/>
        </w:rPr>
      </w:r>
    </w:p>
    <w:p w:rsidR="00000000" w:rsidDel="00000000" w:rsidP="00000000" w:rsidRDefault="00000000" w:rsidRPr="00000000" w14:paraId="000001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w:t>
      </w:r>
      <w:r w:rsidDel="00000000" w:rsidR="00000000" w:rsidRPr="00000000">
        <w:rPr>
          <w:rFonts w:ascii="Times New Roman" w:cs="Times New Roman" w:eastAsia="Times New Roman" w:hAnsi="Times New Roman"/>
          <w:sz w:val="24"/>
          <w:szCs w:val="24"/>
          <w:rtl w:val="0"/>
        </w:rPr>
        <w:t xml:space="preserve">video</w:t>
      </w:r>
      <w:r w:rsidDel="00000000" w:rsidR="00000000" w:rsidRPr="00000000">
        <w:rPr>
          <w:rFonts w:ascii="Times New Roman" w:cs="Times New Roman" w:eastAsia="Times New Roman" w:hAnsi="Times New Roman"/>
          <w:sz w:val="24"/>
          <w:szCs w:val="24"/>
          <w:rtl w:val="0"/>
        </w:rPr>
        <w:t xml:space="preserve">. Un esquema típico suele dedicar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w: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spacing w:after="0" w:before="0" w:line="480" w:lineRule="auto"/>
        <w:ind w:left="0" w:firstLine="0"/>
        <w:rPr>
          <w:rFonts w:ascii="Times New Roman" w:cs="Times New Roman" w:eastAsia="Times New Roman" w:hAnsi="Times New Roman"/>
          <w:b w:val="1"/>
          <w:bCs w:val="1"/>
          <w:sz w:val="24"/>
          <w:szCs w:val="24"/>
        </w:rPr>
      </w:pPr>
      <w:bookmarkStart w:colFirst="0" w:colLast="0" w:name="_heading=h.dyhv5hwdmkzn" w:id="41"/>
      <w:bookmarkEnd w:id="41"/>
      <w:r w:rsidDel="00000000" w:rsidR="00000000" w:rsidRPr="00000000">
        <w:rPr>
          <w:rFonts w:ascii="Times New Roman" w:cs="Times New Roman" w:eastAsia="Times New Roman" w:hAnsi="Times New Roman"/>
          <w:b w:val="1"/>
          <w:bCs w:val="1"/>
          <w:sz w:val="24"/>
          <w:szCs w:val="24"/>
          <w:rtl w:val="0"/>
        </w:rPr>
        <w:t xml:space="preserve">16. Marco teórico</w:t>
      </w:r>
    </w:p>
    <w:p w:rsidR="00000000" w:rsidDel="00000000" w:rsidP="00000000" w:rsidRDefault="00000000" w:rsidRPr="00000000" w14:paraId="0000018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concentra los conceptos, categorías normativas y fundamentos técnicos que sostienen el diseño posterior del prototipo. Su propósito es establecer una base conceptual para justificar qué se detecta, cómo se interpreta, bajo qué restricciones opera el sistema y qué condiciones ético-legales </w:t>
      </w:r>
      <w:r w:rsidDel="00000000" w:rsidR="00000000" w:rsidRPr="00000000">
        <w:rPr>
          <w:rFonts w:ascii="Times New Roman" w:cs="Times New Roman" w:eastAsia="Times New Roman" w:hAnsi="Times New Roman"/>
          <w:sz w:val="24"/>
          <w:szCs w:val="24"/>
          <w:rtl w:val="0"/>
        </w:rPr>
        <w:t xml:space="preserve">delimitan</w:t>
      </w:r>
      <w:r w:rsidDel="00000000" w:rsidR="00000000" w:rsidRPr="00000000">
        <w:rPr>
          <w:rFonts w:ascii="Times New Roman" w:cs="Times New Roman" w:eastAsia="Times New Roman" w:hAnsi="Times New Roman"/>
          <w:sz w:val="24"/>
          <w:szCs w:val="24"/>
          <w:rtl w:val="0"/>
        </w:rPr>
        <w:t xml:space="preserve"> su uso.</w:t>
      </w:r>
    </w:p>
    <w:p w:rsidR="00000000" w:rsidDel="00000000" w:rsidP="00000000" w:rsidRDefault="00000000" w:rsidRPr="00000000" w14:paraId="0000018B">
      <w:pPr>
        <w:pStyle w:val="Heading2"/>
        <w:spacing w:after="0" w:before="0" w:line="480" w:lineRule="auto"/>
        <w:ind w:left="0" w:firstLine="0"/>
        <w:rPr>
          <w:rFonts w:ascii="Times New Roman" w:cs="Times New Roman" w:eastAsia="Times New Roman" w:hAnsi="Times New Roman"/>
          <w:b w:val="1"/>
          <w:bCs w:val="1"/>
          <w:sz w:val="24"/>
          <w:szCs w:val="24"/>
        </w:rPr>
      </w:pPr>
      <w:bookmarkStart w:colFirst="0" w:colLast="0" w:name="_heading=h.4ol6cs6pi8t3" w:id="42"/>
      <w:bookmarkEnd w:id="42"/>
      <w:r w:rsidDel="00000000" w:rsidR="00000000" w:rsidRPr="00000000">
        <w:rPr>
          <w:rFonts w:ascii="Times New Roman" w:cs="Times New Roman" w:eastAsia="Times New Roman" w:hAnsi="Times New Roman"/>
          <w:b w:val="1"/>
          <w:bCs w:val="1"/>
          <w:sz w:val="24"/>
          <w:szCs w:val="24"/>
          <w:rtl w:val="0"/>
        </w:rPr>
        <w:t xml:space="preserve">16.1. Organización interna del marco teórico</w:t>
      </w:r>
    </w:p>
    <w:p w:rsidR="00000000" w:rsidDel="00000000" w:rsidP="00000000" w:rsidRDefault="00000000" w:rsidRPr="00000000" w14:paraId="0000018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capítulo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w:t>
      </w:r>
      <w:r w:rsidDel="00000000" w:rsidR="00000000" w:rsidRPr="00000000">
        <w:rPr>
          <w:rFonts w:ascii="Times New Roman" w:cs="Times New Roman" w:eastAsia="Times New Roman" w:hAnsi="Times New Roman"/>
          <w:sz w:val="24"/>
          <w:szCs w:val="24"/>
          <w:rtl w:val="0"/>
        </w:rPr>
        <w:t xml:space="preserve">vocabulary</w:t>
      </w:r>
      <w:r w:rsidDel="00000000" w:rsidR="00000000" w:rsidRPr="00000000">
        <w:rPr>
          <w:rFonts w:ascii="Times New Roman" w:cs="Times New Roman" w:eastAsia="Times New Roman" w:hAnsi="Times New Roman"/>
          <w:sz w:val="24"/>
          <w:szCs w:val="24"/>
          <w:rtl w:val="0"/>
        </w:rPr>
        <w:t xml:space="preserve"> aplicado al monitoreo de seguridad en construcción civil.</w:t>
      </w:r>
    </w:p>
    <w:p w:rsidR="00000000" w:rsidDel="00000000" w:rsidP="00000000" w:rsidRDefault="00000000" w:rsidRPr="00000000" w14:paraId="0000018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w:t>
      </w:r>
    </w:p>
    <w:p w:rsidR="00000000" w:rsidDel="00000000" w:rsidP="00000000" w:rsidRDefault="00000000" w:rsidRPr="00000000" w14:paraId="0000018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18F">
      <w:pPr>
        <w:keepNext w:val="1"/>
        <w:keepLines w:val="1"/>
        <w:spacing w:after="0" w:before="0" w:line="480" w:lineRule="auto"/>
        <w:ind w:left="0" w:right="0" w:firstLine="0"/>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0">
      <w:pPr>
        <w:keepNext w:val="1"/>
        <w:keepLines w:val="1"/>
        <w:spacing w:after="0" w:before="0" w:line="48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9</w:t>
      </w:r>
      <w:r w:rsidDel="00000000" w:rsidR="00000000" w:rsidRPr="00000000">
        <w:rPr>
          <w:rtl w:val="0"/>
        </w:rPr>
      </w:r>
    </w:p>
    <w:p w:rsidR="00000000" w:rsidDel="00000000" w:rsidP="00000000" w:rsidRDefault="00000000" w:rsidRPr="00000000" w14:paraId="00000191">
      <w:pPr>
        <w:keepNext w:val="1"/>
        <w:keepLines w:val="1"/>
        <w:spacing w:after="120" w:before="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Correspondencia entre dominios del marco teórico, preguntas articuladoras y contribución al proyecto</w:t>
      </w:r>
      <w:r w:rsidDel="00000000" w:rsidR="00000000" w:rsidRPr="00000000">
        <w:rPr>
          <w:rtl w:val="0"/>
        </w:rPr>
      </w:r>
    </w:p>
    <w:p w:rsidR="00000000" w:rsidDel="00000000" w:rsidP="00000000" w:rsidRDefault="00000000" w:rsidRPr="00000000" w14:paraId="00000192">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8"/>
        <w:tblW w:w="1300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4335"/>
        <w:gridCol w:w="4335"/>
        <w:gridCol w:w="4335"/>
        <w:tblGridChange w:id="0">
          <w:tblGrid>
            <w:gridCol w:w="4335"/>
            <w:gridCol w:w="4335"/>
            <w:gridCol w:w="4335"/>
          </w:tblGrid>
        </w:tblGridChange>
      </w:tblGrid>
      <w:tr>
        <w:trPr>
          <w:cantSplit w:val="1"/>
          <w:tblHeader w:val="1"/>
        </w:trPr>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3">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Dominio del marco teórico</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Pregunta articuladora</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5">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Contribución al proyecto</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Seguridad laboral y condiciones de riesgo observables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¿Qué condiciones debe poder identificar 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Define el dominio de aplicación y traduce obligaciones preventivas en evidencias visuales detectables.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Detección open-vocabulary y modelos visión-lenguaje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¿Cómo puede el sistema interpretar descripciones abiertas en lenguaje natural?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Fundamenta el uso de modelos capaces de detectar conceptos no restringidos a un vocabulario cerrado.</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Seguimiento multiobjeto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¿Cómo se mantiene la continuidad temporal de las detecciones?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Justifica la incorporación de mecanismos de seguimiento para reducir inestabilidad entre cuadros consecutivos y evaluar persistencia.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Video en tiempo real, streaming y latencia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¿Qué restricciones impone el procesamiento continuo de video?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Delimita los componentes del pipeline, las fuentes de latencia y los criterios para operar en tiempo real.</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Marco ético-legal y privacidad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¿Bajo qué condiciones es legítimo aplicar visión computacional en entornos laborales?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Establece límites de uso responsable, minimización de datos, carácter asistivo y ausencia de identificación personal.</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Convergencias y preguntas rectoras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¿Qué brechas atraviesan los dominios y qué debe definir el protocolo experimental?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Integra restricciones, </w:t>
            </w:r>
            <w:r w:rsidDel="00000000" w:rsidR="00000000" w:rsidRPr="00000000">
              <w:rPr>
                <w:rFonts w:ascii="Times New Roman" w:cs="Times New Roman" w:eastAsia="Times New Roman" w:hAnsi="Times New Roman"/>
                <w:sz w:val="24"/>
                <w:szCs w:val="24"/>
                <w:rtl w:val="0"/>
              </w:rPr>
              <w:t xml:space="preserve">explica </w:t>
            </w:r>
            <w:r w:rsidDel="00000000" w:rsidR="00000000" w:rsidRPr="00000000">
              <w:rPr>
                <w:rFonts w:ascii="Times New Roman" w:cs="Times New Roman" w:eastAsia="Times New Roman" w:hAnsi="Times New Roman"/>
                <w:i w:val="0"/>
                <w:iCs w:val="0"/>
                <w:color w:val="000000"/>
                <w:sz w:val="24"/>
                <w:szCs w:val="24"/>
                <w:rtl w:val="0"/>
              </w:rPr>
              <w:t xml:space="preserve">límites y formula las preguntas que guían la consolidación metodológica.</w:t>
            </w:r>
            <w:r w:rsidDel="00000000" w:rsidR="00000000" w:rsidRPr="00000000">
              <w:rPr>
                <w:rtl w:val="0"/>
              </w:rPr>
            </w:r>
          </w:p>
        </w:tc>
      </w:tr>
    </w:tbl>
    <w:p w:rsidR="00000000" w:rsidDel="00000000" w:rsidP="00000000" w:rsidRDefault="00000000" w:rsidRPr="00000000" w14:paraId="000001A8">
      <w:pPr>
        <w:keepLines w:val="1"/>
        <w:spacing w:after="0" w:before="120" w:line="480" w:lineRule="auto"/>
        <w:ind w:left="0" w:right="0" w:firstLine="0"/>
        <w:rPr>
          <w:rFonts w:ascii="Times New Roman" w:cs="Times New Roman" w:eastAsia="Times New Roman" w:hAnsi="Times New Roman"/>
          <w:i w:val="0"/>
          <w:iCs w:val="0"/>
          <w:color w:val="000000"/>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Cada dominio se corresponde con una sección de este capítulo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color w:val="000000"/>
          <w:sz w:val="24"/>
          <w:szCs w:val="24"/>
          <w:rtl w:val="0"/>
        </w:rPr>
        <w:t xml:space="preserve">Fuente: elaboración propia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A9">
      <w:pPr>
        <w:pStyle w:val="Heading2"/>
        <w:spacing w:after="0" w:before="0" w:line="480" w:lineRule="auto"/>
        <w:rPr>
          <w:rFonts w:ascii="Times New Roman" w:cs="Times New Roman" w:eastAsia="Times New Roman" w:hAnsi="Times New Roman"/>
          <w:sz w:val="24"/>
          <w:szCs w:val="24"/>
        </w:rPr>
      </w:pPr>
      <w:sdt>
        <w:sdtPr>
          <w:id w:val="-550125496"/>
          <w:tag w:val="goog_rdk_5"/>
        </w:sdtPr>
        <w:sdtContent>
          <w:commentRangeStart w:id="5"/>
        </w:sdtContent>
      </w:sdt>
      <w:r w:rsidDel="00000000" w:rsidR="00000000" w:rsidRPr="00000000">
        <w:rPr>
          <w:rFonts w:ascii="Times New Roman" w:cs="Times New Roman" w:eastAsia="Times New Roman" w:hAnsi="Times New Roman"/>
          <w:b w:val="1"/>
          <w:bCs w:val="1"/>
          <w:sz w:val="24"/>
          <w:szCs w:val="24"/>
          <w:rtl w:val="0"/>
        </w:rPr>
        <w:t xml:space="preserve">16.2. Condiciones de riesgo observables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visual requiere delimitar qué se entiende por condición de riesgo observable. En este trabajo, esa expresión no designa un incumplimiento normativo demostrado, sino una configuración visible de personas, elementos de protección o componentes del entorno que resulta relevante para la prevención y puede representarse en imágenes o video. La normativa aporta el fundamento de esa relevancia, pero no se utiliza como una lista exhaustiva de requisitos que el prototipo deba fiscalizar.</w:t>
      </w:r>
    </w:p>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integrar una condición al alcance experimental se consideran tres propiedades: su correspondencia con un riesgo preventivo reconocido, la existencia de evidencia visual susceptible de anotación humana y una definición suficientemente precisa para contrastar la salida del sistema con una referencia. Con esta delimitación, lo que se busca es evitar confundir la observación de una señal con la certificación del cumplimiento de una obligación.</w:t>
      </w:r>
    </w:p>
    <w:p w:rsidR="00000000" w:rsidDel="00000000" w:rsidP="00000000" w:rsidRDefault="00000000" w:rsidRPr="00000000" w14:paraId="000001AC">
      <w:pPr>
        <w:pStyle w:val="Heading3"/>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16.2.1. Marco normativo de referencia</w:t>
      </w:r>
      <w:r w:rsidDel="00000000" w:rsidR="00000000" w:rsidRPr="00000000">
        <w:rPr>
          <w:rtl w:val="0"/>
        </w:rPr>
      </w:r>
    </w:p>
    <w:p w:rsidR="00000000" w:rsidDel="00000000" w:rsidP="00000000" w:rsidRDefault="00000000" w:rsidRPr="00000000" w14:paraId="000001A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general del dominio, la Ley 19.587 establece que las condiciones de higiene y seguridad deben orientarse a prevenir daños en el trabajo (Ley 19.587, 1972). Para la industria de la construcción, el Decreto 911/96 desarrolla disposiciones específicas sobre medidas preventivas y equipos de protección personal, atendiendo a los riesgos propios de una obra (Decreto 911/96, 1996). En esta sección, ambas normas se emplean para justificar la relevancia preventiva de determinadas evidencias visuales, no para reconstruir de manera exhaustiva el régimen jurídico aplicable.</w:t>
      </w:r>
    </w:p>
    <w:p w:rsidR="00000000" w:rsidDel="00000000" w:rsidP="00000000" w:rsidRDefault="00000000" w:rsidRPr="00000000" w14:paraId="000001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este marco se retienen dos ideas. La primera es que la prevención se orienta a reconocer y controlar condiciones anteriores al daño. La segunda es que algunas medidas preventivas poseen correlatos visibles, como la presencia de protección cefálica o de elementos de alta visibilidad. Sin embargo, la exigencia y adecuación de cada elemento dependen de la tarea, del riesgo y del contexto de uso. Por ello, la ausencia observada en una imagen no constituye por sí sola una infracción ni permite atribuir responsabilidades.</w:t>
      </w:r>
    </w:p>
    <w:p w:rsidR="00000000" w:rsidDel="00000000" w:rsidP="00000000" w:rsidRDefault="00000000" w:rsidRPr="00000000" w14:paraId="000001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alcance de la observación visual las obligaciones cuya verificación exige documentación, mediciones, certificaciones, capacitación, inspección física o conocimiento detallado de la tarea. Una cámara puede registrar que un elemento no resulta visible, pero no determinar su homologación, vida útil, ajuste técnico ni correspondencia con todas las condiciones particulares del puesto. Esta diferencia entre referencia preventiva y juicio normativo delimita el papel del prototipo.</w:t>
      </w:r>
    </w:p>
    <w:p w:rsidR="00000000" w:rsidDel="00000000" w:rsidP="00000000" w:rsidRDefault="00000000" w:rsidRPr="00000000" w14:paraId="000001B0">
      <w:pPr>
        <w:pStyle w:val="Heading3"/>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16.2.2. Operacionalización de las condiciones nucleares</w:t>
      </w:r>
      <w:r w:rsidDel="00000000" w:rsidR="00000000" w:rsidRPr="00000000">
        <w:rPr>
          <w:rtl w:val="0"/>
        </w:rPr>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operacionalización transforma una categoría preventiva en una evidencia que pueda observarse y evaluarse. El recorrido conceptual comprende tres niveles: una referencia normativa que justifica la relevancia del riesgo, una evidencia visual que puede anotarse en imagen o video y una condición formulada de manera evaluable. La relación entre esos niveles es metodológica y no convierte la predicción del sistema en una conclusión jurídica.</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núcleo del trabajo se priorizan dos condiciones vinculadas con equipos de protección personal: CR-01, persona sin casco, y CR-02, persona sin chaleco reflectivo. Su selección responde a que pueden definirse mediante evidencia visual localizada sobre una persona y admiten una referencia humana reproducible. La Tabla 10 resume esta operacionalización y explicita el límite de lectura de cada condición.</w:t>
      </w:r>
    </w:p>
    <w:p w:rsidR="00000000" w:rsidDel="00000000" w:rsidP="00000000" w:rsidRDefault="00000000" w:rsidRPr="00000000" w14:paraId="000001B3">
      <w:pPr>
        <w:keepNext w:val="1"/>
        <w:spacing w:line="480" w:lineRule="auto"/>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4">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10</w:t>
      </w:r>
      <w:r w:rsidDel="00000000" w:rsidR="00000000" w:rsidRPr="00000000">
        <w:rPr>
          <w:rtl w:val="0"/>
        </w:rPr>
      </w:r>
    </w:p>
    <w:p w:rsidR="00000000" w:rsidDel="00000000" w:rsidP="00000000" w:rsidRDefault="00000000" w:rsidRPr="00000000" w14:paraId="000001B5">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Operacionalización de las condiciones nucleares del trabajo</w:t>
      </w:r>
      <w:r w:rsidDel="00000000" w:rsidR="00000000" w:rsidRPr="00000000">
        <w:rPr>
          <w:rtl w:val="0"/>
        </w:rPr>
      </w:r>
    </w:p>
    <w:tbl>
      <w:tblPr>
        <w:tblStyle w:val="Table9"/>
        <w:tblW w:w="12900.000000000002"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4300.000000000001"/>
        <w:gridCol w:w="4300.000000000001"/>
        <w:gridCol w:w="4300.000000000001"/>
        <w:tblGridChange w:id="0">
          <w:tblGrid>
            <w:gridCol w:w="4300.000000000001"/>
            <w:gridCol w:w="4300.000000000001"/>
            <w:gridCol w:w="4300.000000000001"/>
          </w:tblGrid>
        </w:tblGridChange>
      </w:tblGrid>
      <w:tr>
        <w:trPr>
          <w:cantSplit w:val="1"/>
          <w:tblHeader w:val="1"/>
        </w:trPr>
        <w:tc>
          <w:tcPr>
            <w:tcBorders>
              <w:bottom w:color="000000" w:space="0" w:sz="4" w:val="single"/>
            </w:tcBorders>
            <w:tcMar>
              <w:top w:w="100.0" w:type="dxa"/>
              <w:bottom w:w="100.0" w:type="dxa"/>
            </w:tcMar>
            <w:vAlign w:val="center"/>
          </w:tcPr>
          <w:p w:rsidR="00000000" w:rsidDel="00000000" w:rsidP="00000000" w:rsidRDefault="00000000" w:rsidRPr="00000000" w14:paraId="000001B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nuclear</w:t>
            </w:r>
            <w:r w:rsidDel="00000000" w:rsidR="00000000" w:rsidRPr="00000000">
              <w:rPr>
                <w:rtl w:val="0"/>
              </w:rPr>
            </w:r>
          </w:p>
        </w:tc>
        <w:tc>
          <w:tcPr>
            <w:tcBorders>
              <w:bottom w:color="000000" w:space="0" w:sz="4" w:val="single"/>
            </w:tcBorders>
            <w:tcMar>
              <w:top w:w="100.0" w:type="dxa"/>
              <w:bottom w:w="100.0" w:type="dxa"/>
            </w:tcMar>
            <w:vAlign w:val="center"/>
          </w:tcPr>
          <w:p w:rsidR="00000000" w:rsidDel="00000000" w:rsidP="00000000" w:rsidRDefault="00000000" w:rsidRPr="00000000" w14:paraId="000001B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 de referencia</w:t>
            </w:r>
            <w:r w:rsidDel="00000000" w:rsidR="00000000" w:rsidRPr="00000000">
              <w:rPr>
                <w:rtl w:val="0"/>
              </w:rPr>
            </w:r>
          </w:p>
        </w:tc>
        <w:tc>
          <w:tcPr>
            <w:tcBorders>
              <w:bottom w:color="000000" w:space="0" w:sz="4" w:val="single"/>
            </w:tcBorders>
            <w:tcMar>
              <w:top w:w="100.0" w:type="dxa"/>
              <w:bottom w:w="100.0" w:type="dxa"/>
            </w:tcMar>
            <w:vAlign w:val="center"/>
          </w:tcPr>
          <w:p w:rsidR="00000000" w:rsidDel="00000000" w:rsidP="00000000" w:rsidRDefault="00000000" w:rsidRPr="00000000" w14:paraId="000001B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permitida y límite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B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Mar>
              <w:top w:w="100.0" w:type="dxa"/>
              <w:bottom w:w="100.0" w:type="dxa"/>
            </w:tcMar>
            <w:vAlign w:val="center"/>
          </w:tcPr>
          <w:p w:rsidR="00000000" w:rsidDel="00000000" w:rsidP="00000000" w:rsidRDefault="00000000" w:rsidRPr="00000000" w14:paraId="000001B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visible. No se observa casco en la región cefálica.</w:t>
            </w:r>
          </w:p>
        </w:tc>
        <w:tc>
          <w:tcPr>
            <w:tcMar>
              <w:top w:w="100.0" w:type="dxa"/>
              <w:bottom w:w="100.0" w:type="dxa"/>
            </w:tcMar>
            <w:vAlign w:val="center"/>
          </w:tcPr>
          <w:p w:rsidR="00000000" w:rsidDel="00000000" w:rsidP="00000000" w:rsidRDefault="00000000" w:rsidRPr="00000000" w14:paraId="000001B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Indicio de posible ausencia de protección cefálica. No verifica homologación, estado, ajuste ni el contexto completo de exigibilidad.</w:t>
            </w:r>
          </w:p>
        </w:tc>
      </w:tr>
      <w:tr>
        <w:trPr>
          <w:cantSplit w:val="1"/>
          <w:tblHeader w:val="0"/>
        </w:trPr>
        <w:tc>
          <w:tcPr>
            <w:tcMar>
              <w:top w:w="100.0" w:type="dxa"/>
              <w:bottom w:w="100.0" w:type="dxa"/>
            </w:tcMar>
            <w:vAlign w:val="center"/>
          </w:tcPr>
          <w:p w:rsidR="00000000" w:rsidDel="00000000" w:rsidP="00000000" w:rsidRDefault="00000000" w:rsidRPr="00000000" w14:paraId="000001B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Mar>
              <w:top w:w="100.0" w:type="dxa"/>
              <w:bottom w:w="100.0" w:type="dxa"/>
            </w:tcMar>
            <w:vAlign w:val="center"/>
          </w:tcPr>
          <w:p w:rsidR="00000000" w:rsidDel="00000000" w:rsidP="00000000" w:rsidRDefault="00000000" w:rsidRPr="00000000" w14:paraId="000001B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visible. No se observa chaleco reflectivo en el torso.</w:t>
            </w:r>
          </w:p>
        </w:tc>
        <w:tc>
          <w:tcPr>
            <w:tcMar>
              <w:top w:w="100.0" w:type="dxa"/>
              <w:bottom w:w="100.0" w:type="dxa"/>
            </w:tcMar>
            <w:vAlign w:val="center"/>
          </w:tcPr>
          <w:p w:rsidR="00000000" w:rsidDel="00000000" w:rsidP="00000000" w:rsidRDefault="00000000" w:rsidRPr="00000000" w14:paraId="000001B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Indicio de posible ausencia de alta visibilidad. No determina por sí solo si la tarea o la zona requerían ese EPP.</w:t>
            </w:r>
          </w:p>
        </w:tc>
      </w:tr>
    </w:tbl>
    <w:p w:rsidR="00000000" w:rsidDel="00000000" w:rsidP="00000000" w:rsidRDefault="00000000" w:rsidRPr="00000000" w14:paraId="000001BF">
      <w:pPr>
        <w:keepLines w:val="1"/>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Las condiciones se expresan como señales visuales para evaluación experimental. La ausencia indicada no equivale a una determinación normativa ni permite verificar la certificación, el estado o el ajuste del EPP. Fuente: elaboración propia a partir de la Ley 19.587 (1972) y del Decreto 911/96 (1996).</w:t>
      </w:r>
    </w:p>
    <w:p w:rsidR="00000000" w:rsidDel="00000000" w:rsidP="00000000" w:rsidRDefault="00000000" w:rsidRPr="00000000" w14:paraId="000001C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ambos casos, el objeto de análisis no es un elemento aislado, sino el estado observable de una persona respecto de un EPP esperado. La condición se construye a partir de la presencia de la persona y de que el elemento no resulte visible en la región correspondiente. Esta estructura composicional distingue la detección de objetos de la interpretación de una condición expresada por ausencia y enlaza con los fundamentos de percepción visión-lenguaje desarrollados en la sección siguiente.</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criterio permitiría formular otras condiciones asociadas con trabajos en altura, zonas restringidas, interacción con maquinaria u obstrucciones. No obstante, su sola relevancia preventiva no basta para incorporarlas al núcleo, ya que pueden requerir relaciones espaciales, estimación geométrica, contexto operativo o evidencia adicional. Por ello, se consideran posibilidades de extensión y no capacidades asumidas del prototipo.</w:t>
      </w:r>
    </w:p>
    <w:p w:rsidR="00000000" w:rsidDel="00000000" w:rsidP="00000000" w:rsidRDefault="00000000" w:rsidRPr="00000000" w14:paraId="000001C2">
      <w:pPr>
        <w:pStyle w:val="Heading3"/>
        <w:spacing w:after="0" w:before="0" w:line="480" w:lineRule="auto"/>
        <w:rPr>
          <w:rFonts w:ascii="Times New Roman" w:cs="Times New Roman" w:eastAsia="Times New Roman" w:hAnsi="Times New Roman"/>
          <w:sz w:val="24"/>
          <w:szCs w:val="24"/>
        </w:rPr>
      </w:pPr>
      <w:bookmarkStart w:colFirst="0" w:colLast="0" w:name="_heading=h.dscokajzg7vc" w:id="43"/>
      <w:bookmarkEnd w:id="43"/>
      <w:r w:rsidDel="00000000" w:rsidR="00000000" w:rsidRPr="00000000">
        <w:rPr>
          <w:rFonts w:ascii="Times New Roman" w:cs="Times New Roman" w:eastAsia="Times New Roman" w:hAnsi="Times New Roman"/>
          <w:b w:val="1"/>
          <w:bCs w:val="1"/>
          <w:i w:val="1"/>
          <w:iCs w:val="1"/>
          <w:sz w:val="24"/>
          <w:szCs w:val="24"/>
          <w:rtl w:val="0"/>
        </w:rPr>
        <w:t xml:space="preserve">16.2.3. Alcance y límites de la observación visual</w:t>
      </w:r>
      <w:r w:rsidDel="00000000" w:rsidR="00000000" w:rsidRPr="00000000">
        <w:rPr>
          <w:rtl w:val="0"/>
        </w:rPr>
      </w:r>
    </w:p>
    <w:p w:rsidR="00000000" w:rsidDel="00000000" w:rsidP="00000000" w:rsidRDefault="00000000" w:rsidRPr="00000000" w14:paraId="000001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observabilidad conceptual, la detectabilidad técnica y la interpretación normativa constituyen niveles distintos. Una condición puede ser visible para una persona y, aun así, resultar difícil de detectar por variaciones de iluminación, resolución, perspectiva u oclusión. A su vez, una detección visual correcta puede no aportar el contexto necesario para determinar si una medida era exigible o si el elemento observado cumplía sus especificaciones técnicas.</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las salidas del sistema se interpretan como indicios trazables que requieren revisión humana. Las alertas son asistivas y no vinculantes, es decir, no certifican cumplimiento, no establecen responsabilidades, no realizan reconocimiento de identidad personal y no sustituyen al responsable de seguridad ni a la evaluación técnica en terreno. Su función consiste en señalar evidencia visual relevante, conservarla para su revisión y favorecer una supervisión más oportuna.</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forma, el marco normativo cumple una función que fundamenta por qué las condiciones seleccionadas son preventivamente pertinentes, de tal manera que la operacionalización define qué evidencia puede evaluarse y los límites de interpretación </w:t>
      </w:r>
      <w:r w:rsidDel="00000000" w:rsidR="00000000" w:rsidRPr="00000000">
        <w:rPr>
          <w:rFonts w:ascii="Times New Roman" w:cs="Times New Roman" w:eastAsia="Times New Roman" w:hAnsi="Times New Roman"/>
          <w:sz w:val="24"/>
          <w:szCs w:val="24"/>
          <w:rtl w:val="0"/>
        </w:rPr>
        <w:t xml:space="preserve">evitan</w:t>
      </w:r>
      <w:r w:rsidDel="00000000" w:rsidR="00000000" w:rsidRPr="00000000">
        <w:rPr>
          <w:rFonts w:ascii="Times New Roman" w:cs="Times New Roman" w:eastAsia="Times New Roman" w:hAnsi="Times New Roman"/>
          <w:sz w:val="24"/>
          <w:szCs w:val="24"/>
          <w:rtl w:val="0"/>
        </w:rPr>
        <w:t xml:space="preserve"> atribuir al análisis visual capacidades que no posee.</w:t>
      </w:r>
      <w:r w:rsidDel="00000000" w:rsidR="00000000" w:rsidRPr="00000000">
        <w:rPr>
          <w:rtl w:val="0"/>
        </w:rPr>
      </w:r>
    </w:p>
    <w:p w:rsidR="00000000" w:rsidDel="00000000" w:rsidP="00000000" w:rsidRDefault="00000000" w:rsidRPr="00000000" w14:paraId="000001C6">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heading=h.42hdfu8357fd" w:id="44"/>
      <w:bookmarkEnd w:id="44"/>
      <w:r w:rsidDel="00000000" w:rsidR="00000000" w:rsidRPr="00000000">
        <w:rPr>
          <w:rFonts w:ascii="Times New Roman" w:cs="Times New Roman" w:eastAsia="Times New Roman" w:hAnsi="Times New Roman"/>
          <w:b w:val="1"/>
          <w:bCs w:val="1"/>
          <w:sz w:val="24"/>
          <w:szCs w:val="24"/>
          <w:rtl w:val="0"/>
        </w:rPr>
        <w:t xml:space="preserve">16.3. Percepción visión-lenguaje: fundamentos conceptuales de la detección open-vocabulary</w:t>
      </w:r>
    </w:p>
    <w:p w:rsidR="00000000" w:rsidDel="00000000" w:rsidP="00000000" w:rsidRDefault="00000000" w:rsidRPr="00000000" w14:paraId="000001C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w:t>
      </w:r>
      <w:r w:rsidDel="00000000" w:rsidR="00000000" w:rsidRPr="00000000">
        <w:rPr>
          <w:rFonts w:ascii="Times New Roman" w:cs="Times New Roman" w:eastAsia="Times New Roman" w:hAnsi="Times New Roman"/>
          <w:sz w:val="24"/>
          <w:szCs w:val="24"/>
          <w:rtl w:val="0"/>
        </w:rPr>
        <w:t xml:space="preserve">acotarse</w:t>
      </w:r>
      <w:r w:rsidDel="00000000" w:rsidR="00000000" w:rsidRPr="00000000">
        <w:rPr>
          <w:rFonts w:ascii="Times New Roman" w:cs="Times New Roman" w:eastAsia="Times New Roman" w:hAnsi="Times New Roman"/>
          <w:sz w:val="24"/>
          <w:szCs w:val="24"/>
          <w:rtl w:val="0"/>
        </w:rPr>
        <w:t xml:space="preserv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1C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caracteriza los fundamentos conceptuales de la detección open-vocabulary, con énfasis en la transición desde los enfoques de vocabulario cerrado hacia modelos capaces de vincular información visual y lenguaje natural. </w:t>
      </w:r>
    </w:p>
    <w:p w:rsidR="00000000" w:rsidDel="00000000" w:rsidP="00000000" w:rsidRDefault="00000000" w:rsidRPr="00000000" w14:paraId="000001C9">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yktnbyva37fc" w:id="45"/>
      <w:bookmarkEnd w:id="45"/>
      <w:r w:rsidDel="00000000" w:rsidR="00000000" w:rsidRPr="00000000">
        <w:rPr>
          <w:rFonts w:ascii="Times New Roman" w:cs="Times New Roman" w:eastAsia="Times New Roman" w:hAnsi="Times New Roman"/>
          <w:b w:val="1"/>
          <w:bCs w:val="1"/>
          <w:i w:val="1"/>
          <w:iCs w:val="1"/>
          <w:color w:val="000000"/>
          <w:sz w:val="24"/>
          <w:szCs w:val="24"/>
          <w:rtl w:val="0"/>
        </w:rPr>
        <w:t xml:space="preserve">16.3.1. Del closed-set al open-vocabulary</w:t>
      </w:r>
    </w:p>
    <w:p w:rsidR="00000000" w:rsidDel="00000000" w:rsidP="00000000" w:rsidRDefault="00000000" w:rsidRPr="00000000" w14:paraId="000001C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detección de objetos </w:t>
      </w:r>
      <w:r w:rsidDel="00000000" w:rsidR="00000000" w:rsidRPr="00000000">
        <w:rPr>
          <w:rFonts w:ascii="Times New Roman" w:cs="Times New Roman" w:eastAsia="Times New Roman" w:hAnsi="Times New Roman"/>
          <w:sz w:val="24"/>
          <w:szCs w:val="24"/>
          <w:rtl w:val="0"/>
        </w:rPr>
        <w:t xml:space="preserve">tradicional</w:t>
      </w:r>
      <w:r w:rsidDel="00000000" w:rsidR="00000000" w:rsidRPr="00000000">
        <w:rPr>
          <w:rFonts w:ascii="Times New Roman" w:cs="Times New Roman" w:eastAsia="Times New Roman" w:hAnsi="Times New Roman"/>
          <w:sz w:val="24"/>
          <w:szCs w:val="24"/>
          <w:rtl w:val="0"/>
        </w:rPr>
        <w:t xml:space="preserve">,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2014) o PASCAL VOC (Everingham et al., 2010), pero introduce una dependencia estructural entre el dominio de entrenamiento y el dominio de aplicación, siendo que el sistema solo puede detectar lo que fue explícitamente contemplado en el diseño.</w:t>
      </w:r>
    </w:p>
    <w:p w:rsidR="00000000" w:rsidDel="00000000" w:rsidP="00000000" w:rsidRDefault="00000000" w:rsidRPr="00000000" w14:paraId="000001C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1C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capacidad no es absoluta. La calidad de la generalización zero-shot —ampliada en la sección 16.3.5— depende de la calidad y amplitud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1CD">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qqkqoibrq2d" w:id="46"/>
      <w:bookmarkEnd w:id="46"/>
      <w:r w:rsidDel="00000000" w:rsidR="00000000" w:rsidRPr="00000000">
        <w:rPr>
          <w:rFonts w:ascii="Times New Roman" w:cs="Times New Roman" w:eastAsia="Times New Roman" w:hAnsi="Times New Roman"/>
          <w:b w:val="1"/>
          <w:bCs w:val="1"/>
          <w:i w:val="1"/>
          <w:iCs w:val="1"/>
          <w:color w:val="000000"/>
          <w:sz w:val="24"/>
          <w:szCs w:val="24"/>
          <w:rtl w:val="0"/>
        </w:rPr>
        <w:t xml:space="preserve">16.3.2. Mecanismos de alineación visión-lenguaje</w:t>
      </w:r>
    </w:p>
    <w:p w:rsidR="00000000" w:rsidDel="00000000" w:rsidP="00000000" w:rsidRDefault="00000000" w:rsidRPr="00000000" w14:paraId="000001C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1C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2022, 2023;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2022).</w:t>
      </w:r>
    </w:p>
    <w:p w:rsidR="00000000" w:rsidDel="00000000" w:rsidP="00000000" w:rsidRDefault="00000000" w:rsidRPr="00000000" w14:paraId="000001D0">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heading=h.p6jmvc2096go" w:id="47"/>
      <w:bookmarkEnd w:id="47"/>
      <w:r w:rsidDel="00000000" w:rsidR="00000000" w:rsidRPr="00000000">
        <w:rPr>
          <w:rFonts w:ascii="Times New Roman" w:cs="Times New Roman" w:eastAsia="Times New Roman" w:hAnsi="Times New Roman"/>
          <w:b w:val="1"/>
          <w:bCs w:val="1"/>
          <w:i w:val="1"/>
          <w:iCs w:val="1"/>
          <w:color w:val="000000"/>
          <w:sz w:val="24"/>
          <w:szCs w:val="24"/>
          <w:rtl w:val="0"/>
        </w:rPr>
        <w:t xml:space="preserve">16.3.3. Rol del lenguaje natural como especificación dinámica</w:t>
      </w:r>
    </w:p>
    <w:p w:rsidR="00000000" w:rsidDel="00000000" w:rsidP="00000000" w:rsidRDefault="00000000" w:rsidRPr="00000000" w14:paraId="000001D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open-vocabulary, el lenguaje funciona como una especificación de inferencia. Esto quiere decir que la consulta textual define qué concepto debe localizarse sin modificar el clasificador ni volver a entrenar el modelo. Esta propiedad permite expresar entidades, atributos y relaciones mediante vocabulario natural, pero introduce una variable ausente en los detectores closed-set, donde las formulaciones semánticamente cercanas no necesariamente producen representaciones equivalentes. La sensibilidad depende del encoder textual, del contexto léxico y del régimen de alineación empleado durante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(Zhou et al., 2022b).</w:t>
      </w:r>
    </w:p>
    <w:p w:rsidR="00000000" w:rsidDel="00000000" w:rsidP="00000000" w:rsidRDefault="00000000" w:rsidRPr="00000000" w14:paraId="000001D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aborda este problema mediante ingeniería sistemática de prompts, prompt learning con tokens de contexto aprendibles y, en algunas arquitecturas, prompts visuales que anclan la consulta a un ejemplo (Du et al., 2022; Jiang et al., 2024; Khattak et al., 2023). Estas alternativas son modalidades de consulta documentadas, no requisitos universales. Para evaluar una condición de dominio, la formulación textual debe tratarse como parte del protocolo experimental,  comparando variantes bajo los mismos datos, umbrales y métricas y evitando atribuir al modelo diferencias producidas únicamente por la redacción.</w:t>
      </w:r>
    </w:p>
    <w:p w:rsidR="00000000" w:rsidDel="00000000" w:rsidP="00000000" w:rsidRDefault="00000000" w:rsidRPr="00000000" w14:paraId="000001D3">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s3iv0i59x1yr" w:id="48"/>
      <w:bookmarkEnd w:id="48"/>
      <w:r w:rsidDel="00000000" w:rsidR="00000000" w:rsidRPr="00000000">
        <w:rPr>
          <w:rFonts w:ascii="Times New Roman" w:cs="Times New Roman" w:eastAsia="Times New Roman" w:hAnsi="Times New Roman"/>
          <w:b w:val="1"/>
          <w:bCs w:val="1"/>
          <w:i w:val="1"/>
          <w:iCs w:val="1"/>
          <w:color w:val="000000"/>
          <w:sz w:val="24"/>
          <w:szCs w:val="24"/>
          <w:rtl w:val="0"/>
        </w:rPr>
        <w:t xml:space="preserve">16.3.4. Composicionalidad, negación y condiciones definidas por ausencia</w:t>
      </w:r>
    </w:p>
    <w:p w:rsidR="00000000" w:rsidDel="00000000" w:rsidP="00000000" w:rsidRDefault="00000000" w:rsidRPr="00000000" w14:paraId="000001D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contrastivo aproxima representaciones globales de imágenes y textos al recompensar la compatibilidad entre pares correctos y separar pares incorrectos. Ese objetivo no obliga a codificar de manera explícita quién realiza una acción, qué atributo modifica a cada entidad ni en qué orden aparecen los términos. Esto no significa que los modelos ignoren las palabras, sino que un buen desempeño de recuperación puede coexistir con baja sensibilidad a la estructura relacional de la frase.</w:t>
      </w:r>
    </w:p>
    <w:p w:rsidR="00000000" w:rsidDel="00000000" w:rsidP="00000000" w:rsidRDefault="00000000" w:rsidRPr="00000000" w14:paraId="000001D5">
      <w:pPr>
        <w:spacing w:after="0" w:before="0" w:line="480" w:lineRule="auto"/>
        <w:ind w:firstLine="720"/>
        <w:rPr>
          <w:rFonts w:ascii="Times New Roman" w:cs="Times New Roman" w:eastAsia="Times New Roman" w:hAnsi="Times New Roman"/>
          <w:sz w:val="24"/>
          <w:szCs w:val="24"/>
        </w:rPr>
      </w:pPr>
      <w:sdt>
        <w:sdtPr>
          <w:id w:val="1352079898"/>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Yuksekgonul </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et al. (2023) estudian esta limitación mediante ARO, un benchmark con más de 50.000 casos organizados en atribución, relación y orden. Los resultados muestran que modelos visión-lenguaje de referencia pueden apoyarse fuertemente en el inventario léxico y resolver coincidencias globales sin representar con igual robustez los vínculos entre sustantivos, atributos y relaciones. El comportamiento se aproxima así a una bolsa de palabras: los conceptos dominantes conservan gran peso aunque se intercambien modificadores o cambie la estructura que determina el significado.</w:t>
      </w:r>
    </w:p>
    <w:p w:rsidR="00000000" w:rsidDel="00000000" w:rsidP="00000000" w:rsidRDefault="00000000" w:rsidRPr="00000000" w14:paraId="000001D6">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Winoground aísla la composicionalidad con pares de captions que contienen exactamente las mismas palabras en distinto orden y se asocian con dos imágenes diferentes. Los modelos evaluados no superaron de manera consistente el azar al vincular cada caption con la imagen correcta (Thrush et al., 2022). La prueba elimina la ventaja del contenido léxico compartido y muestra que la alineación global no garantiza razonamiento </w:t>
      </w:r>
      <w:r w:rsidDel="00000000" w:rsidR="00000000" w:rsidRPr="00000000">
        <w:rPr>
          <w:rFonts w:ascii="Times New Roman" w:cs="Times New Roman" w:eastAsia="Times New Roman" w:hAnsi="Times New Roman"/>
          <w:sz w:val="24"/>
          <w:szCs w:val="24"/>
          <w:rtl w:val="0"/>
        </w:rPr>
        <w:t xml:space="preserve">visio</w:t>
      </w:r>
      <w:r w:rsidDel="00000000" w:rsidR="00000000" w:rsidRPr="00000000">
        <w:rPr>
          <w:rFonts w:ascii="Times New Roman" w:cs="Times New Roman" w:eastAsia="Times New Roman" w:hAnsi="Times New Roman"/>
          <w:sz w:val="24"/>
          <w:szCs w:val="24"/>
          <w:rtl w:val="0"/>
        </w:rPr>
        <w:t xml:space="preserve">-lingüístico sobre roles y relaciones.</w:t>
      </w:r>
    </w:p>
    <w:p w:rsidR="00000000" w:rsidDel="00000000" w:rsidP="00000000" w:rsidRDefault="00000000" w:rsidRPr="00000000" w14:paraId="000001D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y phrase grounding, la asociación entre tokens y regiones aporta localización más fina que la recuperación global, pero la negación mantiene una dificultad conceptual. Una frase como «persona sin casco» contiene el concepto positivo casco. Sin embargo, la ausencia no constituye una región visible que pueda recibir una caja. Además, el solapamiento léxico puede hacer que el sustantivo positivo conserve influencia aun cuando el modificador cambie la condición solicitada (Liu et al., 2024). Evaluar ausencia exige definir qué región de la persona resulta pertinente, qué evidencia positiva debería encontrarse y bajo qué relación espacial se considera asociada.</w:t>
      </w:r>
    </w:p>
    <w:p w:rsidR="00000000" w:rsidDel="00000000" w:rsidP="00000000" w:rsidRDefault="00000000" w:rsidRPr="00000000" w14:paraId="000001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una condición definida por ausencia admite al menos dos formulaciones conceptuales. En primer lugar, solicitar directamente al modelo que localice la infracción completa, o solicitar evidencia positiva.Segundo, derivar la ausencia mediante razonamiento sobre las detecciones. La primera delega composición y negación al modelo; la segunda separa percepción y relación, pero introduce reglas y posibles errores de asociación. La literatura no establece una alternativa universalmente superior. Su desempeño depende del modelo, del prompt, de la granularidad espacial y del dominio, por lo que la comparación debe permanecer como pregunta empírica. Esta limitación enlaza con la brecha de contextualización semántica de la sección 15.2.5.1 sin anticipar la estrategia que adopte el diseño.</w:t>
      </w:r>
    </w:p>
    <w:p w:rsidR="00000000" w:rsidDel="00000000" w:rsidP="00000000" w:rsidRDefault="00000000" w:rsidRPr="00000000" w14:paraId="000001D9">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86tcnry6b50n" w:id="49"/>
      <w:bookmarkEnd w:id="49"/>
      <w:r w:rsidDel="00000000" w:rsidR="00000000" w:rsidRPr="00000000">
        <w:rPr>
          <w:rFonts w:ascii="Times New Roman" w:cs="Times New Roman" w:eastAsia="Times New Roman" w:hAnsi="Times New Roman"/>
          <w:b w:val="1"/>
          <w:bCs w:val="1"/>
          <w:i w:val="1"/>
          <w:iCs w:val="1"/>
          <w:color w:val="000000"/>
          <w:sz w:val="24"/>
          <w:szCs w:val="24"/>
          <w:rtl w:val="0"/>
        </w:rPr>
        <w:t xml:space="preserve">16.3.5. Generalización zero-shot y el problema del long-tail semántico</w:t>
      </w:r>
    </w:p>
    <w:p w:rsidR="00000000" w:rsidDel="00000000" w:rsidP="00000000" w:rsidRDefault="00000000" w:rsidRPr="00000000" w14:paraId="000001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1D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no eliminan por completo las limitaciones impuestas por los datos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Las categorías visualmente inusuales o semánticamente distantes de los conceptos mejor representados pueden exhibir un desempeño inferior al observado en categorías frecuentes. En construcción civil, esto afecta especialmente a categorías especializadas del dominio —incluidos determinados EPP y roles operativos— cuya representación en los datos generalistas puede ser limitada. Por ello, su desempeño zero-shot debe verificarse en material de dominio y no inferirse desde benchmarks generales.</w:t>
      </w:r>
    </w:p>
    <w:p w:rsidR="00000000" w:rsidDel="00000000" w:rsidP="00000000" w:rsidRDefault="00000000" w:rsidRPr="00000000" w14:paraId="000001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ampliación de datos y el </w:t>
      </w:r>
      <w:r w:rsidDel="00000000" w:rsidR="00000000" w:rsidRPr="00000000">
        <w:rPr>
          <w:rFonts w:ascii="Times New Roman" w:cs="Times New Roman" w:eastAsia="Times New Roman" w:hAnsi="Times New Roman"/>
          <w:sz w:val="24"/>
          <w:szCs w:val="24"/>
          <w:rtl w:val="0"/>
        </w:rPr>
        <w:t xml:space="preserve">autoentrenamiento</w:t>
      </w:r>
      <w:r w:rsidDel="00000000" w:rsidR="00000000" w:rsidRPr="00000000">
        <w:rPr>
          <w:rFonts w:ascii="Times New Roman" w:cs="Times New Roman" w:eastAsia="Times New Roman" w:hAnsi="Times New Roman"/>
          <w:sz w:val="24"/>
          <w:szCs w:val="24"/>
          <w:rtl w:val="0"/>
        </w:rPr>
        <w:t xml:space="preserve"> mejoran la cobertura de categorías raras, pero no eliminan la brecha entre benchmarks generalistas y dominios especializados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2023).</w:t>
      </w:r>
    </w:p>
    <w:p w:rsidR="00000000" w:rsidDel="00000000" w:rsidP="00000000" w:rsidRDefault="00000000" w:rsidRPr="00000000" w14:paraId="000001DD">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bb1o85n2xr6l" w:id="50"/>
      <w:bookmarkEnd w:id="50"/>
      <w:r w:rsidDel="00000000" w:rsidR="00000000" w:rsidRPr="00000000">
        <w:rPr>
          <w:rFonts w:ascii="Times New Roman" w:cs="Times New Roman" w:eastAsia="Times New Roman" w:hAnsi="Times New Roman"/>
          <w:b w:val="1"/>
          <w:bCs w:val="1"/>
          <w:i w:val="1"/>
          <w:iCs w:val="1"/>
          <w:color w:val="000000"/>
          <w:sz w:val="24"/>
          <w:szCs w:val="24"/>
          <w:rtl w:val="0"/>
        </w:rPr>
        <w:t xml:space="preserve">16.3.6. Dimensiones de comparación de modelos OVD</w:t>
      </w:r>
    </w:p>
    <w:p w:rsidR="00000000" w:rsidDel="00000000" w:rsidP="00000000" w:rsidRDefault="00000000" w:rsidRPr="00000000" w14:paraId="000001D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permite comparar modelos OVD a lo largo de dimensiones distintas, por ejemplo, la capacidad de generalización zero-shot y transferencia de dominio, la expresividad frente a atributos y relaciones, la latencia y dependencia del hardware, la modalidad de consulta, la disponibilidad de código y pesos y las posibilidades de adaptación paramétrica. Ninguna dimensión determina por sí sola la adecuación de una alternativa, y los resultados de benchmarks no son directamente transferibles entre hardware, resoluciones y regímenes de evaluación diferentes (Cheng et al., 2024; Liu et al., 2024;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2022, 2023).</w:t>
      </w:r>
    </w:p>
    <w:p w:rsidR="00000000" w:rsidDel="00000000" w:rsidP="00000000" w:rsidRDefault="00000000" w:rsidRPr="00000000" w14:paraId="000001D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retención open-</w:t>
      </w:r>
      <w:r w:rsidDel="00000000" w:rsidR="00000000" w:rsidRPr="00000000">
        <w:rPr>
          <w:rFonts w:ascii="Times New Roman" w:cs="Times New Roman" w:eastAsia="Times New Roman" w:hAnsi="Times New Roman"/>
          <w:sz w:val="24"/>
          <w:szCs w:val="24"/>
          <w:rtl w:val="0"/>
        </w:rPr>
        <w:t xml:space="preserve">vocabulary</w:t>
      </w:r>
      <w:r w:rsidDel="00000000" w:rsidR="00000000" w:rsidRPr="00000000">
        <w:rPr>
          <w:rFonts w:ascii="Times New Roman" w:cs="Times New Roman" w:eastAsia="Times New Roman" w:hAnsi="Times New Roman"/>
          <w:sz w:val="24"/>
          <w:szCs w:val="24"/>
          <w:rtl w:val="0"/>
        </w:rPr>
        <w:t xml:space="preserve"> después del fine-tuning tampoco puede atribuirse a la familia arquitectónica. Como se sintetiza en la sección 15.2.4, depende de la receta concreta, es decir, qué parámetros se actualizan o congelan, si se conserva supervisión lingüística amplia y si el protocolo evalúa categorías no vistas (A. Wang et al., 2025; X. Zhao et al., 2024). Los prompts visuales, la segmentación o la ejecución híbrida entre modelos pueden describirse como capacidades presentes en parte de la literatura, pero no constituyen requisitos generales.</w:t>
      </w:r>
    </w:p>
    <w:p w:rsidR="00000000" w:rsidDel="00000000" w:rsidP="00000000" w:rsidRDefault="00000000" w:rsidRPr="00000000" w14:paraId="000001E0">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heading=h.j6prutk5f91q" w:id="51"/>
      <w:bookmarkEnd w:id="51"/>
      <w:r w:rsidDel="00000000" w:rsidR="00000000" w:rsidRPr="00000000">
        <w:rPr>
          <w:rFonts w:ascii="Times New Roman" w:cs="Times New Roman" w:eastAsia="Times New Roman" w:hAnsi="Times New Roman"/>
          <w:b w:val="1"/>
          <w:bCs w:val="1"/>
          <w:sz w:val="24"/>
          <w:szCs w:val="24"/>
          <w:rtl w:val="0"/>
        </w:rPr>
        <w:t xml:space="preserve">16.4. Persistencia temporal de entidades y fundamentos conceptuales del seguimiento multiobjeto</w:t>
      </w:r>
    </w:p>
    <w:p w:rsidR="00000000" w:rsidDel="00000000" w:rsidP="00000000" w:rsidRDefault="00000000" w:rsidRPr="00000000" w14:paraId="000001E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detección aislada no basta para sustentar una alerta temporal. Para distinguir entre una aparición breve y una condición que permanece, se requiere continuidad entre cuadros, una propiedad que la detección por cuadro no provee. El seguimiento multiobjeto (MOT) cumple esa función al asignar identificadores temporales internos a las entidades detectadas, estimar sus trayectorias cuadro a cuadro y sostener la continuidad ante omisiones breves. La presente sección caracteriza los fundamentos técnicos de ese mecanismo, sus métodos representativos y los compromisos relevantes para integrarlo en un sistema de monitoreo.</w:t>
      </w:r>
    </w:p>
    <w:p w:rsidR="00000000" w:rsidDel="00000000" w:rsidP="00000000" w:rsidRDefault="00000000" w:rsidRPr="00000000" w14:paraId="000001E2">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gh2vp5obb63y" w:id="52"/>
      <w:bookmarkEnd w:id="52"/>
      <w:r w:rsidDel="00000000" w:rsidR="00000000" w:rsidRPr="00000000">
        <w:rPr>
          <w:rFonts w:ascii="Times New Roman" w:cs="Times New Roman" w:eastAsia="Times New Roman" w:hAnsi="Times New Roman"/>
          <w:b w:val="1"/>
          <w:bCs w:val="1"/>
          <w:i w:val="1"/>
          <w:iCs w:val="1"/>
          <w:color w:val="000000"/>
          <w:sz w:val="24"/>
          <w:szCs w:val="24"/>
          <w:rtl w:val="0"/>
        </w:rPr>
        <w:t xml:space="preserve">16.4.1. La limitación temporal de la detección por cuadro</w:t>
      </w:r>
    </w:p>
    <w:p w:rsidR="00000000" w:rsidDel="00000000" w:rsidP="00000000" w:rsidRDefault="00000000" w:rsidRPr="00000000" w14:paraId="000001E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de objetos —incluyendo los modelos OVD— opera de manera fundamentalmente estática, donde dada una imagen, produce un conjunto de regiones detectadas con sus etiquetas semánticas y puntajes de confianza. Esta operación se realiza de manera independiente para cada cuadro del flujo de video, sin memoria ni referencia a los cuadros anteriores. En consecuencia, el mismo objeto físico presente en dos cuadros consecutivos es tratado como dos entidades sin relación, de tal forma que no existe ningún mecanismo que les asigne una identidad común ni que modele su trayectoria a lo largo del tiempo (Bewley et al., 2016; Luo et al., 2021).</w:t>
      </w:r>
    </w:p>
    <w:p w:rsidR="00000000" w:rsidDel="00000000" w:rsidP="00000000" w:rsidRDefault="00000000" w:rsidRPr="00000000" w14:paraId="000001E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tiene consecuencias operativas directas para el sistema de monitoreo. En primer lugar, la variabilidad cuadro a cuadro que caracteriza a los modelos OVD —fluctuaciones en puntajes de confianza, apariciones y desapariciones espurias e inconsistencias entre cuadros consecutivos (Xiao et al., 2024)— no puede filtrarse ni estabilizarse sin una capa que integre información temporal. En segundo lugar, muchas condiciones de riesgo no son eventos instantáneos, sino estados que deben persistir durante un intervalo mínimo para resultar operativamente significativos: una presencia sostenida en una zona restringida no equivale a una detección espuria de un único cuadro (Du et al., 2024). En tercer lugar, las alertas basadas en evidencia sostenida —y no en detecciones aisladas— pueden reducir la carga cognitiva y la fatiga de alerta asociada con falsos positivos frecuentes (Du et al., 2024).</w:t>
      </w:r>
    </w:p>
    <w:p w:rsidR="00000000" w:rsidDel="00000000" w:rsidP="00000000" w:rsidRDefault="00000000" w:rsidRPr="00000000" w14:paraId="000001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aporta la capa de integración temporal que la detección por cuadro no ofrece, asignando identificadores temporales internos a las entidades detectadas, modelando su estado y trayectoria a lo largo de la secuencia y produciendo trayectorias estructuradas sobre las que puede agregarse evidencia temporal (Du et al., 2024; Milan et al., 2016).</w:t>
      </w:r>
    </w:p>
    <w:p w:rsidR="00000000" w:rsidDel="00000000" w:rsidP="00000000" w:rsidRDefault="00000000" w:rsidRPr="00000000" w14:paraId="000001E6">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flxvmjnikluk" w:id="53"/>
      <w:bookmarkEnd w:id="53"/>
      <w:r w:rsidDel="00000000" w:rsidR="00000000" w:rsidRPr="00000000">
        <w:rPr>
          <w:rFonts w:ascii="Times New Roman" w:cs="Times New Roman" w:eastAsia="Times New Roman" w:hAnsi="Times New Roman"/>
          <w:b w:val="1"/>
          <w:bCs w:val="1"/>
          <w:i w:val="1"/>
          <w:iCs w:val="1"/>
          <w:color w:val="000000"/>
          <w:sz w:val="24"/>
          <w:szCs w:val="24"/>
          <w:rtl w:val="0"/>
        </w:rPr>
        <w:t xml:space="preserve">16.4.2. Fundamentos del MOT y del paradigma tracking-by-detection</w:t>
      </w:r>
    </w:p>
    <w:p w:rsidR="00000000" w:rsidDel="00000000" w:rsidP="00000000" w:rsidRDefault="00000000" w:rsidRPr="00000000" w14:paraId="000001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estima trayectorias a partir de detecciones ruidosas e incompletas. En el paradigma tracking-by-detection, un detector externo localiza objetos en cada cuadro y el tracker mantiene un estado temporal para cada trayectoria activa. Este desacoplamiento permite integrar detectores con vocabularios y arquitecturas diferentes sin reentrenar necesariamente el componente temporal, aunque conserva una dependencia inevitable: toda trayectoria se origina en las observaciones entregadas por el detector (Adžemović, 2025; Bewley et al., 2016).</w:t>
      </w:r>
    </w:p>
    <w:p w:rsidR="00000000" w:rsidDel="00000000" w:rsidP="00000000" w:rsidRDefault="00000000" w:rsidRPr="00000000" w14:paraId="000001E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 una trayectoria resume información acumulada dentro de la secuencia, como el identificador temporal, última caja observada, la antigüedad y el número de cuadros sin asociación, entre otros atributos posibles. Ese identificador sólo organiza observaciones dentro del flujo, y no representa identidad personal ni garantiza continuidad entre cámaras, sesiones o reinicios. Una trayectoria puede encontrarse en estado tentativo, activo o perdido según la evidencia disponible, pero la terminología concreta depende del método y no constituye un requisito universal (</w:t>
      </w:r>
      <w:r w:rsidDel="00000000" w:rsidR="00000000" w:rsidRPr="00000000">
        <w:rPr>
          <w:rFonts w:ascii="Times New Roman" w:cs="Times New Roman" w:eastAsia="Times New Roman" w:hAnsi="Times New Roman"/>
          <w:sz w:val="24"/>
          <w:szCs w:val="24"/>
          <w:rtl w:val="0"/>
        </w:rPr>
        <w:t xml:space="preserve">Milan</w:t>
      </w:r>
      <w:r w:rsidDel="00000000" w:rsidR="00000000" w:rsidRPr="00000000">
        <w:rPr>
          <w:rFonts w:ascii="Times New Roman" w:cs="Times New Roman" w:eastAsia="Times New Roman" w:hAnsi="Times New Roman"/>
          <w:sz w:val="24"/>
          <w:szCs w:val="24"/>
          <w:rtl w:val="0"/>
        </w:rPr>
        <w:t xml:space="preserve"> et al., 2016).</w:t>
      </w:r>
    </w:p>
    <w:p w:rsidR="00000000" w:rsidDel="00000000" w:rsidP="00000000" w:rsidRDefault="00000000" w:rsidRPr="00000000" w14:paraId="000001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seguimiento comprende tres operaciones conceptuales. La predicción estima dónde debería encontrarse una trayectoria en el cuadro siguiente; puede utilizar el último estado observado o un modelo de movimiento. La similitud cuantifica la compatibilidad entre una predicción y una detección. La intersección sobre unión (</w:t>
      </w:r>
      <w:r w:rsidDel="00000000" w:rsidR="00000000" w:rsidRPr="00000000">
        <w:rPr>
          <w:rFonts w:ascii="Times New Roman" w:cs="Times New Roman" w:eastAsia="Times New Roman" w:hAnsi="Times New Roman"/>
          <w:sz w:val="24"/>
          <w:szCs w:val="24"/>
          <w:rtl w:val="0"/>
        </w:rPr>
        <w:t xml:space="preserve">IoU</w:t>
      </w:r>
      <w:r w:rsidDel="00000000" w:rsidR="00000000" w:rsidRPr="00000000">
        <w:rPr>
          <w:rFonts w:ascii="Times New Roman" w:cs="Times New Roman" w:eastAsia="Times New Roman" w:hAnsi="Times New Roman"/>
          <w:sz w:val="24"/>
          <w:szCs w:val="24"/>
          <w:rtl w:val="0"/>
        </w:rPr>
        <w:t xml:space="preserve">) divide el área de intersección de dos cajas por el área de su unión y ofrece una señal geométrica interpretable, sin parámetros aprendidos. Su principal límite aparece cuando el desplazamiento, la oclusión o la inestabilidad de las cajas reducen la superposición aun cuando ambas observaciones correspondan a la misma entidad (Bewley et al., 2016).</w:t>
      </w:r>
    </w:p>
    <w:p w:rsidR="00000000" w:rsidDel="00000000" w:rsidP="00000000" w:rsidRDefault="00000000" w:rsidRPr="00000000" w14:paraId="000001E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convierte la matriz de similitudes en correspondencias globales. Habitualmente se formula como un problema bipartito entre trayectorias y detecciones y se resuelve con el algoritmo húngaro. Los mecanismos de gating descartan pares incompatibles antes de asignar; los umbrales controlan qué costo resulta aceptable. Las detecciones no asignadas pueden iniciar trayectorias nuevas y las trayectorias sin observación pueden conservarse durante una ventana limitada. Esta memoria tolera omisiones breves, pero incrementarla también aumenta el riesgo de </w:t>
      </w:r>
      <w:r w:rsidDel="00000000" w:rsidR="00000000" w:rsidRPr="00000000">
        <w:rPr>
          <w:rFonts w:ascii="Times New Roman" w:cs="Times New Roman" w:eastAsia="Times New Roman" w:hAnsi="Times New Roman"/>
          <w:sz w:val="24"/>
          <w:szCs w:val="24"/>
          <w:rtl w:val="0"/>
        </w:rPr>
        <w:t xml:space="preserve">reasociar</w:t>
      </w:r>
      <w:r w:rsidDel="00000000" w:rsidR="00000000" w:rsidRPr="00000000">
        <w:rPr>
          <w:rFonts w:ascii="Times New Roman" w:cs="Times New Roman" w:eastAsia="Times New Roman" w:hAnsi="Times New Roman"/>
          <w:sz w:val="24"/>
          <w:szCs w:val="24"/>
          <w:rtl w:val="0"/>
        </w:rPr>
        <w:t xml:space="preserve"> una detección a la trayectoria equivocada.</w:t>
      </w:r>
    </w:p>
    <w:p w:rsidR="00000000" w:rsidDel="00000000" w:rsidP="00000000" w:rsidRDefault="00000000" w:rsidRPr="00000000" w14:paraId="000001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apariencia agrega embeddings de reidentificación a la evidencia geométrica y puede mejorar la reasociación durante cruces u oclusiones. A cambio, introduce cómputo, parámetros entrenados y sensibilidad al dominio visual (</w:t>
      </w:r>
      <w:r w:rsidDel="00000000" w:rsidR="00000000" w:rsidRPr="00000000">
        <w:rPr>
          <w:rFonts w:ascii="Times New Roman" w:cs="Times New Roman" w:eastAsia="Times New Roman" w:hAnsi="Times New Roman"/>
          <w:sz w:val="24"/>
          <w:szCs w:val="24"/>
          <w:rtl w:val="0"/>
        </w:rPr>
        <w:t xml:space="preserve">Wojke</w:t>
      </w:r>
      <w:r w:rsidDel="00000000" w:rsidR="00000000" w:rsidRPr="00000000">
        <w:rPr>
          <w:rFonts w:ascii="Times New Roman" w:cs="Times New Roman" w:eastAsia="Times New Roman" w:hAnsi="Times New Roman"/>
          <w:sz w:val="24"/>
          <w:szCs w:val="24"/>
          <w:rtl w:val="0"/>
        </w:rPr>
        <w:t xml:space="preserve"> et al., 2017). Los métodos puramente geométricos reducen esas dependencias, pero son más frágiles cuando varias personas ocupan posiciones cercanas o desaparecen por intervalos prolongados. Ningún mecanismo recupera información que el detector nunca observó. Esto implica que falsos negativos, cajas inestables y detecciones espurias pueden fragmentar trayectorias o producir cambios de identificador.</w:t>
      </w:r>
    </w:p>
    <w:p w:rsidR="00000000" w:rsidDel="00000000" w:rsidP="00000000" w:rsidRDefault="00000000" w:rsidRPr="00000000" w14:paraId="000001E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aporte del tracker debe interpretarse como organización temporal de evidencia, no como corrección semántica automática. La evaluación del seguimiento distingue localización, asociación y continuidad; la evaluación de una alerta agrega otras decisiones —persistencia mínima, reglas de estado y tratamiento de episodios— que pertenecen al protocolo experimental. Esta separación evita trasladar métricas MOT a la plataforma completa cuando no existen anotaciones ni objetivos específicos para ese problema.</w:t>
      </w:r>
    </w:p>
    <w:p w:rsidR="00000000" w:rsidDel="00000000" w:rsidP="00000000" w:rsidRDefault="00000000" w:rsidRPr="00000000" w14:paraId="000001ED">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99ec1uejc3j9" w:id="54"/>
      <w:bookmarkEnd w:id="54"/>
      <w:r w:rsidDel="00000000" w:rsidR="00000000" w:rsidRPr="00000000">
        <w:rPr>
          <w:rFonts w:ascii="Times New Roman" w:cs="Times New Roman" w:eastAsia="Times New Roman" w:hAnsi="Times New Roman"/>
          <w:b w:val="1"/>
          <w:bCs w:val="1"/>
          <w:i w:val="1"/>
          <w:iCs w:val="1"/>
          <w:color w:val="000000"/>
          <w:sz w:val="24"/>
          <w:szCs w:val="24"/>
          <w:rtl w:val="0"/>
        </w:rPr>
        <w:t xml:space="preserve">16.4.3. Integración conceptual entre OVD y MOT</w:t>
      </w:r>
    </w:p>
    <w:p w:rsidR="00000000" w:rsidDel="00000000" w:rsidP="00000000" w:rsidRDefault="00000000" w:rsidRPr="00000000" w14:paraId="000001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OVD produce cajas, etiquetas abiertas y puntajes condicionados por el prompt, donde un tracker opera principalmente sobre geometría, movimiento y continuidad temporal. La identidad de seguimiento es, por lo tanto, un identificador interno y efímero dentro de un flujo, no una identidad personal ni un mecanismo de reconocimiento. Esta separación permite agregar evidencia por entidad a lo largo de una secuencia sin atribuir nombre o identidad civil a la persona observada.</w:t>
      </w:r>
    </w:p>
    <w:p w:rsidR="00000000" w:rsidDel="00000000" w:rsidP="00000000" w:rsidRDefault="00000000" w:rsidRPr="00000000" w14:paraId="000001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básica encadena percepción y asociación. Las detecciones de cada cuadro alimentan al tracker, que actualiza trayectorias, sobre las cuales pueden agregarse puntajes, evaluar persistencia y reconocer cambios de estado. El tracker aporta continuidad, pero no resuelve por sí mismo la incertidumbre semántica. Si la etiqueta o el puntaje del detector fluctúan, el sistema necesita una regla separada de agregación temporal para decidir qué evidencia conserva y durante cuánto tiempo.</w:t>
      </w:r>
    </w:p>
    <w:p w:rsidR="00000000" w:rsidDel="00000000" w:rsidP="00000000" w:rsidRDefault="00000000" w:rsidRPr="00000000" w14:paraId="000001F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muestra que el seguimiento puede reducir la sensibilidad a detecciones aisladas y sostener evidencia durante omisiones breves, aunque su calidad continúa limitada por la estabilidad del detector y por las oclusiones (S. Li et al., 2023, 2025). Una asociación geométricamente correcta no implica que la condición semántica esté bien interpretada. De manera inversa, una detección semánticamente correcta puede asignarse a una trayectoria equivocada. Esta distinción justifica evaluar percepción y persistencia como niveles relacionados pero no equivalentes.</w:t>
      </w:r>
    </w:p>
    <w:p w:rsidR="00000000" w:rsidDel="00000000" w:rsidP="00000000" w:rsidRDefault="00000000" w:rsidRPr="00000000" w14:paraId="000001F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métodos sin apariencia reducen dependencias de entrenamiento, mientras que los métodos con ReID pueden mejorar la reasociación a costa de modelos y datos adicionales (Adžemović, 2025; Wojke et al., 2017).</w:t>
      </w:r>
    </w:p>
    <w:p w:rsidR="00000000" w:rsidDel="00000000" w:rsidP="00000000" w:rsidRDefault="00000000" w:rsidRPr="00000000" w14:paraId="000001F2">
      <w:pPr>
        <w:pStyle w:val="Heading2"/>
        <w:spacing w:after="0" w:before="0" w:line="480" w:lineRule="auto"/>
        <w:ind w:left="0" w:firstLine="0"/>
        <w:rPr>
          <w:rFonts w:ascii="Times New Roman" w:cs="Times New Roman" w:eastAsia="Times New Roman" w:hAnsi="Times New Roman"/>
          <w:b w:val="1"/>
          <w:bCs w:val="1"/>
          <w:sz w:val="24"/>
          <w:szCs w:val="24"/>
        </w:rPr>
      </w:pPr>
      <w:bookmarkStart w:colFirst="0" w:colLast="0" w:name="_heading=h.7gzn0pv2ptd2" w:id="55"/>
      <w:bookmarkEnd w:id="55"/>
      <w:r w:rsidDel="00000000" w:rsidR="00000000" w:rsidRPr="00000000">
        <w:rPr>
          <w:rFonts w:ascii="Times New Roman" w:cs="Times New Roman" w:eastAsia="Times New Roman" w:hAnsi="Times New Roman"/>
          <w:b w:val="1"/>
          <w:bCs w:val="1"/>
          <w:sz w:val="24"/>
          <w:szCs w:val="24"/>
          <w:rtl w:val="0"/>
        </w:rPr>
        <w:t xml:space="preserve">16.5. Operación en tiempo real, transmisión y procesamiento cercano a la fuente</w:t>
      </w:r>
    </w:p>
    <w:p w:rsidR="00000000" w:rsidDel="00000000" w:rsidP="00000000" w:rsidRDefault="00000000" w:rsidRPr="00000000" w14:paraId="000001F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percepción puede ser preciso y, aun así, resultar operativamente inadecuado si la evidencia llega después del margen disponible para interpretarla. La latencia es una propiedad acumulativa del pipeline completo y no del modelo o del protocolo por separado.</w:t>
      </w:r>
    </w:p>
    <w:p w:rsidR="00000000" w:rsidDel="00000000" w:rsidP="00000000" w:rsidRDefault="00000000" w:rsidRPr="00000000" w14:paraId="000001F4">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u6kuea1fg6np" w:id="56"/>
      <w:bookmarkEnd w:id="56"/>
      <w:r w:rsidDel="00000000" w:rsidR="00000000" w:rsidRPr="00000000">
        <w:rPr>
          <w:rFonts w:ascii="Times New Roman" w:cs="Times New Roman" w:eastAsia="Times New Roman" w:hAnsi="Times New Roman"/>
          <w:b w:val="1"/>
          <w:bCs w:val="1"/>
          <w:i w:val="1"/>
          <w:iCs w:val="1"/>
          <w:color w:val="000000"/>
          <w:sz w:val="24"/>
          <w:szCs w:val="24"/>
          <w:rtl w:val="0"/>
        </w:rPr>
        <w:t xml:space="preserve">16.5.1. La latencia extremo a extremo como restricción de diseño</w:t>
      </w:r>
    </w:p>
    <w:p w:rsidR="00000000" w:rsidDel="00000000" w:rsidP="00000000" w:rsidRDefault="00000000" w:rsidRPr="00000000" w14:paraId="000001F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video analítico, la expresión latencia extremo a extremo sólo resulta interpretable cuando se declara el punto inicial y el punto final. </w:t>
      </w:r>
      <w:r w:rsidDel="00000000" w:rsidR="00000000" w:rsidRPr="00000000">
        <w:rPr>
          <w:rFonts w:ascii="Times New Roman" w:cs="Times New Roman" w:eastAsia="Times New Roman" w:hAnsi="Times New Roman"/>
          <w:i w:val="1"/>
          <w:iCs w:val="1"/>
          <w:sz w:val="24"/>
          <w:szCs w:val="24"/>
          <w:rtl w:val="0"/>
        </w:rPr>
        <w:t xml:space="preserve">Glass-to-Glass</w:t>
      </w:r>
      <w:r w:rsidDel="00000000" w:rsidR="00000000" w:rsidRPr="00000000">
        <w:rPr>
          <w:rFonts w:ascii="Times New Roman" w:cs="Times New Roman" w:eastAsia="Times New Roman" w:hAnsi="Times New Roman"/>
          <w:sz w:val="24"/>
          <w:szCs w:val="24"/>
          <w:rtl w:val="0"/>
        </w:rPr>
        <w:t xml:space="preserve"> (G2G) abarca desde la captura hasta la presentación del contenido en una interfaz. </w:t>
      </w:r>
      <w:r w:rsidDel="00000000" w:rsidR="00000000" w:rsidRPr="00000000">
        <w:rPr>
          <w:rFonts w:ascii="Times New Roman" w:cs="Times New Roman" w:eastAsia="Times New Roman" w:hAnsi="Times New Roman"/>
          <w:i w:val="1"/>
          <w:iCs w:val="1"/>
          <w:sz w:val="24"/>
          <w:szCs w:val="24"/>
          <w:rtl w:val="0"/>
        </w:rPr>
        <w:t xml:space="preserve">Glass-to-Algorithm</w:t>
      </w:r>
      <w:r w:rsidDel="00000000" w:rsidR="00000000" w:rsidRPr="00000000">
        <w:rPr>
          <w:rFonts w:ascii="Times New Roman" w:cs="Times New Roman" w:eastAsia="Times New Roman" w:hAnsi="Times New Roman"/>
          <w:sz w:val="24"/>
          <w:szCs w:val="24"/>
          <w:rtl w:val="0"/>
        </w:rPr>
        <w:t xml:space="preserve"> (G2A) termina cuando el resultado algorítmico asociado a un cuadro queda disponible (Axis Communications AB, 2015; Bachhuber et al., 2018). En una plataforma de alertas, G2A caracteriza un subtramo instrumental por cuadro, donde no incluye por sí solo la asociación temporal, la ventana necesaria para confirmar una condición, el registro de la alerta ni su distribución.</w:t>
      </w:r>
    </w:p>
    <w:p w:rsidR="00000000" w:rsidDel="00000000" w:rsidP="00000000" w:rsidRDefault="00000000" w:rsidRPr="00000000" w14:paraId="000001F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percepción humana aporta una referencia, no una cota universal. Retardos alrededor de 100 ms comienzan a afectar la sensación de inmediatez en tareas interactivas, y diferencias de decenas de milisegundos pueden percibirse en tareas de manipulación directa (Card et al., 2008; Deber et al., 2015). Un sistema de supervisión puede admitir presupuestos mayores según el perfil temporal del riesgo, el tipo de intervención y el papel del operador. La magnitud admisible debe fijarse en el protocolo experimental y relacionarse con la condición evaluada.</w:t>
      </w:r>
    </w:p>
    <w:p w:rsidR="00000000" w:rsidDel="00000000" w:rsidP="00000000" w:rsidRDefault="00000000" w:rsidRPr="00000000" w14:paraId="000001F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total es acumulativa. Captura, suministro de la fuente, transformaciones, copias de memoria e inferencia aportan retardos de naturaleza diferente. Optimizar un componente no garantiza una reducción equivalente del total si otro domina la ruta crítica. Además, una tasa media compatible con tiempo real puede ocultar colas crecientes o episodios de saturación; por eso la medición debe considerar percentiles, backlog y comportamiento sostenido, no sólo el promedio.</w:t>
      </w:r>
    </w:p>
    <w:p w:rsidR="00000000" w:rsidDel="00000000" w:rsidP="00000000" w:rsidRDefault="00000000" w:rsidRPr="00000000" w14:paraId="000001F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buffering ilustra el compromiso central. Una cola o jitter buffer absorbe variaciones y desacopla ritmos entre productor y consumidor, pero cada unidad retenida incrementa el retardo. Es por esto que el diseño debe presupuestar los buffers y declarar sus políticas, ya que eliminarlos indiscriminadamente puede producir pérdidas e inestabilidad, mientras </w:t>
      </w:r>
      <w:r w:rsidDel="00000000" w:rsidR="00000000" w:rsidRPr="00000000">
        <w:rPr>
          <w:rFonts w:ascii="Times New Roman" w:cs="Times New Roman" w:eastAsia="Times New Roman" w:hAnsi="Times New Roman"/>
          <w:sz w:val="24"/>
          <w:szCs w:val="24"/>
          <w:rtl w:val="0"/>
        </w:rPr>
        <w:t xml:space="preserve">sobredimensionarlos</w:t>
      </w:r>
      <w:r w:rsidDel="00000000" w:rsidR="00000000" w:rsidRPr="00000000">
        <w:rPr>
          <w:rFonts w:ascii="Times New Roman" w:cs="Times New Roman" w:eastAsia="Times New Roman" w:hAnsi="Times New Roman"/>
          <w:sz w:val="24"/>
          <w:szCs w:val="24"/>
          <w:rtl w:val="0"/>
        </w:rPr>
        <w:t xml:space="preserve"> convierte un déficit de throughput en latencia acumulada (Axis Communications AB, 2015; Gettys &amp; Nichols, 2012).</w:t>
      </w:r>
    </w:p>
    <w:p w:rsidR="00000000" w:rsidDel="00000000" w:rsidP="00000000" w:rsidRDefault="00000000" w:rsidRPr="00000000" w14:paraId="000001F9">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jbcohay8uq1p" w:id="57"/>
      <w:bookmarkEnd w:id="57"/>
      <w:r w:rsidDel="00000000" w:rsidR="00000000" w:rsidRPr="00000000">
        <w:rPr>
          <w:rFonts w:ascii="Times New Roman" w:cs="Times New Roman" w:eastAsia="Times New Roman" w:hAnsi="Times New Roman"/>
          <w:b w:val="1"/>
          <w:bCs w:val="1"/>
          <w:i w:val="1"/>
          <w:iCs w:val="1"/>
          <w:color w:val="000000"/>
          <w:sz w:val="24"/>
          <w:szCs w:val="24"/>
          <w:rtl w:val="0"/>
        </w:rPr>
        <w:t xml:space="preserve">16.5.2. Descomposición instrumental de Glass-to-Algorithm</w:t>
      </w:r>
    </w:p>
    <w:p w:rsidR="00000000" w:rsidDel="00000000" w:rsidP="00000000" w:rsidRDefault="00000000" w:rsidRPr="00000000" w14:paraId="000001F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una notación consistente con el protocolo experimental, el subtramo G2A se descompone en cuatro componentes observables:</w:t>
      </w:r>
    </w:p>
    <w:p w:rsidR="00000000" w:rsidDel="00000000" w:rsidP="00000000" w:rsidRDefault="00000000" w:rsidRPr="00000000" w14:paraId="000001FB">
      <w:pPr>
        <w:spacing w:after="0" w:before="0" w:line="480" w:lineRule="auto"/>
        <w:ind w:firstLine="720"/>
        <w:rPr>
          <w:rFonts w:ascii="Times New Roman" w:cs="Times New Roman" w:eastAsia="Times New Roman" w:hAnsi="Times New Roman"/>
          <w:sz w:val="24"/>
          <w:szCs w:val="24"/>
        </w:rPr>
      </w:pPr>
      <w:sdt>
        <w:sdtPr>
          <w:id w:val="-449242767"/>
          <w:tag w:val="goog_rdk_7"/>
        </w:sdtPr>
        <w:sdtContent>
          <w:commentRangeStart w:id="7"/>
        </w:sdtContent>
      </w:sdt>
      <w:r w:rsidDel="00000000" w:rsidR="00000000" w:rsidRPr="00000000">
        <w:rPr>
          <w:rFonts w:ascii="Times New Roman" w:cs="Times New Roman" w:eastAsia="Times New Roman" w:hAnsi="Times New Roman"/>
          <w:sz w:val="24"/>
          <w:szCs w:val="24"/>
          <w:rtl w:val="0"/>
        </w:rPr>
        <w:t xml:space="preserve">t_G2A = t_capture + t_transport + t_preprocess + t_inference (1)</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F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t_capture representa la adquisición o lectura del cuadro hasta su disponibilidad para el host o consumidor instrumentado. t_transport comprende el suministro efectivo de la fuente —red, stream o lectura local—, incluidos los buffers y operaciones de entrada/salida que correspondan. t_preprocess agrupa decodificación cuando aplique, conversión de formato, redimensionado, normalización y transferencias de memoria. t_inference mide la ejecución del modelo hasta producir su salida algorítmica. La separación evita introducir renderizado o notificación en una métrica que termina antes de la interfaz (Bachhuber et al., 2018; H. Wang et al., 2022).</w:t>
      </w:r>
    </w:p>
    <w:p w:rsidR="00000000" w:rsidDel="00000000" w:rsidP="00000000" w:rsidRDefault="00000000" w:rsidRPr="00000000" w14:paraId="000001FD">
      <w:pPr>
        <w:spacing w:after="0" w:before="0" w:line="480" w:lineRule="auto"/>
        <w:ind w:firstLine="720"/>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11 sintetiza los cuatro componentes instrumentales y los criterios necesarios para interpretar cada uno.</w:t>
      </w:r>
      <w:r w:rsidDel="00000000" w:rsidR="00000000" w:rsidRPr="00000000">
        <w:rPr>
          <w:rtl w:val="0"/>
        </w:rPr>
      </w:r>
    </w:p>
    <w:p w:rsidR="00000000" w:rsidDel="00000000" w:rsidP="00000000" w:rsidRDefault="00000000" w:rsidRPr="00000000" w14:paraId="000001FE">
      <w:pPr>
        <w:keepNext w:val="1"/>
        <w:keepLines w:val="1"/>
        <w:pageBreakBefore w:val="1"/>
        <w:spacing w:after="0" w:before="0" w:line="48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11</w:t>
      </w:r>
      <w:r w:rsidDel="00000000" w:rsidR="00000000" w:rsidRPr="00000000">
        <w:rPr>
          <w:rtl w:val="0"/>
        </w:rPr>
      </w:r>
    </w:p>
    <w:p w:rsidR="00000000" w:rsidDel="00000000" w:rsidP="00000000" w:rsidRDefault="00000000" w:rsidRPr="00000000" w14:paraId="000001FF">
      <w:pPr>
        <w:keepNext w:val="1"/>
        <w:keepLines w:val="1"/>
        <w:spacing w:after="12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Componentes instrumentales del subtramo Glass-to-Algorithm</w:t>
      </w:r>
      <w:r w:rsidDel="00000000" w:rsidR="00000000" w:rsidRPr="00000000">
        <w:rPr>
          <w:rtl w:val="0"/>
        </w:rPr>
      </w:r>
    </w:p>
    <w:tbl>
      <w:tblPr>
        <w:tblStyle w:val="Table10"/>
        <w:tblW w:w="1284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695"/>
        <w:gridCol w:w="4158.333333333334"/>
        <w:gridCol w:w="3776.666666666667"/>
        <w:gridCol w:w="3210"/>
        <w:tblGridChange w:id="0">
          <w:tblGrid>
            <w:gridCol w:w="1695"/>
            <w:gridCol w:w="4158.333333333334"/>
            <w:gridCol w:w="3776.666666666667"/>
            <w:gridCol w:w="3210"/>
          </w:tblGrid>
        </w:tblGridChange>
      </w:tblGrid>
      <w:tr>
        <w:trPr>
          <w:cantSplit w:val="1"/>
          <w:tblHeader w:val="1"/>
        </w:trPr>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0">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Componente</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1">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Definición operativa</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2">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Fuentes principales de variabilidad</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3">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Criterio de interpretación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t_capture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Captura, lectura o dequeue del cuadro en el punto temporal definido por la instrumentación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Período de cuadro, exposición, ISP y buffering de la fuente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sdt>
              <w:sdtPr>
                <w:id w:val="1018098549"/>
                <w:tag w:val="goog_rdk_8"/>
              </w:sdtPr>
              <w:sdtContent>
                <w:r w:rsidDel="00000000" w:rsidR="00000000" w:rsidRPr="00000000">
                  <w:rPr>
                    <w:rFonts w:ascii="Gungsuh" w:cs="Gungsuh" w:eastAsia="Gungsuh" w:hAnsi="Gungsuh"/>
                    <w:i w:val="0"/>
                    <w:iCs w:val="0"/>
                    <w:color w:val="000000"/>
                    <w:sz w:val="24"/>
                    <w:szCs w:val="24"/>
                    <w:rtl w:val="0"/>
                  </w:rPr>
                  <w:t xml:space="preserve">Debe declararse el origen exacto del timestamp; a 30 fps, un período de cuadro es ≈33,3 ms</w:t>
                </w:r>
              </w:sdtContent>
            </w:sdt>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t_transport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Entrega del cuadro desde la fuente al consumidor del pipeline, por red, stream o I/O local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Jitter, colas, pérdida, retransmisiones, buffers y ritmo de lectura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cola y los percentiles describen mejor la estabilidad que la media aislada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t_preprocess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Preparación de la entrada del modelo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Decodificación, formato de píxel, resize, normalización y movimiento CPU–GPU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Debe medirse por configuración porque las copias de memoria pueden dominar en pipelines acelerados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t_inference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Ejecución del modelo hasta obtener detecciones o resultados equivalentes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Arquitectura, resolución, vocabulario, runtime y hardware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literatura reporta órdenes de 10–30 ms para alternativas one-stage optimizadas y 50–150 ms para Transformers sin optimización equivalente</w:t>
            </w:r>
            <w:r w:rsidDel="00000000" w:rsidR="00000000" w:rsidRPr="00000000">
              <w:rPr>
                <w:rtl w:val="0"/>
              </w:rPr>
            </w:r>
          </w:p>
        </w:tc>
      </w:tr>
    </w:tbl>
    <w:p w:rsidR="00000000" w:rsidDel="00000000" w:rsidP="00000000" w:rsidRDefault="00000000" w:rsidRPr="00000000" w14:paraId="00000214">
      <w:pPr>
        <w:keepLines w:val="1"/>
        <w:spacing w:after="0" w:before="120" w:line="480" w:lineRule="auto"/>
        <w:ind w:left="0" w:right="0" w:firstLine="0"/>
        <w:rPr>
          <w:rFonts w:ascii="Times New Roman" w:cs="Times New Roman" w:eastAsia="Times New Roman" w:hAnsi="Times New Roman"/>
          <w:i w:val="0"/>
          <w:iCs w:val="0"/>
          <w:color w:val="000000"/>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Los rangos son referencias contextuales y no garantías. G2A no equivale a latencia de alerta: el seguimiento, el razonamiento, la ventana de persistencia y la distribución pertenecen a tramos posteriores. Fuente: elaboración propia basada en Axis Communications AB (2015), Bachhuber et al. (2018), Cheng et al. (2024), H. Wang et al. (2022) y Ren, Jiang, et al. (2024).</w:t>
      </w:r>
    </w:p>
    <w:p w:rsidR="00000000" w:rsidDel="00000000" w:rsidP="00000000" w:rsidRDefault="00000000" w:rsidRPr="00000000" w14:paraId="00000215">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captura está condicionada por el ritmo de origen. A 30 fps, el período entre cuadros es de aproximadamente 33,3 ms, aunque el punto de observación puede encontrarse después de exposición, procesamiento interno o buffers de cámara. Por ello, “captura” no debe suponerse equivalente al instante físico en que la luz alcanza el sensor.</w:t>
      </w:r>
    </w:p>
    <w:p w:rsidR="00000000" w:rsidDel="00000000" w:rsidP="00000000" w:rsidRDefault="00000000" w:rsidRPr="00000000" w14:paraId="0000021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transporte es el componente más expuesto a variación externa. Propagación y procesamiento de red suelen ser relativamente estables, mientras que el encolado, el jitter y las retransmisiones dependen de la carga. En una fuente local, el término sigue existiendo como costo de lectura, demultiplexado o buffering. Lo que compromete el tiempo real no es sólo un valor medio elevado, sino una cola que crece porque el consumidor procesa por debajo del ritmo de entrada. Percentiles y ocupación de cola permiten distinguir un episodio aislado de un déficit sostenido (Gettys &amp; Nichols, 2012; Kurose &amp; Ross, 2021).</w:t>
      </w:r>
    </w:p>
    <w:p w:rsidR="00000000" w:rsidDel="00000000" w:rsidP="00000000" w:rsidRDefault="00000000" w:rsidRPr="00000000" w14:paraId="0000021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preprocesamiento debe incluir todas las transformaciones efectivamente ejecutadas antes del modelo. La decodificación, la conversión de color, el redimensionado, la normalización y las transferencias CPU–GPU pueden constituir una fracción relevante, especialmente cuando se introducen copias intermedias. Agruparlas bajo un término explícito evita atribuir a la inferencia demoras que pertenecen a la preparación de datos.</w:t>
      </w:r>
    </w:p>
    <w:p w:rsidR="00000000" w:rsidDel="00000000" w:rsidP="00000000" w:rsidRDefault="00000000" w:rsidRPr="00000000" w14:paraId="00000218">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inferencia depende de arquitectura, resolución, número de consultas, runtime y hardware. Los rangos publicados para alternativas one-stage optimizadas y Transformers no optimizados son órdenes de magnitud obtenidos en configuraciones heterogéneas, por lo que no deben trasladarse como predicción. La medición por componentes permite identificar si una configuración está limitada por el modelo, por la fuente o por el movimiento de datos, y separa el costo por cuadro de la confirmación temporal de una alerta.</w:t>
      </w:r>
    </w:p>
    <w:p w:rsidR="00000000" w:rsidDel="00000000" w:rsidP="00000000" w:rsidRDefault="00000000" w:rsidRPr="00000000" w14:paraId="00000219">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límites deben ser observables y utilizar un dominio temporal coherente. Cuando el origen no expone el instante físico de captura, t_capture comienza en el punto más temprano que la aplicación puede medir y esa convención debe declararse. Los timestamps de CPU y acelerador tampoco son intercambiables sin sincronización: una operación asíncrona puede parecer concluida antes de que el dispositivo haya terminado el trabajo. Por ello, los límites de t_preprocess y t_inference deben definirse con las barreras o sincronizaciones que correspondan al runtime (H. Wang et al., 2022).</w:t>
      </w:r>
    </w:p>
    <w:p w:rsidR="00000000" w:rsidDel="00000000" w:rsidP="00000000" w:rsidRDefault="00000000" w:rsidRPr="00000000" w14:paraId="0000021A">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expresa el recorrido temporal de una unidad, pero no implica que la tasa de procesamiento sea el inverso de esa latencia. En un pipeline, distintas etapas pueden solaparse. Por ejemplo, mientras un cuadro se infiere, otro puede estar siendo capturado o preparado. El throughput describe cuántas unidades se completan por unidad de tiempo, mientras que la latencia describe cuánto tarda una unidad desde su origen hasta su salida. Para localizar cuellos de botella deben medirse ambos y evitarse sumas de promedios obtenidos sobre corridas o poblaciones diferentes (Bachhuber et al., 2018; Bass et al., 2022).</w:t>
      </w:r>
    </w:p>
    <w:p w:rsidR="00000000" w:rsidDel="00000000" w:rsidP="00000000" w:rsidRDefault="00000000" w:rsidRPr="00000000" w14:paraId="0000021B">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reporte reproducible debe declarar período de calentamiento, tamaño de lote, resolución, vocabulario o número de consultas, precisión numérica, runtime, fuente de video y política de colas. Además del tamaño muestral y la tendencia central, conviene informar percentiles de latencia, cuadros descartados, ocupación máxima de cola y throughput s</w:t>
      </w:r>
      <w:r w:rsidDel="00000000" w:rsidR="00000000" w:rsidRPr="00000000">
        <w:rPr>
          <w:rFonts w:ascii="Times New Roman" w:cs="Times New Roman" w:eastAsia="Times New Roman" w:hAnsi="Times New Roman"/>
          <w:color w:val="000000"/>
          <w:sz w:val="24"/>
          <w:szCs w:val="24"/>
          <w:rtl w:val="0"/>
        </w:rPr>
        <w:t xml:space="preserve">ostenido. Estas variables permiten </w:t>
      </w:r>
      <w:r w:rsidDel="00000000" w:rsidR="00000000" w:rsidRPr="00000000">
        <w:rPr>
          <w:rFonts w:ascii="Times New Roman" w:cs="Times New Roman" w:eastAsia="Times New Roman" w:hAnsi="Times New Roman"/>
          <w:sz w:val="24"/>
          <w:szCs w:val="24"/>
          <w:rtl w:val="0"/>
        </w:rPr>
        <w:t xml:space="preserve">distinguir la variación</w:t>
      </w:r>
      <w:r w:rsidDel="00000000" w:rsidR="00000000" w:rsidRPr="00000000">
        <w:rPr>
          <w:rFonts w:ascii="Times New Roman" w:cs="Times New Roman" w:eastAsia="Times New Roman" w:hAnsi="Times New Roman"/>
          <w:color w:val="000000"/>
          <w:sz w:val="24"/>
          <w:szCs w:val="24"/>
          <w:rtl w:val="0"/>
        </w:rPr>
        <w:t xml:space="preserve"> o</w:t>
      </w:r>
      <w:r w:rsidDel="00000000" w:rsidR="00000000" w:rsidRPr="00000000">
        <w:rPr>
          <w:rFonts w:ascii="Times New Roman" w:cs="Times New Roman" w:eastAsia="Times New Roman" w:hAnsi="Times New Roman"/>
          <w:sz w:val="24"/>
          <w:szCs w:val="24"/>
          <w:rtl w:val="0"/>
        </w:rPr>
        <w:t xml:space="preserve">casional de saturación sistemática y vincular el resultado global con el componente que la produce (Gettys &amp; Nichols, 2012).</w:t>
      </w:r>
    </w:p>
    <w:p w:rsidR="00000000" w:rsidDel="00000000" w:rsidP="00000000" w:rsidRDefault="00000000" w:rsidRPr="00000000" w14:paraId="0000021C">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16.5.3. Separación de planos y flujo productor-consumidor</w:t>
      </w:r>
    </w:p>
    <w:p w:rsidR="00000000" w:rsidDel="00000000" w:rsidP="00000000" w:rsidRDefault="00000000" w:rsidRPr="00000000" w14:paraId="0000021D">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análisis continuo resulta útil distinguir una ruta de datos —captura, transformación e inferencia— de una ruta de control que administra configuración, eventos y coordinación. La separación deriva de patrones de planos de datos y control y permite optimizar el flujo continuo sin bloquearlo con operaciones discretas de gobierno o notificación (Kreutz et al., 2015). No prescribe una distribución física ni una tecnología particular, lo que implica que ambos planos pueden coexistir en un host o distribuirse cuando el diseño lo justifique.</w:t>
      </w:r>
    </w:p>
    <w:p w:rsidR="00000000" w:rsidDel="00000000" w:rsidP="00000000" w:rsidRDefault="00000000" w:rsidRPr="00000000" w14:paraId="0000021E">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de datos prioriza throughput sostenido, latencia acotada y un orden definido de transformaciones. La ruta de control procesa comandos, cambios de configuración y eventos a ritmos no necesariamente ligados a la tasa de cuadros. Mantener responsabilidades diferenciadas facilita aislar cuellos de botella y evita que una operación de registro o notificación bloquee la recepción del siguiente cuadro (Bass et al., 2022). </w:t>
      </w:r>
    </w:p>
    <w:p w:rsidR="00000000" w:rsidDel="00000000" w:rsidP="00000000" w:rsidRDefault="00000000" w:rsidRPr="00000000" w14:paraId="0000021F">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crítica puede modelarse como una cadena productor-consumidor. Cada etapa produce unidades que la siguiente consume, siendo que, cuando el productor supera sostenidamente la capacidad del consumidor, una cola sin límite convierte el déficit de throughput en latencia creciente. Las colas acotadas, la contrapresión y las políticas explícitas de descarte, muestreo o sustitución permiten mantener el sistema observable. La política adecuada depende de la semántica: conservar todas las unidades puede ser necesario para relectura reproducible, mientras que una ruta viva puede priorizar evidencia reciente para evitar procesar cuadros obsoletos.</w:t>
      </w:r>
    </w:p>
    <w:p w:rsidR="00000000" w:rsidDel="00000000" w:rsidP="00000000" w:rsidRDefault="00000000" w:rsidRPr="00000000" w14:paraId="00000220">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desacoplamiento no elimina la necesidad de medir. Deben observarse ritmo de producción, ritmo de consumo, ocupación de cola, unidades descartadas y tiempo de residencia. Un sistema que reporta FPS aceptables pero acumula backlog no opera en tiempo real; simplemente procesa con retraso.</w:t>
      </w:r>
    </w:p>
    <w:p w:rsidR="00000000" w:rsidDel="00000000" w:rsidP="00000000" w:rsidRDefault="00000000" w:rsidRPr="00000000" w14:paraId="00000221">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eventos discretos, el patrón publish/subscribe separa productores y consumidores: el emisor publica sin conocer todos los destinos y cada suscriptor procesa los tipos de evento pertinentes. Conviene distinguir tres responsabilidades: el transporte en ejecución entrega eventos a consumidores activos, la persistencia conserva hechos para relectura o auditoría y la distribución externa comunica una alerta. Un bus puede desacoplar componentes, pero no garantiza por sí mismo que los eventos sobrevivan a una desconexión, ya que la durabilidad requiere un repositorio o una política de retención independiente de la mensajería en vivo (Cugola &amp; Margara, 2012).</w:t>
      </w:r>
    </w:p>
    <w:p w:rsidR="00000000" w:rsidDel="00000000" w:rsidP="00000000" w:rsidRDefault="00000000" w:rsidRPr="00000000" w14:paraId="00000222">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garantías de entrega también forman parte del contrato conceptual. Una entrega al menos una vez puede producir reenvíos y, por lo tanto, duplicados, mientras que una entrega como máximo una vez puede perder mensajes y exactamente una vez exige coordinación adicional. Cuando una alerta no debe producir efectos repetidos, el evento necesita una identidad estable y el consumidor debe procesarlo de manera idempotente. MQTT QoS 1 ejemplifica la primera semántica mediante confirmación, sin convertirla en una garantía de ausencia de duplicados (OASIS, 2019).</w:t>
      </w:r>
    </w:p>
    <w:p w:rsidR="00000000" w:rsidDel="00000000" w:rsidP="00000000" w:rsidRDefault="00000000" w:rsidRPr="00000000" w14:paraId="00000223">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16.5.4. Computación en el borde y filtrado cercano al origen</w:t>
      </w:r>
    </w:p>
    <w:p w:rsidR="00000000" w:rsidDel="00000000" w:rsidP="00000000" w:rsidRDefault="00000000" w:rsidRPr="00000000" w14:paraId="00000224">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utiliza edge, fog y cloud con fronteras variables. En este trabajo, edge designa cómputo en el dispositivo, gateway inmediato o servidor próximo a la fuente, fog una</w:t>
      </w:r>
      <w:r w:rsidDel="00000000" w:rsidR="00000000" w:rsidRPr="00000000">
        <w:rPr>
          <w:rFonts w:ascii="Times New Roman" w:cs="Times New Roman" w:eastAsia="Times New Roman" w:hAnsi="Times New Roman"/>
          <w:color w:val="000000"/>
          <w:sz w:val="24"/>
          <w:szCs w:val="24"/>
          <w:rtl w:val="0"/>
        </w:rPr>
        <w:t xml:space="preserve"> capa intermedia de agregación cercana o regional y cloud </w:t>
      </w:r>
      <w:r w:rsidDel="00000000" w:rsidR="00000000" w:rsidRPr="00000000">
        <w:rPr>
          <w:rFonts w:ascii="Times New Roman" w:cs="Times New Roman" w:eastAsia="Times New Roman" w:hAnsi="Times New Roman"/>
          <w:sz w:val="24"/>
          <w:szCs w:val="24"/>
          <w:rtl w:val="0"/>
        </w:rPr>
        <w:t xml:space="preserve">centros de datos centralizados (Iorga et al., 2018; Yousefpour et al., 2019). La convención permite describir tres patrones: procesamiento en el dispositivo, procesamiento en un nodo cercano y partición colaborativa entre niveles (Chen &amp; Ran, 2019).</w:t>
      </w:r>
    </w:p>
    <w:p w:rsidR="00000000" w:rsidDel="00000000" w:rsidP="00000000" w:rsidRDefault="00000000" w:rsidRPr="00000000" w14:paraId="00000225">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Acercar cómputo al origen puede reducir ida y vuelta de red, ancho de banda y exposición de video crudo, pero introduce límites de memoria, energía y temperatura (Satyanarayanan, 2017; Shi et al., 2016). La nube ofrece elasticidad y recursos centralizados, aunque depende </w:t>
      </w:r>
      <w:r w:rsidDel="00000000" w:rsidR="00000000" w:rsidRPr="00000000">
        <w:rPr>
          <w:rFonts w:ascii="Times New Roman" w:cs="Times New Roman" w:eastAsia="Times New Roman" w:hAnsi="Times New Roman"/>
          <w:sz w:val="24"/>
          <w:szCs w:val="24"/>
          <w:rtl w:val="0"/>
        </w:rPr>
        <w:t xml:space="preserve">de conectividad</w:t>
      </w:r>
      <w:r w:rsidDel="00000000" w:rsidR="00000000" w:rsidRPr="00000000">
        <w:rPr>
          <w:rFonts w:ascii="Times New Roman" w:cs="Times New Roman" w:eastAsia="Times New Roman" w:hAnsi="Times New Roman"/>
          <w:sz w:val="24"/>
          <w:szCs w:val="24"/>
          <w:rtl w:val="0"/>
        </w:rPr>
        <w:t xml:space="preserve"> y amplía el recorrido del dato. Una capa </w:t>
      </w:r>
      <w:r w:rsidDel="00000000" w:rsidR="00000000" w:rsidRPr="00000000">
        <w:rPr>
          <w:rFonts w:ascii="Times New Roman" w:cs="Times New Roman" w:eastAsia="Times New Roman" w:hAnsi="Times New Roman"/>
          <w:sz w:val="24"/>
          <w:szCs w:val="24"/>
          <w:rtl w:val="0"/>
        </w:rPr>
        <w:t xml:space="preserve">fog</w:t>
      </w:r>
      <w:r w:rsidDel="00000000" w:rsidR="00000000" w:rsidRPr="00000000">
        <w:rPr>
          <w:rFonts w:ascii="Times New Roman" w:cs="Times New Roman" w:eastAsia="Times New Roman" w:hAnsi="Times New Roman"/>
          <w:sz w:val="24"/>
          <w:szCs w:val="24"/>
          <w:rtl w:val="0"/>
        </w:rPr>
        <w:t xml:space="preserve"> puede agregar varias fuentes, aplicar políticas o resumir información antes de enviarla a niveles superiores. Ningún nivel es intrínsecamente superior y su conveniencia depende del tramo que se desplace y de la carga sostenida.</w:t>
      </w:r>
    </w:p>
    <w:p w:rsidR="00000000" w:rsidDel="00000000" w:rsidP="00000000" w:rsidRDefault="00000000" w:rsidRPr="00000000" w14:paraId="00000226">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 operación cercana al sensor equivale a </w:t>
      </w:r>
      <w:r w:rsidDel="00000000" w:rsidR="00000000" w:rsidRPr="00000000">
        <w:rPr>
          <w:rFonts w:ascii="Times New Roman" w:cs="Times New Roman" w:eastAsia="Times New Roman" w:hAnsi="Times New Roman"/>
          <w:sz w:val="24"/>
          <w:szCs w:val="24"/>
          <w:rtl w:val="0"/>
        </w:rPr>
        <w:t xml:space="preserve">inferencia</w:t>
      </w:r>
      <w:r w:rsidDel="00000000" w:rsidR="00000000" w:rsidRPr="00000000">
        <w:rPr>
          <w:rFonts w:ascii="Times New Roman" w:cs="Times New Roman" w:eastAsia="Times New Roman" w:hAnsi="Times New Roman"/>
          <w:sz w:val="24"/>
          <w:szCs w:val="24"/>
          <w:rtl w:val="0"/>
        </w:rPr>
        <w:t xml:space="preserve"> completa en el borde. Una cámara inteligente puede ejecutar adquisición, filtrado, selección de cuadros, conversión o preprocesamiento y enviar sólo las unidades necesarias al consumidor principal. Este reparto reduce el consumo aguas abajo sin atribuir al dispositivo capacidades de detección que no ejecuta. La distinción es importante para analizar gateways y cámaras programables sin confundir prefiltrado con despliegue integral del modelo.</w:t>
      </w:r>
    </w:p>
    <w:p w:rsidR="00000000" w:rsidDel="00000000" w:rsidP="00000000" w:rsidRDefault="00000000" w:rsidRPr="00000000" w14:paraId="00000227">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video analytics, filtrar o resumir cerca del origen disminuye tráfico y carga posterior. Ananthanarayanan et al. (2017) muestran que procesar cerca de las cámaras permite reducir el ancho de banda y distribuir recursos en cargas de video a escala. En un prototipo, el mismo principio puede evaluarse de forma acotada, midiendocuánto trabajo se ejecuta antes del host, qué evidencia se descarta y qué impacto tiene esa decisión sobre calidad y latencia.</w:t>
      </w:r>
    </w:p>
    <w:p w:rsidR="00000000" w:rsidDel="00000000" w:rsidP="00000000" w:rsidRDefault="00000000" w:rsidRPr="00000000" w14:paraId="00000228">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partición debe evaluarse por latencia, throughput, privacidad, capacidad sostenida y reproducibilidad. Métricas nominales como TOPS no bastan para anticipar el comportamiento de una aplicación. Bajo carga prolongada, límites térmicos, memoria compartida y variaciones del runtime pueden degradar el ritmo; por ello, los percentiles de latencia, el uso de memoria, el throughput efectivo y los eventos de saturación resultan más informativos que un máximo instantáneo (Satyanarayanan, 2017; Shi et al., 2016). La decisión de ejecutar inferencia en el borde, en un host cercano o en infraestructura remota debe mantenerse separada de la decisión de filtrar cerca del origen.</w:t>
      </w:r>
    </w:p>
    <w:p w:rsidR="00000000" w:rsidDel="00000000" w:rsidP="00000000" w:rsidRDefault="00000000" w:rsidRPr="00000000" w14:paraId="00000229">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filtrado cercano al origen introduce, a su vez, un compromiso metodológico. Seleccionar cuadros, reducir resolución, limitar regiones o descartar unidades disminuye carga y ancho de banda, pero modifica la evidencia que recibe el detector y puede afectar la continuidad temporal. Por ello, la política de prefiltrado debe declararse junto con la fuente y conservar parámetros suficientes para reproducirla.</w:t>
      </w:r>
    </w:p>
    <w:p w:rsidR="00000000" w:rsidDel="00000000" w:rsidP="00000000" w:rsidRDefault="00000000" w:rsidRPr="00000000" w14:paraId="0000022A">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Desplazar procesamiento hacia la fuente puede reducir la transmisión de video crudo, pero no elimina por sí mismo el tratamiento de datos personales. Metadatos temporales, zonas, trayectorias y recortes pueden mantener capacidad de identificación indirecta, por lo que la minimización debe evaluarse sobre el conjunto de datos producido y no únicamente sobre la ubicación física del cómputo (European Data Protection Board, 2020).</w:t>
      </w:r>
    </w:p>
    <w:p w:rsidR="00000000" w:rsidDel="00000000" w:rsidP="00000000" w:rsidRDefault="00000000" w:rsidRPr="00000000" w14:paraId="0000022B">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16.5.5. Brecha de evaluación integrada</w:t>
      </w:r>
    </w:p>
    <w:p w:rsidR="00000000" w:rsidDel="00000000" w:rsidP="00000000" w:rsidRDefault="00000000" w:rsidRPr="00000000" w14:paraId="0000022C">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fuentes principales de investigación caracterizan por separado protocolos, códecs, hardware y modelos de inferencia, pero no ofrecen un marco universal para presupuestar la latencia extremo a extremo de un pipeline que integra detección open-vocabulary. Los resultados aislados sólo funcionan como referencias externas; la adecuación debe verificarse mediante instrumentación del sistema completo y una definición explícita del tramo medido. Esta brecha se corresponde con la identificada en la sección 15.4.3.1 y fundamenta la necesidad de un pro</w:t>
      </w:r>
      <w:r w:rsidDel="00000000" w:rsidR="00000000" w:rsidRPr="00000000">
        <w:rPr>
          <w:rFonts w:ascii="Times New Roman" w:cs="Times New Roman" w:eastAsia="Times New Roman" w:hAnsi="Times New Roman"/>
          <w:color w:val="000000"/>
          <w:sz w:val="24"/>
          <w:szCs w:val="24"/>
          <w:rtl w:val="0"/>
        </w:rPr>
        <w:t xml:space="preserve">tocolo reproducible sin anticipar la s</w:t>
      </w:r>
      <w:r w:rsidDel="00000000" w:rsidR="00000000" w:rsidRPr="00000000">
        <w:rPr>
          <w:rFonts w:ascii="Times New Roman" w:cs="Times New Roman" w:eastAsia="Times New Roman" w:hAnsi="Times New Roman"/>
          <w:sz w:val="24"/>
          <w:szCs w:val="24"/>
          <w:rtl w:val="0"/>
        </w:rPr>
        <w:t xml:space="preserve">elección del stack.</w:t>
      </w:r>
    </w:p>
    <w:p w:rsidR="00000000" w:rsidDel="00000000" w:rsidP="00000000" w:rsidRDefault="00000000" w:rsidRPr="00000000" w14:paraId="0000022D">
      <w:pPr>
        <w:pStyle w:val="Heading2"/>
        <w:spacing w:after="0" w:before="0" w:line="480" w:lineRule="auto"/>
        <w:rPr>
          <w:rFonts w:ascii="Times New Roman" w:cs="Times New Roman" w:eastAsia="Times New Roman" w:hAnsi="Times New Roman"/>
          <w:b w:val="1"/>
          <w:bCs w:val="1"/>
          <w:sz w:val="24"/>
          <w:szCs w:val="24"/>
        </w:rPr>
      </w:pPr>
      <w:sdt>
        <w:sdtPr>
          <w:id w:val="177025297"/>
          <w:tag w:val="goog_rdk_9"/>
        </w:sdtPr>
        <w:sdtContent>
          <w:commentRangeStart w:id="8"/>
        </w:sdtContent>
      </w:sdt>
      <w:r w:rsidDel="00000000" w:rsidR="00000000" w:rsidRPr="00000000">
        <w:rPr>
          <w:rFonts w:ascii="Times New Roman" w:cs="Times New Roman" w:eastAsia="Times New Roman" w:hAnsi="Times New Roman"/>
          <w:b w:val="1"/>
          <w:bCs w:val="1"/>
          <w:sz w:val="24"/>
          <w:szCs w:val="24"/>
          <w:rtl w:val="0"/>
        </w:rPr>
        <w:t xml:space="preserve">16.6. Marco ético-legal para el análisis automatizado de video en entornos laborales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automatizado de video en entornos laborales introduce restricciones que exceden el desempeño técnico del sistema. Las imágenes pueden constituir datos personales y las salidas de un modelo de inteligencia artificial pueden influir en la evaluación de situaciones que involucran a trabajadores. Por ello, el marco ético-legal se concentra en las condiciones de contorno relevantes para un uso preventivo y asistivo: finalidad determinada, minimización de datos, seguridad, transparencia, ausencia de identificación biométrica, supervisión humana y trazabilidad. Estos principios delimitan el tratamiento de la información y la interpretación de las alertas, sin convertir una observación visual en una determinación normativa sobre una persona (Organisation for Economic Co-operation and Development, 2019; UNESCO, 2021).</w:t>
      </w:r>
    </w:p>
    <w:p w:rsidR="00000000" w:rsidDel="00000000" w:rsidP="00000000" w:rsidRDefault="00000000" w:rsidRPr="00000000" w14:paraId="0000022F">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16.6.1. Protección de datos y finalidad del tratamiento</w:t>
      </w:r>
    </w:p>
    <w:p w:rsidR="00000000" w:rsidDel="00000000" w:rsidP="00000000" w:rsidRDefault="00000000" w:rsidRPr="00000000" w14:paraId="000002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la Ley 25.326 considera dato personal a la información referida a personas determinadas o determinables. En consecuencia, un flujo de video puede quedar comprendido en el régimen de protección de datos aun cuando el análisis no utilice reconocimiento facial: la imagen y su combinación con elementos contextuales —como tiempo, ubicación o secuencia de observaciones— pueden permitir una identificación directa o indirecta (Agencia de Acceso a la Información Pública, s. f.-a; Argentina, 2000).</w:t>
      </w:r>
    </w:p>
    <w:p w:rsidR="00000000" w:rsidDel="00000000" w:rsidP="00000000" w:rsidRDefault="00000000" w:rsidRPr="00000000" w14:paraId="000002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finalidad preventiva no elimina estas exigencias. La recolección y el uso de imágenes deben responder a un propósito definido y conservar una relación de proporcionalidad con él, evitando datos o usos que resulten innecesarios para la función declarada. En materia de videovigilancia, la Disposición 10/2015 aplica estos principios mediante pautas de información al titular, definición de responsabilidades y documentación de las condiciones de tratamiento, acceso, seguridad y conservación (Argentina, 2000, 2015). De este modo, la captación de video se entiende como un tratamiento delimitado y no como una fuente de información reutilizable sin restricciones para finalidades distintas.</w:t>
      </w:r>
    </w:p>
    <w:p w:rsidR="00000000" w:rsidDel="00000000" w:rsidP="00000000" w:rsidRDefault="00000000" w:rsidRPr="00000000" w14:paraId="00000232">
      <w:pPr>
        <w:spacing w:line="480" w:lineRule="auto"/>
        <w:ind w:firstLine="720"/>
        <w:rPr>
          <w:rFonts w:ascii="Times New Roman" w:cs="Times New Roman" w:eastAsia="Times New Roman" w:hAnsi="Times New Roman"/>
          <w:sz w:val="24"/>
          <w:szCs w:val="24"/>
        </w:rPr>
      </w:pPr>
      <w:sdt>
        <w:sdtPr>
          <w:id w:val="-1912904876"/>
          <w:tag w:val="goog_rdk_10"/>
        </w:sdtPr>
        <w:sdtContent>
          <w:commentRangeStart w:id="9"/>
        </w:sdtContent>
      </w:sdt>
      <w:r w:rsidDel="00000000" w:rsidR="00000000" w:rsidRPr="00000000">
        <w:rPr>
          <w:rFonts w:ascii="Times New Roman" w:cs="Times New Roman" w:eastAsia="Times New Roman" w:hAnsi="Times New Roman"/>
          <w:sz w:val="24"/>
          <w:szCs w:val="24"/>
          <w:rtl w:val="0"/>
        </w:rPr>
        <w:t xml:space="preserve">La normativa específica contempla además requisitos administrativos asociados a las bases de datos de videovigilancia. Su aplicabilidad al contexto experimental se mantiene como una decisión pendiente del equipo, por lo que no corresponde asumirla ni descartarla en esta instancia (Agencia de Acceso a la Información Pública, s. f.-b).</w:t>
      </w:r>
    </w:p>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34">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16.6.2. Minimización, seguridad y exclusión de identificación personal</w:t>
      </w:r>
    </w:p>
    <w:p w:rsidR="00000000" w:rsidDel="00000000" w:rsidP="00000000" w:rsidRDefault="00000000" w:rsidRPr="00000000" w14:paraId="000002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minimización debe evaluarse sobre el conjunto de información que produce el sistema y no únicamente sobre el video original. Recortes de imagen, marcas temporales, zonas, trayectorias internas, alertas y registros pueden conservar capacidad de identificación indirecta o ampliar el alcance del tratamiento. Por ello, la captación, la persistencia y la conservación de evidencias deben limitarse a aquello que resulte necesario para la finalidad preventiva, con criterios explícitos de retención y eliminación (Argentina, 2000; European Data Protection Board, 2020).</w:t>
      </w:r>
    </w:p>
    <w:p w:rsidR="00000000" w:rsidDel="00000000" w:rsidP="00000000" w:rsidRDefault="00000000" w:rsidRPr="00000000" w14:paraId="000002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protección de la información exige, además, medidas técnicas y organizativas proporcionales al riesgo del tratamiento. Para este marco resulta suficiente retener que el acceso a imágenes y registros debe estar restringido, su almacenamiento y transmisión deben protegerse frente a usos no autorizados y la conservación no debe extenderse indefinidamente sin una finalidad que la justifique (Argentina, 2006; European Data Protection Board, 2020). La selección concreta de controles no modifica el principio general de reducir exposición y superficie de acceso.</w:t>
      </w:r>
    </w:p>
    <w:p w:rsidR="00000000" w:rsidDel="00000000" w:rsidP="00000000" w:rsidRDefault="00000000" w:rsidRPr="00000000" w14:paraId="000002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también entre el tratamiento de imágenes y la identificación biométrica. Una imagen puede constituir un dato personal sin que exista reconocimiento facial. El tratamiento adquiere carácter biométrico cuando se procesan características físicas o fisiológicas con el propósito de identificar de manera unívoca a una persona (European Data Protection Board, 2020). En consecuencia, la detección de personas, elementos de protección o condiciones observables, así como el uso de identificadores temporales internos para mantener continuidad dentro de una secuencia, no requieren atribuir identidad civil ni incorporar mecanismos de reconocimiento personal.</w:t>
      </w:r>
    </w:p>
    <w:p w:rsidR="00000000" w:rsidDel="00000000" w:rsidP="00000000" w:rsidRDefault="00000000" w:rsidRPr="00000000" w14:paraId="00000238">
      <w:pPr>
        <w:pStyle w:val="Heading3"/>
        <w:spacing w:after="0" w:before="0" w:line="480" w:lineRule="auto"/>
        <w:rPr>
          <w:rFonts w:ascii="Times New Roman" w:cs="Times New Roman" w:eastAsia="Times New Roman" w:hAnsi="Times New Roman"/>
          <w:b w:val="1"/>
          <w:bCs w:val="1"/>
          <w:sz w:val="24"/>
          <w:szCs w:val="24"/>
        </w:rPr>
      </w:pPr>
      <w:bookmarkStart w:colFirst="0" w:colLast="0" w:name="_heading=h.xun60u9fsus3" w:id="58"/>
      <w:bookmarkEnd w:id="58"/>
      <w:r w:rsidDel="00000000" w:rsidR="00000000" w:rsidRPr="00000000">
        <w:rPr>
          <w:rFonts w:ascii="Times New Roman" w:cs="Times New Roman" w:eastAsia="Times New Roman" w:hAnsi="Times New Roman"/>
          <w:b w:val="1"/>
          <w:bCs w:val="1"/>
          <w:sz w:val="24"/>
          <w:szCs w:val="24"/>
          <w:rtl w:val="0"/>
        </w:rPr>
        <w:t xml:space="preserve">16.6.3. Supervisión humana, trazabilidad y alcance asistivo</w:t>
      </w:r>
    </w:p>
    <w:p w:rsidR="00000000" w:rsidDel="00000000" w:rsidP="00000000" w:rsidRDefault="00000000" w:rsidRPr="00000000" w14:paraId="000002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marcos de gobernanza de inteligencia artificial enfatizan la supervisión humana, la rendición de cuentas y la comunicación comprensible de las limitaciones del sistema. En un contexto de seguridad laboral, una alerta algorítmica debe interpretarse como evidencia para revisión y no como una decisión autónoma sobre cumplimiento, conducta o responsabilidad de una persona. La incertidumbre, los falsos positivos y los falsos negativos forman parte de las limitaciones que deben permanecer visibles para quien utiliza la salida del sistema (ISO, 2023; Organisation for Economic Co-operation and Development, 2019; UNESCO, 2021).</w:t>
      </w:r>
    </w:p>
    <w:p w:rsidR="00000000" w:rsidDel="00000000" w:rsidP="00000000" w:rsidRDefault="00000000" w:rsidRPr="00000000" w14:paraId="000002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trazabilidad complementa ese carácter </w:t>
      </w:r>
      <w:r w:rsidDel="00000000" w:rsidR="00000000" w:rsidRPr="00000000">
        <w:rPr>
          <w:rFonts w:ascii="Times New Roman" w:cs="Times New Roman" w:eastAsia="Times New Roman" w:hAnsi="Times New Roman"/>
          <w:sz w:val="24"/>
          <w:szCs w:val="24"/>
          <w:rtl w:val="0"/>
        </w:rPr>
        <w:t xml:space="preserve">asistivo</w:t>
      </w:r>
      <w:r w:rsidDel="00000000" w:rsidR="00000000" w:rsidRPr="00000000">
        <w:rPr>
          <w:rFonts w:ascii="Times New Roman" w:cs="Times New Roman" w:eastAsia="Times New Roman" w:hAnsi="Times New Roman"/>
          <w:sz w:val="24"/>
          <w:szCs w:val="24"/>
          <w:rtl w:val="0"/>
        </w:rPr>
        <w:t xml:space="preserve">. Versiones de modelos y configuraciones, criterios de inferencia y registros suficientes para reconstruir el origen de una alerta permiten auditar resultados inesperados sin asumir que la predicción sea correcta. Así, el marco ético-legal condiciona qué información se procesa, cuánto se conserva y con qué alcance se interpreta una alerta. Estas restricciones se integran con las brechas técnicas en la sección 16.7 (ISO, 2023; Organisation for Economic Co-operation and Development, 2019).</w:t>
      </w:r>
    </w:p>
    <w:p w:rsidR="00000000" w:rsidDel="00000000" w:rsidP="00000000" w:rsidRDefault="00000000" w:rsidRPr="00000000" w14:paraId="0000023B">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 Convergencias y preguntas rectoras</w:t>
      </w:r>
    </w:p>
    <w:p w:rsidR="00000000" w:rsidDel="00000000" w:rsidP="00000000" w:rsidRDefault="00000000" w:rsidRPr="00000000" w14:paraId="0000023C">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16.7.1. Interdependencia de los dominios</w:t>
      </w:r>
    </w:p>
    <w:p w:rsidR="00000000" w:rsidDel="00000000" w:rsidP="00000000" w:rsidRDefault="00000000" w:rsidRPr="00000000" w14:paraId="000002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de una plataforma de análisis asistivo no depende de un componente aislado, sino de la articulación entre los dominios desarrollados en este marco. Una condición de riesgo debe ser observable y evaluable; su formulación en lenguaje debe poder vincularse con evidencia visual; esa evidencia debe conservar continuidad suficiente para distinguir estados transitorios de condiciones sostenidas; y el procesamiento del video debe realizarse dentro de restricciones temporales explícitas. A su vez, la captura y el tratamiento de imágenes quedan sujetos a criterios de finalidad, minimización, seguridad y revisión humana. En consecuencia, calidad perceptiva, continuidad temporal, latencia y trazabilidad forman parte de una misma cadena de análisis y no pueden interpretarse como propiedades independientes (Bass et al., 2022; Cugola &amp; Margara, 2012).</w:t>
      </w:r>
    </w:p>
    <w:p w:rsidR="00000000" w:rsidDel="00000000" w:rsidP="00000000" w:rsidRDefault="00000000" w:rsidRPr="00000000" w14:paraId="0000023E">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16.7.2. Del marco conceptual al protocolo experimental</w:t>
      </w:r>
    </w:p>
    <w:p w:rsidR="00000000" w:rsidDel="00000000" w:rsidP="00000000" w:rsidRDefault="00000000" w:rsidRPr="00000000" w14:paraId="000002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no determina una arquitectura ni una configuración concreta, pero sí delimita las decisiones que el protocolo experimental debe volver evaluables. Esto comprende definir qué condiciones integran el núcleo de análisis y cómo se representan, qué materiales y anotaciones permiten contrastarlas, qué restricciones de ejecución condicionan configuraciones comparables, qué niveles y métricas separan percepción, estado por entidad y alerta temporal, y bajo qué condiciones resulta pertinente explorar adaptación paramétrica. La consolidación metodológica transforma estos fundamentos en variables, criterios y comparaciones reproducibles, sin confundir una capacidad conceptual con una función implementada o un resultado medido.</w:t>
      </w:r>
    </w:p>
    <w:p w:rsidR="00000000" w:rsidDel="00000000" w:rsidP="00000000" w:rsidRDefault="00000000" w:rsidRPr="00000000" w14:paraId="00000240">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16.7.3. Preguntas rectoras para la consolidación metodológica</w:t>
      </w:r>
    </w:p>
    <w:p w:rsidR="00000000" w:rsidDel="00000000" w:rsidP="00000000" w:rsidRDefault="00000000" w:rsidRPr="00000000" w14:paraId="0000024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delimita las siguientes preguntas, que requieren definición metodológica y evidencia experimental. Los códigos se conservan para mantener la trazabilidad con las secciones posteriores.</w:t>
      </w:r>
    </w:p>
    <w:p w:rsidR="00000000" w:rsidDel="00000000" w:rsidP="00000000" w:rsidRDefault="00000000" w:rsidRPr="00000000" w14:paraId="000002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P-E1-01. Presupuesto temporal.</w:t>
      </w:r>
      <w:r w:rsidDel="00000000" w:rsidR="00000000" w:rsidRPr="00000000">
        <w:rPr>
          <w:rFonts w:ascii="Times New Roman" w:cs="Times New Roman" w:eastAsia="Times New Roman" w:hAnsi="Times New Roman"/>
          <w:sz w:val="24"/>
          <w:szCs w:val="24"/>
          <w:rtl w:val="0"/>
        </w:rPr>
        <w:t xml:space="preserve"> ¿Qué presupuesto de latencia es admisible para el subtramo G2A y para la confirmación de una alerta, sin confundir el cómputo por cuadro con la persistencia temporal? La respuesta debe declarar el origen y el final de cada timestamp, el comportamiento por percentiles y el margen asignado a seguimiento y razonamiento.</w:t>
      </w:r>
    </w:p>
    <w:p w:rsidR="00000000" w:rsidDel="00000000" w:rsidP="00000000" w:rsidRDefault="00000000" w:rsidRPr="00000000" w14:paraId="000002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P-E1-02. Condiciones nucleares.</w:t>
      </w:r>
      <w:r w:rsidDel="00000000" w:rsidR="00000000" w:rsidRPr="00000000">
        <w:rPr>
          <w:rFonts w:ascii="Times New Roman" w:cs="Times New Roman" w:eastAsia="Times New Roman" w:hAnsi="Times New Roman"/>
          <w:sz w:val="24"/>
          <w:szCs w:val="24"/>
          <w:rtl w:val="0"/>
        </w:rPr>
        <w:t xml:space="preserve"> ¿Qué conjunto mínimo de condiciones de riesgo permite evaluar la factibilidad de expresar observables en lenguaje natural, estabilizar evidencia y producir alertas trazables, sin pretender cubrir el catálogo normativo completo? La selección debe distinguir complejidad semántica, evidencia disponible y perfil temporal, pero no asumir que una condición multi-entidad sea obligatoria para demostrar factibilidad.</w:t>
      </w:r>
    </w:p>
    <w:p w:rsidR="00000000" w:rsidDel="00000000" w:rsidP="00000000" w:rsidRDefault="00000000" w:rsidRPr="00000000" w14:paraId="000002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P-E1-03. Materiales y anotaciones.</w:t>
      </w:r>
      <w:r w:rsidDel="00000000" w:rsidR="00000000" w:rsidRPr="00000000">
        <w:rPr>
          <w:rFonts w:ascii="Times New Roman" w:cs="Times New Roman" w:eastAsia="Times New Roman" w:hAnsi="Times New Roman"/>
          <w:sz w:val="24"/>
          <w:szCs w:val="24"/>
          <w:rtl w:val="0"/>
        </w:rPr>
        <w:t xml:space="preserve"> ¿Qué datos públicos y propios ofrecen anotaciones suficientes para evaluar percepción, continuidad temporal y episodios, y cuáles son además aptos para adaptación paramétrica? La respuesta debe separar material de entrenamiento, validación y prueba y evitar reutilizaciones que comprometan la independencia del protocolo.</w:t>
      </w:r>
    </w:p>
    <w:p w:rsidR="00000000" w:rsidDel="00000000" w:rsidP="00000000" w:rsidRDefault="00000000" w:rsidRPr="00000000" w14:paraId="000002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P-E1-04. Restricciones de ejecución.</w:t>
      </w:r>
      <w:r w:rsidDel="00000000" w:rsidR="00000000" w:rsidRPr="00000000">
        <w:rPr>
          <w:rFonts w:ascii="Times New Roman" w:cs="Times New Roman" w:eastAsia="Times New Roman" w:hAnsi="Times New Roman"/>
          <w:sz w:val="24"/>
          <w:szCs w:val="24"/>
          <w:rtl w:val="0"/>
        </w:rPr>
        <w:t xml:space="preserve"> ¿Qué hardware, fuentes de video, resolución, runtime y presupuesto de procesamiento condicionan las configuraciones comparables? La caracterización debe incluir memoria, ritmo efectivo, latencia sostenida y límites de los entornos de inferencia y entrenamiento, que no necesariamente coinciden.</w:t>
      </w:r>
    </w:p>
    <w:p w:rsidR="00000000" w:rsidDel="00000000" w:rsidP="00000000" w:rsidRDefault="00000000" w:rsidRPr="00000000" w14:paraId="000002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P-E1-06. Framework de métricas.</w:t>
      </w:r>
      <w:r w:rsidDel="00000000" w:rsidR="00000000" w:rsidRPr="00000000">
        <w:rPr>
          <w:rFonts w:ascii="Times New Roman" w:cs="Times New Roman" w:eastAsia="Times New Roman" w:hAnsi="Times New Roman"/>
          <w:sz w:val="24"/>
          <w:szCs w:val="24"/>
          <w:rtl w:val="0"/>
        </w:rPr>
        <w:t xml:space="preserve"> ¿Qué métricas y niveles de análisis permiten separar calidad de detección, estado por entidad y comportamiento de la alerta temporal, y qué umbrales se fijan antes de medir? Las métricas de seguimiento sólo resultan aplicables si existen anotaciones y objetivos MOT explícitos; no deben trasladarse automáticamente a la evaluación de alertas.</w:t>
      </w:r>
    </w:p>
    <w:p w:rsidR="00000000" w:rsidDel="00000000" w:rsidP="00000000" w:rsidRDefault="00000000" w:rsidRPr="00000000" w14:paraId="000002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P-E1-08. Adaptación paramétrica.</w:t>
      </w:r>
      <w:r w:rsidDel="00000000" w:rsidR="00000000" w:rsidRPr="00000000">
        <w:rPr>
          <w:rFonts w:ascii="Times New Roman" w:cs="Times New Roman" w:eastAsia="Times New Roman" w:hAnsi="Times New Roman"/>
          <w:sz w:val="24"/>
          <w:szCs w:val="24"/>
          <w:rtl w:val="0"/>
        </w:rPr>
        <w:t xml:space="preserve"> ¿En qué condiciones un ajuste fino ligero mejora el dominio objetivo sin degradar la capacidad open-vocabulary, y cómo se mide esa retención con categorías no vistas? La respuesta exige una receta reproducible, datos diferenciados y una comparación que mantenga separadas especialización y generalización.</w:t>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preguntas se condicionan mutuamente: las condiciones evaluables determinan los datos; el hardware limita configuraciones; y las métricas deben distinguir calidad semántica, rendimiento y confirmación temporal. Su resolución corresponde al protocolo experimental y no se anticipa en esta sección.</w:t>
      </w:r>
    </w:p>
    <w:p w:rsidR="00000000" w:rsidDel="00000000" w:rsidP="00000000" w:rsidRDefault="00000000" w:rsidRPr="00000000" w14:paraId="00000249">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9hf73ya3t3ng" w:id="59"/>
      <w:bookmarkEnd w:id="59"/>
      <w:r w:rsidDel="00000000" w:rsidR="00000000" w:rsidRPr="00000000">
        <w:rPr>
          <w:rFonts w:ascii="Times New Roman" w:cs="Times New Roman" w:eastAsia="Times New Roman" w:hAnsi="Times New Roman"/>
          <w:b w:val="1"/>
          <w:bCs w:val="1"/>
          <w:sz w:val="24"/>
          <w:szCs w:val="24"/>
          <w:rtl w:val="0"/>
        </w:rPr>
        <w:t xml:space="preserve">16.8. Conclusiones parciales de la fundamentación teórica</w:t>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sostiene la factibilidad conceptual de una plataforma asistiva que interpreta observables expresados mediante lenguaje sobre video, mantiene continuidad temporal y produce alertas trazables para revisión humana. Esta factibilidad no implica superioridad de OVD frente a detectores supervisados ni habilita conclusiones de cumplimiento desde una observación visual; depende de condiciones evaluables, del comportamiento en el dominio y de restricciones temporales explícitas.</w:t>
      </w:r>
    </w:p>
    <w:p w:rsidR="00000000" w:rsidDel="00000000" w:rsidP="00000000" w:rsidRDefault="00000000" w:rsidRPr="00000000" w14:paraId="000002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delimita también qué debe resolverse empíricamente: los benchmarks generales no predicen el rendimiento en construcción; una detección por cuadro no equivale a una alerta; un identificador de seguimiento no representa identidad personal; y una capacidad de la literatura no constituye una función implementada. En un campo en evolución, estas separaciones exigen decisiones trazables y validación reproducible.</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7" w:date="2026-08-31T04:27:57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pasar a formula</w:t>
      </w:r>
    </w:p>
  </w:comment>
  <w:comment w:author="Matias Lautaro Carrizo" w:id="8" w:date="2026-08-31T05:17:25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igual que la seccion de arriba de leyes varias cosas volaron de acá. Validar que no se haya perdido nada importante (por lo que leí estaba ok)</w:t>
      </w:r>
    </w:p>
  </w:comment>
  <w:comment w:author="Matias Lautaro Carrizo" w:id="2" w:date="2026-08-29T19:18:31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habria que poner una intro corta, aca entra de una a las metricas para mot</w:t>
      </w:r>
    </w:p>
  </w:comment>
  <w:comment w:author="Matias Lautaro Carrizo" w:id="1" w:date="2026-08-29T17:50:10Z">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anexo</w:t>
      </w:r>
    </w:p>
  </w:comment>
  <w:comment w:author="Matias Lautaro Carrizo" w:id="5" w:date="2026-08-31T04:06:30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eliminaron leyes extensas y normativas innecesarias. Lo leí y va bien. Hay que validar que no haya quedado muy corto y que no se hayan perdido cosas que si usemos. Consolidar con la sección 17.1 y revisar la tabla de condiciones observables (10).</w:t>
      </w:r>
    </w:p>
  </w:comment>
  <w:comment w:author="Matias Lautaro Carrizo" w:id="0" w:date="2026-08-29T17:31:15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Deje los cambios puestos para evitar todo el catálogo.</w:t>
      </w:r>
    </w:p>
  </w:comment>
  <w:comment w:author="Matias Lautaro Carrizo" w:id="6" w:date="2026-08-31T04:11:04Z">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me suena a que es nueva</w:t>
      </w:r>
    </w:p>
  </w:comment>
  <w:comment w:author="Matias Lautaro Carrizo" w:id="9" w:date="2026-08-31T05:16:45Z">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me parece muy de más. hay que revisar esas secciones del pendiente, pero yo lo sacaría</w:t>
      </w:r>
    </w:p>
  </w:comment>
  <w:comment w:author="Matias Lautaro Carrizo" w:id="4" w:date="2026-08-31T01:52:52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eliminado el catalogo, leer sobretodo 15.4.1.1</w:t>
      </w:r>
    </w:p>
  </w:comment>
  <w:comment w:author="Matias Lautaro Carrizo" w:id="3" w:date="2026-08-29T19:19:12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4D" w15:done="0"/>
  <w15:commentEx w15:paraId="0000024E" w15:done="0"/>
  <w15:commentEx w15:paraId="0000024F" w15:done="0"/>
  <w15:commentEx w15:paraId="00000250" w15:done="0"/>
  <w15:commentEx w15:paraId="00000251" w15:done="0"/>
  <w15:commentEx w15:paraId="00000252" w15:done="0"/>
  <w15:commentEx w15:paraId="00000253" w15:done="0"/>
  <w15:commentEx w15:paraId="00000254" w15:done="0"/>
  <w15:commentEx w15:paraId="00000255" w15:done="0"/>
  <w15:commentEx w15:paraId="0000025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4C">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Salvo indicación expresa, las cifras de COCO y LVIS corresponden a AP promediado entre umbrales de intersección sobre unión (IoU) de 0,50 a 0,95; en LVIS se conserva el protocolo Fixed AP cuando así lo informa la fuente. Los resultados de literatura supervisada de EPP se presentan como mAP@0,5 o AP@0,5 en una serie separada y no deben compararse numéricamente con COCO/LVIS AP.</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60.0" w:type="dxa"/>
        <w:left w:w="115.0" w:type="dxa"/>
        <w:bottom w:w="60.0" w:type="dxa"/>
        <w:right w:w="115.0" w:type="dxa"/>
      </w:tblCellMar>
    </w:tblPr>
  </w:style>
  <w:style w:type="table" w:styleId="Table2">
    <w:basedOn w:val="TableNormal"/>
    <w:tblPr>
      <w:tblStyleRowBandSize w:val="1"/>
      <w:tblStyleColBandSize w:val="1"/>
      <w:tblCellMar>
        <w:top w:w="60.0" w:type="dxa"/>
        <w:left w:w="115.0" w:type="dxa"/>
        <w:bottom w:w="60.0" w:type="dxa"/>
        <w:right w:w="115.0" w:type="dxa"/>
      </w:tblCellMar>
    </w:tblPr>
  </w:style>
  <w:style w:type="table" w:styleId="Table3">
    <w:basedOn w:val="TableNormal"/>
    <w:tblPr>
      <w:tblStyleRowBandSize w:val="1"/>
      <w:tblStyleColBandSize w:val="1"/>
      <w:tblCellMar>
        <w:top w:w="60.0" w:type="dxa"/>
        <w:left w:w="115.0" w:type="dxa"/>
        <w:bottom w:w="60.0" w:type="dxa"/>
        <w:right w:w="115.0" w:type="dxa"/>
      </w:tblCellMar>
    </w:tblPr>
  </w:style>
  <w:style w:type="table" w:styleId="Table4">
    <w:basedOn w:val="TableNormal"/>
    <w:tblPr>
      <w:tblStyleRowBandSize w:val="1"/>
      <w:tblStyleColBandSize w:val="1"/>
      <w:tblCellMar>
        <w:top w:w="60.0" w:type="dxa"/>
        <w:left w:w="115.0" w:type="dxa"/>
        <w:bottom w:w="60.0" w:type="dxa"/>
        <w:right w:w="115.0" w:type="dxa"/>
      </w:tblCellMar>
    </w:tblPr>
  </w:style>
  <w:style w:type="table" w:styleId="Table5">
    <w:basedOn w:val="TableNormal"/>
    <w:tblPr>
      <w:tblStyleRowBandSize w:val="1"/>
      <w:tblStyleColBandSize w:val="1"/>
      <w:tblCellMar>
        <w:top w:w="60.0" w:type="dxa"/>
        <w:left w:w="115.0" w:type="dxa"/>
        <w:bottom w:w="60.0" w:type="dxa"/>
        <w:right w:w="115.0" w:type="dxa"/>
      </w:tblCellMar>
    </w:tblPr>
  </w:style>
  <w:style w:type="table" w:styleId="Table6">
    <w:basedOn w:val="TableNormal"/>
    <w:tblPr>
      <w:tblStyleRowBandSize w:val="1"/>
      <w:tblStyleColBandSize w:val="1"/>
      <w:tblCellMar>
        <w:top w:w="60.0" w:type="dxa"/>
        <w:left w:w="115.0" w:type="dxa"/>
        <w:bottom w:w="60.0" w:type="dxa"/>
        <w:right w:w="115.0" w:type="dxa"/>
      </w:tblCellMar>
    </w:tblPr>
  </w:style>
  <w:style w:type="table" w:styleId="Table7">
    <w:basedOn w:val="TableNormal"/>
    <w:tblPr>
      <w:tblStyleRowBandSize w:val="1"/>
      <w:tblStyleColBandSize w:val="1"/>
      <w:tblCellMar>
        <w:top w:w="60.0" w:type="dxa"/>
        <w:left w:w="115.0" w:type="dxa"/>
        <w:bottom w:w="60.0" w:type="dxa"/>
        <w:right w:w="115.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6bdl21" TargetMode="External"/><Relationship Id="rId11" Type="http://schemas.openxmlformats.org/officeDocument/2006/relationships/hyperlink" Target="https://www.zotero.org/google-docs/?QCjNbB" TargetMode="External"/><Relationship Id="rId10" Type="http://schemas.openxmlformats.org/officeDocument/2006/relationships/hyperlink" Target="https://www.zotero.org/google-docs/?UnnoA1" TargetMode="External"/><Relationship Id="rId21" Type="http://schemas.openxmlformats.org/officeDocument/2006/relationships/hyperlink" Target="https://www.zotero.org/google-docs/?kiBZGp" TargetMode="External"/><Relationship Id="rId13" Type="http://schemas.openxmlformats.org/officeDocument/2006/relationships/hyperlink" Target="https://www.zotero.org/google-docs/?gm5pG6" TargetMode="External"/><Relationship Id="rId12" Type="http://schemas.openxmlformats.org/officeDocument/2006/relationships/hyperlink" Target="https://www.zotero.org/google-docs/?N8gvPh"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yperlink" Target="https://www.zotero.org/google-docs/?b9GG8T" TargetMode="External"/><Relationship Id="rId14" Type="http://schemas.openxmlformats.org/officeDocument/2006/relationships/hyperlink" Target="https://www.zotero.org/google-docs/?b9GG8T" TargetMode="External"/><Relationship Id="rId17" Type="http://schemas.openxmlformats.org/officeDocument/2006/relationships/hyperlink" Target="https://www.zotero.org/google-docs/?EJbmoO" TargetMode="External"/><Relationship Id="rId16" Type="http://schemas.openxmlformats.org/officeDocument/2006/relationships/hyperlink" Target="https://www.zotero.org/google-docs/?b9GG8T" TargetMode="External"/><Relationship Id="rId5" Type="http://schemas.openxmlformats.org/officeDocument/2006/relationships/footnotes" Target="footnotes.xml"/><Relationship Id="rId19" Type="http://schemas.openxmlformats.org/officeDocument/2006/relationships/hyperlink" Target="https://www.zotero.org/google-docs/?A7BpnU" TargetMode="External"/><Relationship Id="rId6" Type="http://schemas.openxmlformats.org/officeDocument/2006/relationships/numbering" Target="numbering.xml"/><Relationship Id="rId18" Type="http://schemas.openxmlformats.org/officeDocument/2006/relationships/hyperlink" Target="https://www.zotero.org/google-docs/?ytG2P2" TargetMode="Externa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qzxMg4gRuRLjTaH64oMtJA2lxw==">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