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bookmarkStart w:colFirst="0" w:colLast="0" w:name="_heading=h.j9s40ucjary6" w:id="0"/>
      <w:bookmarkEnd w:id="0"/>
      <w:r w:rsidDel="00000000" w:rsidR="00000000" w:rsidRPr="00000000">
        <w:rPr>
          <w:rFonts w:ascii="Times New Roman" w:cs="Times New Roman" w:eastAsia="Times New Roman" w:hAnsi="Times New Roman"/>
          <w:b w:val="1"/>
          <w:bCs w:val="1"/>
          <w:sz w:val="24"/>
          <w:szCs w:val="24"/>
          <w:rtl w:val="0"/>
        </w:rPr>
        <w:t xml:space="preserve">15. Estado del arte</w:t>
      </w:r>
    </w:p>
    <w:p w:rsidR="00000000" w:rsidDel="00000000" w:rsidP="00000000" w:rsidRDefault="00000000" w:rsidRPr="00000000" w14:paraId="0000000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reúne los antecedentes técnicos y metodológicos necesarios para contextualizar el desarrollo de una plataforma experimental de detección open-vocabulary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003">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u4gwvq667qmt" w:id="1"/>
      <w:bookmarkEnd w:id="1"/>
      <w:r w:rsidDel="00000000" w:rsidR="00000000" w:rsidRPr="00000000">
        <w:rPr>
          <w:rFonts w:ascii="Times New Roman" w:cs="Times New Roman" w:eastAsia="Times New Roman" w:hAnsi="Times New Roman"/>
          <w:b w:val="1"/>
          <w:bCs w:val="1"/>
          <w:sz w:val="24"/>
          <w:szCs w:val="24"/>
          <w:rtl w:val="0"/>
        </w:rPr>
        <w:t xml:space="preserve">15.1. Alcance del estado del arte y propósito de la fundamentación teórica</w:t>
      </w:r>
    </w:p>
    <w:p w:rsidR="00000000" w:rsidDel="00000000" w:rsidP="00000000" w:rsidRDefault="00000000" w:rsidRPr="00000000" w14:paraId="0000000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prompts, la disponibilidad de datos y la evaluación de alertas en tiempo real.</w:t>
      </w:r>
    </w:p>
    <w:p w:rsidR="00000000" w:rsidDel="00000000" w:rsidP="00000000" w:rsidRDefault="00000000" w:rsidRPr="00000000" w14:paraId="0000000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006">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i7h6tihjrcrp" w:id="2"/>
      <w:bookmarkEnd w:id="2"/>
      <w:r w:rsidDel="00000000" w:rsidR="00000000" w:rsidRPr="00000000">
        <w:rPr>
          <w:rFonts w:ascii="Times New Roman" w:cs="Times New Roman" w:eastAsia="Times New Roman" w:hAnsi="Times New Roman"/>
          <w:b w:val="1"/>
          <w:bCs w:val="1"/>
          <w:sz w:val="24"/>
          <w:szCs w:val="24"/>
          <w:rtl w:val="0"/>
        </w:rPr>
        <w:t xml:space="preserve">15.2. Detección open-vocabulary: modelos, paradigmas y brechas del estado del arte</w:t>
      </w:r>
    </w:p>
    <w:p w:rsidR="00000000" w:rsidDel="00000000" w:rsidP="00000000" w:rsidRDefault="00000000" w:rsidRPr="00000000" w14:paraId="0000000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3vzukfq0sbd7"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15.2.1. Paradigmas arquitectónicos y modelos representativos</w:t>
      </w:r>
    </w:p>
    <w:p w:rsidR="00000000" w:rsidDel="00000000" w:rsidP="00000000" w:rsidRDefault="00000000" w:rsidRPr="00000000" w14:paraId="0000000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00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paradigma extiende arquitecturas end-to-end basadas en Transformers —derivadas de DETR y DINO (Carion et al., 2020; H. Zhang et al., 2022)— e incorpora el lenguaje dentro de la predicción mediante fusión multimodal. Grounding DINO (Liu et al., 2024) organiza esa integración en un Feature Enhancer que alinea representaciones visuales y textuales, una selección de consultas guiada por lenguaje y un decoder de modalidad cruzada que refina cajas y las vincula con fragmentos del prompt. La fusión profunda favorece expresiones referenciales y consultas con atributos, aunque incrementa el costo computacional y la complejidad de despliegue.</w:t>
      </w:r>
    </w:p>
    <w:p w:rsidR="00000000" w:rsidDel="00000000" w:rsidP="00000000" w:rsidRDefault="00000000" w:rsidRPr="00000000" w14:paraId="0000000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paradigma adapta detectores one-stage de la familia YOLO para puntuar regiones frente a representaciones textuales. YOLO-World (Cheng et al., 2024) incorpora interacción visión-lenguaje en su neck y permite </w:t>
      </w:r>
      <w:r w:rsidDel="00000000" w:rsidR="00000000" w:rsidRPr="00000000">
        <w:rPr>
          <w:rFonts w:ascii="Times New Roman" w:cs="Times New Roman" w:eastAsia="Times New Roman" w:hAnsi="Times New Roman"/>
          <w:sz w:val="24"/>
          <w:szCs w:val="24"/>
          <w:rtl w:val="0"/>
        </w:rPr>
        <w:t xml:space="preserve">reutilizar</w:t>
      </w:r>
      <w:r w:rsidDel="00000000" w:rsidR="00000000" w:rsidRPr="00000000">
        <w:rPr>
          <w:rFonts w:ascii="Times New Roman" w:cs="Times New Roman" w:eastAsia="Times New Roman" w:hAnsi="Times New Roman"/>
          <w:sz w:val="24"/>
          <w:szCs w:val="24"/>
          <w:rtl w:val="0"/>
        </w:rPr>
        <w:t xml:space="preserve"> un vocabulario precomputado; YOLOE (A. Wang et al., 2025) amplía la </w:t>
      </w:r>
      <w:r w:rsidDel="00000000" w:rsidR="00000000" w:rsidRPr="00000000">
        <w:rPr>
          <w:rFonts w:ascii="Times New Roman" w:cs="Times New Roman" w:eastAsia="Times New Roman" w:hAnsi="Times New Roman"/>
          <w:sz w:val="24"/>
          <w:szCs w:val="24"/>
          <w:rtl w:val="0"/>
        </w:rPr>
        <w:t xml:space="preserve">reparametrización</w:t>
      </w:r>
      <w:r w:rsidDel="00000000" w:rsidR="00000000" w:rsidRPr="00000000">
        <w:rPr>
          <w:rFonts w:ascii="Times New Roman" w:cs="Times New Roman" w:eastAsia="Times New Roman" w:hAnsi="Times New Roman"/>
          <w:sz w:val="24"/>
          <w:szCs w:val="24"/>
          <w:rtl w:val="0"/>
        </w:rPr>
        <w:t xml:space="preserve"> para admitir prompts textuales, visuales y un modo sin prompt. Esta familia prioriza eficiencia y compatibilidad con pipelines de baja latencia, a cambio de una expresividad más acotada ante consultas relacionales o altamente composicionales.</w:t>
      </w:r>
    </w:p>
    <w:p w:rsidR="00000000" w:rsidDel="00000000" w:rsidP="00000000" w:rsidRDefault="00000000" w:rsidRPr="00000000" w14:paraId="0000000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tercera familia deriva la detección del paradigma dual-encoder de CLIP: imagen y texto se proyectan en un espacio compartido y la clase de cada región se obtiene por compatibilidad semántica, no mediante </w:t>
      </w:r>
      <w:r w:rsidDel="00000000" w:rsidR="00000000" w:rsidRPr="00000000">
        <w:rPr>
          <w:rFonts w:ascii="Times New Roman" w:cs="Times New Roman" w:eastAsia="Times New Roman" w:hAnsi="Times New Roman"/>
          <w:sz w:val="24"/>
          <w:szCs w:val="24"/>
          <w:rtl w:val="0"/>
        </w:rPr>
        <w:t xml:space="preserve">logits</w:t>
      </w:r>
      <w:r w:rsidDel="00000000" w:rsidR="00000000" w:rsidRPr="00000000">
        <w:rPr>
          <w:rFonts w:ascii="Times New Roman" w:cs="Times New Roman" w:eastAsia="Times New Roman" w:hAnsi="Times New Roman"/>
          <w:sz w:val="24"/>
          <w:szCs w:val="24"/>
          <w:rtl w:val="0"/>
        </w:rPr>
        <w:t xml:space="preserve"> fijos. OWL-ViT y </w:t>
      </w:r>
      <w:r w:rsidDel="00000000" w:rsidR="00000000" w:rsidRPr="00000000">
        <w:rPr>
          <w:rFonts w:ascii="Times New Roman" w:cs="Times New Roman" w:eastAsia="Times New Roman" w:hAnsi="Times New Roman"/>
          <w:sz w:val="24"/>
          <w:szCs w:val="24"/>
          <w:rtl w:val="0"/>
        </w:rPr>
        <w:t xml:space="preserve">OWLv2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2022, 2023) representan este enfoque y muestran cómo el </w:t>
      </w:r>
      <w:r w:rsidDel="00000000" w:rsidR="00000000" w:rsidRPr="00000000">
        <w:rPr>
          <w:rFonts w:ascii="Times New Roman" w:cs="Times New Roman" w:eastAsia="Times New Roman" w:hAnsi="Times New Roman"/>
          <w:sz w:val="24"/>
          <w:szCs w:val="24"/>
          <w:rtl w:val="0"/>
        </w:rPr>
        <w:t xml:space="preserve">autoentrenamiento</w:t>
      </w:r>
      <w:r w:rsidDel="00000000" w:rsidR="00000000" w:rsidRPr="00000000">
        <w:rPr>
          <w:rFonts w:ascii="Times New Roman" w:cs="Times New Roman" w:eastAsia="Times New Roman" w:hAnsi="Times New Roman"/>
          <w:sz w:val="24"/>
          <w:szCs w:val="24"/>
          <w:rtl w:val="0"/>
        </w:rPr>
        <w:t xml:space="preserve"> puede escalar la supervisión sin alterar el mecanismo de consulta. Su principal ventaja es la modularidad, donde el vocabulario cambia con los prompts. Su costo depende del número de consultas y puede mitigarse mediante el cacheo de embeddings cuando el vocabulario permanece estable.</w:t>
      </w:r>
    </w:p>
    <w:p w:rsidR="00000000" w:rsidDel="00000000" w:rsidP="00000000" w:rsidRDefault="00000000" w:rsidRPr="00000000" w14:paraId="0000000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paradigma agrupa modelos guiados por prompts generalistas, generativos e híbridos. Florence-2 (Xiao et al., 2024) formula las tareas como traducción secuencia-a-secuencia y genera representaciones textuales de cajas, etiquetas u otras salidas estructuradas. APE, </w:t>
      </w:r>
      <w:r w:rsidDel="00000000" w:rsidR="00000000" w:rsidRPr="00000000">
        <w:rPr>
          <w:rFonts w:ascii="Times New Roman" w:cs="Times New Roman" w:eastAsia="Times New Roman" w:hAnsi="Times New Roman"/>
          <w:sz w:val="24"/>
          <w:szCs w:val="24"/>
          <w:rtl w:val="0"/>
        </w:rPr>
        <w:t xml:space="preserve">LLMDet</w:t>
      </w:r>
      <w:r w:rsidDel="00000000" w:rsidR="00000000" w:rsidRPr="00000000">
        <w:rPr>
          <w:rFonts w:ascii="Times New Roman" w:cs="Times New Roman" w:eastAsia="Times New Roman" w:hAnsi="Times New Roman"/>
          <w:sz w:val="24"/>
          <w:szCs w:val="24"/>
          <w:rtl w:val="0"/>
        </w:rPr>
        <w:t xml:space="preserve"> y T-</w:t>
      </w:r>
      <w:r w:rsidDel="00000000" w:rsidR="00000000" w:rsidRPr="00000000">
        <w:rPr>
          <w:rFonts w:ascii="Times New Roman" w:cs="Times New Roman" w:eastAsia="Times New Roman" w:hAnsi="Times New Roman"/>
          <w:sz w:val="24"/>
          <w:szCs w:val="24"/>
          <w:rtl w:val="0"/>
        </w:rPr>
        <w:t xml:space="preserve">Rex2</w:t>
      </w:r>
      <w:r w:rsidDel="00000000" w:rsidR="00000000" w:rsidRPr="00000000">
        <w:rPr>
          <w:rFonts w:ascii="Times New Roman" w:cs="Times New Roman" w:eastAsia="Times New Roman" w:hAnsi="Times New Roman"/>
          <w:sz w:val="24"/>
          <w:szCs w:val="24"/>
          <w:rtl w:val="0"/>
        </w:rPr>
        <w:t xml:space="preserve"> adoptan prompting generalista sin compartir necesariamente una decodificación autoregresiva (Shen et al., 2023; Fu et al., 2025; Jiang et al., 2024). Esta flexibilidad amplía la variedad de tareas y modalidades de consulta, pero en los modelos generativos introduce latencia variable y menor paralelismo que la predicción directa.</w:t>
      </w:r>
    </w:p>
    <w:p w:rsidR="00000000" w:rsidDel="00000000" w:rsidP="00000000" w:rsidRDefault="00000000" w:rsidRPr="00000000" w14:paraId="0000000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benchmarks estándar (COCO, LVIS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junto con consideraciones prácticas de inferencia relevantes para aplicaciones en vídeo.</w:t>
      </w:r>
    </w:p>
    <w:p w:rsidR="00000000" w:rsidDel="00000000" w:rsidP="00000000" w:rsidRDefault="00000000" w:rsidRPr="00000000" w14:paraId="0000000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15.2.1.1. Detectores end-to-end derivados de DETR/DINO con fusión multimodal profunda</w:t>
      </w:r>
      <w:r w:rsidDel="00000000" w:rsidR="00000000" w:rsidRPr="00000000">
        <w:rPr>
          <w:rtl w:val="0"/>
        </w:rPr>
      </w:r>
    </w:p>
    <w:p w:rsidR="00000000" w:rsidDel="00000000" w:rsidP="00000000" w:rsidRDefault="00000000" w:rsidRPr="00000000" w14:paraId="0000000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detectores derivados de DETR y DINO, el texto participa del propio proceso de predicción en lugar de aplicarse como clasificación posterior sobre regiones ya obtenidas. Grounding DINO extiende el phrase grounding de GLIP mediante un esquema dual-encoder/single-decoder, donde un backbone visual extrae características multiescala, un encoder BERT representa el prompt y un Transformer produce cajas condicionadas por ambas modalidades (L. H. Li et al., 2021; Liu et al., 2024). La alineación se distribuye entre el Feature Enhancer, que relaciona características visuales y textuales, la Language-guided Query Selection, que prioriza consultas relevantes y el Cross-modality Decoder, que refina las cajas y su asociación con fragmentos del prompt. Esta fusión profunda favorece expresiones referenciales y atributos compuestos, pero incrementa el costo de inferencia y la complejidad de despliegue (Liu et al., 2024).</w:t>
      </w:r>
    </w:p>
    <w:p w:rsidR="00000000" w:rsidDel="00000000" w:rsidP="00000000" w:rsidRDefault="00000000" w:rsidRPr="00000000" w14:paraId="0000001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cifras publicadas deben leerse junto con el backbone, el protocolo y los datos de entrenamiento. Grounding DINO con Swin-L reporta 52,5 AP en COCO y 26,1 mean AP en ODinW bajo evaluación zero-shot, mientras que Swin-T alcanza aproximadamente 48,4 AP en COCO (Liu et al., 2024). La variante Swin-B dispone de pesos públicos, pero su checkpoint incluye COCO entre los datos de entrenamiento; por ello, el 56,7 AP informado para esa configuración no constituye una referencia zero-shot directamente comparable. MM-Grounding-DINO conserva esta línea arquitectónica en una tubería unificada y, en sus variantes Tiny, reporta entre 50,4 y 50,6 AP@[0,50:0,95] en COCO zero-shot y entre 35,7 y 41,4 AP@[0,50:0,95] en LVIS-minival, según la configuración evaluada (IDEA-Research, 2024c; X. Zhao et al., 2024).</w:t>
      </w:r>
    </w:p>
    <w:p w:rsidR="00000000" w:rsidDel="00000000" w:rsidP="00000000" w:rsidRDefault="00000000" w:rsidRPr="00000000" w14:paraId="0000001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extensiones recientes exploran generalización y eficiencia como objetivos diferenciados. Grounding DINO 1.5 Pro, </w:t>
      </w:r>
      <w:r w:rsidDel="00000000" w:rsidR="00000000" w:rsidRPr="00000000">
        <w:rPr>
          <w:rFonts w:ascii="Times New Roman" w:cs="Times New Roman" w:eastAsia="Times New Roman" w:hAnsi="Times New Roman"/>
          <w:sz w:val="24"/>
          <w:szCs w:val="24"/>
          <w:rtl w:val="0"/>
        </w:rPr>
        <w:t xml:space="preserve">preentrenado</w:t>
      </w:r>
      <w:r w:rsidDel="00000000" w:rsidR="00000000" w:rsidRPr="00000000">
        <w:rPr>
          <w:rFonts w:ascii="Times New Roman" w:cs="Times New Roman" w:eastAsia="Times New Roman" w:hAnsi="Times New Roman"/>
          <w:sz w:val="24"/>
          <w:szCs w:val="24"/>
          <w:rtl w:val="0"/>
        </w:rPr>
        <w:t xml:space="preserve"> con Grounding-20M, reporta 54,3 AP en COCO y 55,7 AP en LVIS-minival en zero-shot transfer; la variante Edge alcanza 75,2 FPS con 36,2 AP en LVIS-minival mediante </w:t>
      </w:r>
      <w:r w:rsidDel="00000000" w:rsidR="00000000" w:rsidRPr="00000000">
        <w:rPr>
          <w:rFonts w:ascii="Times New Roman" w:cs="Times New Roman" w:eastAsia="Times New Roman" w:hAnsi="Times New Roman"/>
          <w:sz w:val="24"/>
          <w:szCs w:val="24"/>
          <w:rtl w:val="0"/>
        </w:rPr>
        <w:t xml:space="preserve">TensorRT</w:t>
      </w:r>
      <w:r w:rsidDel="00000000" w:rsidR="00000000" w:rsidRPr="00000000">
        <w:rPr>
          <w:rFonts w:ascii="Times New Roman" w:cs="Times New Roman" w:eastAsia="Times New Roman" w:hAnsi="Times New Roman"/>
          <w:sz w:val="24"/>
          <w:szCs w:val="24"/>
          <w:rtl w:val="0"/>
        </w:rPr>
        <w:t xml:space="preserve"> y supera 10 FPS en NVIDIA Orin NX (Ren, Jiang, et al., 2024). DINO-X amplía las modalidades de consulta con prompts textuales, visuales y personalizados, además de un Universal Object Prompt para operar sin una lista explícita de clases. Preentrenado sobre Grounding-100M, DINO-X Pro reporta 56,0 AP en COCO, 59,8 AP en LVIS-minival y 63,3 AP en las clases raras de LVIS-minival (Ren, Chen, et al., 2024). La familia ofrece alta precisión semántica y manejo de expresiones referenciales complejas, a costa de mayor exigencia computacional y, en las variantes cerradas, menor reproducibilidad independiente. El repositorio del Grounding DINO original se distribuye bajo Apache-2.0, mientras que Grounding DINO 1.5 y DINO-X se ofrecen mediante API sin pesos abiertos. La licencia Apache-2.0 corresponde a sus SDK de acceso (IDEA-Research, 2024a, 2024c; Ren, Chen, et al., 2024; Ren, Jiang, et al., 2024).</w:t>
      </w:r>
    </w:p>
    <w:p w:rsidR="00000000" w:rsidDel="00000000" w:rsidP="00000000" w:rsidRDefault="00000000" w:rsidRPr="00000000" w14:paraId="0000001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15.2.1.2. Detectores one-stage de la familia YOLO con alineamiento región-texto</w:t>
      </w:r>
    </w:p>
    <w:p w:rsidR="00000000" w:rsidDel="00000000" w:rsidP="00000000" w:rsidRDefault="00000000" w:rsidRPr="00000000" w14:paraId="0000001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familia one-stage traslada la capacidad open-vocabulary a una estructura orientada a predicción densa y baja latencia. En lugar de sostener un decoder multimodal profundo, realiza el alineamiento región-texto dentro del flujo backbone-PAN-head y procura absorber parte de ese costo mediante reparametrización. YOLO-World introduce RepVL-PAN, con Text-guided CSPLayer para incorporar guía textual en las características visuales e Image Pooling Attention para enriquecer los embeddings del vocabulario. Cuando este permanece estable, puede </w:t>
      </w:r>
      <w:r w:rsidDel="00000000" w:rsidR="00000000" w:rsidRPr="00000000">
        <w:rPr>
          <w:rFonts w:ascii="Times New Roman" w:cs="Times New Roman" w:eastAsia="Times New Roman" w:hAnsi="Times New Roman"/>
          <w:sz w:val="24"/>
          <w:szCs w:val="24"/>
          <w:rtl w:val="0"/>
        </w:rPr>
        <w:t xml:space="preserve">precomputarse</w:t>
      </w:r>
      <w:r w:rsidDel="00000000" w:rsidR="00000000" w:rsidRPr="00000000">
        <w:rPr>
          <w:rFonts w:ascii="Times New Roman" w:cs="Times New Roman" w:eastAsia="Times New Roman" w:hAnsi="Times New Roman"/>
          <w:sz w:val="24"/>
          <w:szCs w:val="24"/>
          <w:rtl w:val="0"/>
        </w:rPr>
        <w:t xml:space="preserve"> y utilizarse offline, prescindiendo del encoder textual durante la inferencia </w:t>
      </w:r>
      <w:r w:rsidDel="00000000" w:rsidR="00000000" w:rsidRPr="00000000">
        <w:rPr>
          <w:rFonts w:ascii="Times New Roman" w:cs="Times New Roman" w:eastAsia="Times New Roman" w:hAnsi="Times New Roman"/>
          <w:sz w:val="24"/>
          <w:szCs w:val="24"/>
          <w:rtl w:val="0"/>
        </w:rPr>
        <w:t xml:space="preserve">reparametrizada</w:t>
      </w:r>
      <w:r w:rsidDel="00000000" w:rsidR="00000000" w:rsidRPr="00000000">
        <w:rPr>
          <w:rFonts w:ascii="Times New Roman" w:cs="Times New Roman" w:eastAsia="Times New Roman" w:hAnsi="Times New Roman"/>
          <w:sz w:val="24"/>
          <w:szCs w:val="24"/>
          <w:rtl w:val="0"/>
        </w:rPr>
        <w:t xml:space="preserve"> (Cheng et al., 2024). YOLOE amplía la estrategia con RepRTA para prompts textuales, SAVPE para prompts visuales y LRPC para un modo sin prompt explícito. Tras la reparametrización, su grafo de inferencia conserva una estructura equivalente a la de un YOLO de vocabulario cerrado (A. Wang et al., 2025).</w:t>
      </w:r>
    </w:p>
    <w:p w:rsidR="00000000" w:rsidDel="00000000" w:rsidP="00000000" w:rsidRDefault="00000000" w:rsidRPr="00000000" w14:paraId="0000001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puntos de operación publicados reflejan esa prioridad temporal. YOLO-World-L reporta 35,4 AP en LVIS-minival con 52,0 FPS sobre una NVIDIA V100 sin TensorRT. En LVIS-minival zero-shot, YOLOE-v8-S alcanza 27,9 AP con 305,8 FPS y YOLOE-v8-L 35,9 AP con 102,5 FPS sobre una NVIDIA T4 mediante TensorRT (Cheng et al., 2024; A. Wang et al., 2025). Estas cifras provienen de hardware y runtimes distintos y no constituyen un benchmark homogéneo. También debe distinguirse la versión evaluada, donde el trabajo original informa variantes YOLOE-v8 y YOLOE-11, mientras que YOLOE-26 es una extensión posterior de Ultralytics. Los resultados de las variantes v8 no deben presentarse como mediciones de YOLOE-26 (A. Wang et al., 2025; Ultralytics, 2026).</w:t>
      </w:r>
    </w:p>
    <w:p w:rsidR="00000000" w:rsidDel="00000000" w:rsidP="00000000" w:rsidRDefault="00000000" w:rsidRPr="00000000" w14:paraId="0000001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 se distribuye bajo GPL-3.0 y YOLOE bajo AGPL-3.0, licencias que pueden imponer obligaciones copyleft en integraciones posteriores (AILab-CVC, 2024; THU-MIG, 2025). La fortaleza de este paradigma es la velocidad y su compatibilidad con hardware de borde, y su limitación es una expresividad relativamente menor frente a consultas relacionales o con atributos altamente compuestos, no la ausencia de apertura semántica.</w:t>
      </w:r>
    </w:p>
    <w:p w:rsidR="00000000" w:rsidDel="00000000" w:rsidP="00000000" w:rsidRDefault="00000000" w:rsidRPr="00000000" w14:paraId="00000016">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15.2.1.3. Detectores dual-encoder CLIP-like con correspondencia por similitud</w:t>
      </w:r>
    </w:p>
    <w:p w:rsidR="00000000" w:rsidDel="00000000" w:rsidP="00000000" w:rsidRDefault="00000000" w:rsidRPr="00000000" w14:paraId="0000001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enfoques derivados de CLIP separan con mayor claridad la representación visual de la textual. OWL-ViT utiliza un Vision Transformer encoder-only que conserva tokens espaciales y agrega cabezales livianos para predecir, por token, una caja y un embedding de compatibilidad. La categoría de cada región se obtiene por similitud con embeddings derivados de las consultas, en lugar de surgir de un clasificador con logits fijos, lo que permite que el vocabulario pueda modificarse sin alterar los parámetros ni los cabezales del detector (Minderer et al., 2022). OWLv2 mantiene ese mecanismo y escala la supervisión mediante OWL-ST, que utiliza un modelo OWL-ViT para generar pseudo-cajas sobre WebLI. El entrenamiento incorpora un </w:t>
      </w:r>
      <w:r w:rsidDel="00000000" w:rsidR="00000000" w:rsidRPr="00000000">
        <w:rPr>
          <w:rFonts w:ascii="Times New Roman" w:cs="Times New Roman" w:eastAsia="Times New Roman" w:hAnsi="Times New Roman"/>
          <w:i w:val="1"/>
          <w:iCs w:val="1"/>
          <w:sz w:val="24"/>
          <w:szCs w:val="24"/>
          <w:rtl w:val="0"/>
        </w:rPr>
        <w:t xml:space="preserve">objectness head</w:t>
      </w:r>
      <w:r w:rsidDel="00000000" w:rsidR="00000000" w:rsidRPr="00000000">
        <w:rPr>
          <w:rFonts w:ascii="Times New Roman" w:cs="Times New Roman" w:eastAsia="Times New Roman" w:hAnsi="Times New Roman"/>
          <w:sz w:val="24"/>
          <w:szCs w:val="24"/>
          <w:rtl w:val="0"/>
        </w:rPr>
        <w:t xml:space="preserve"> para concentrar las pérdidas en tokens plausibles como objetos y token dropping para reducir el costo de optimización (Minderer et al., 2023).</w:t>
      </w:r>
    </w:p>
    <w:p w:rsidR="00000000" w:rsidDel="00000000" w:rsidP="00000000" w:rsidRDefault="00000000" w:rsidRPr="00000000" w14:paraId="0000001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LVIS, OWL-ViT L/14 reporta 34,6 AP y 31,2 AP en clases raras; OWLv2 L/14 con OWL-ST alcanza 44,6 AP zero-shot en clases raras de LVIS-val, y la variante G/14 llega a 47,2 AP. Los pesos de ambas generaciones se distribuyen bajo Apache-2.0 (Google, 2022, 2023; Minderer et al., 2022, 2023). </w:t>
      </w:r>
    </w:p>
    <w:p w:rsidR="00000000" w:rsidDel="00000000" w:rsidP="00000000" w:rsidRDefault="00000000" w:rsidRPr="00000000" w14:paraId="0000001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principal fortaleza de la familia es la modularidad. Esto permite que el vocabulario se amplíe o sustituya mediante nuevas consultas. Su costo depende, sin embargo, de la cantidad de embeddings activos. Cuando el vocabulario permanece estable entre cuadros, el cacheo evita recomputar la representación textual. Aún así, sostener una latencia estable exige controlar el tamaño del conjunto de consultas.</w:t>
      </w:r>
    </w:p>
    <w:p w:rsidR="00000000" w:rsidDel="00000000" w:rsidP="00000000" w:rsidRDefault="00000000" w:rsidRPr="00000000" w14:paraId="0000001A">
      <w:pPr>
        <w:pStyle w:val="Heading4"/>
        <w:spacing w:after="0" w:before="0" w:line="480" w:lineRule="auto"/>
        <w:rPr>
          <w:rFonts w:ascii="Times New Roman" w:cs="Times New Roman" w:eastAsia="Times New Roman" w:hAnsi="Times New Roman"/>
          <w:b w:val="1"/>
          <w:bCs w:val="1"/>
          <w:color w:val="000000"/>
        </w:rPr>
      </w:pPr>
      <w:bookmarkStart w:colFirst="0" w:colLast="0" w:name="_heading=h.ihr77a2sf2nj" w:id="4"/>
      <w:bookmarkEnd w:id="4"/>
      <w:r w:rsidDel="00000000" w:rsidR="00000000" w:rsidRPr="00000000">
        <w:rPr>
          <w:rFonts w:ascii="Times New Roman" w:cs="Times New Roman" w:eastAsia="Times New Roman" w:hAnsi="Times New Roman"/>
          <w:b w:val="1"/>
          <w:bCs w:val="1"/>
          <w:color w:val="000000"/>
          <w:rtl w:val="0"/>
        </w:rPr>
        <w:t xml:space="preserve">15.2.1.4. Modelos guiados por prompts generalistas: formulaciones generativas e híbridas</w:t>
      </w:r>
    </w:p>
    <w:p w:rsidR="00000000" w:rsidDel="00000000" w:rsidP="00000000" w:rsidRDefault="00000000" w:rsidRPr="00000000" w14:paraId="0000001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familia se define por ampliar la forma de especificar la tarea y el tipo de salida, no por una única topología de detector. Florence-2 constituye el caso propiamente generativo, donde interpreta una instrucción y produce secuencias de texto o tokens de localización. APE utiliza prompting generalista, pero genera predicciones estructuradas de manera directa. LLMDet incorpora conocimiento de un modelo de lenguaje durante el entrenamiento y prescinde de ese componente en inferencia. T-Rex2, en cambio, combina prompts textuales y visuales dentro de una formulación multimodal (Shen et al., 2023; Fu et al., 2025; Jiang et al., 2024; Xiao et al., 2024). El rasgo común es la flexibilidad de interacción, por lo que no corresponde atribuir decodificación autoregresiva ni una misma restricción temporal a toda la familia.</w:t>
      </w:r>
    </w:p>
    <w:p w:rsidR="00000000" w:rsidDel="00000000" w:rsidP="00000000" w:rsidRDefault="00000000" w:rsidRPr="00000000" w14:paraId="0000001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materializa esa unificación con un encoder visual DaViT y un Transformer encoder-decoder multimodal que genera etiquetas, cajas y otras salidas estructuradas sin cabezales específicos por tarea. Fue </w:t>
      </w:r>
      <w:r w:rsidDel="00000000" w:rsidR="00000000" w:rsidRPr="00000000">
        <w:rPr>
          <w:rFonts w:ascii="Times New Roman" w:cs="Times New Roman" w:eastAsia="Times New Roman" w:hAnsi="Times New Roman"/>
          <w:sz w:val="24"/>
          <w:szCs w:val="24"/>
          <w:rtl w:val="0"/>
        </w:rPr>
        <w:t xml:space="preserve">preentrenado</w:t>
      </w:r>
      <w:r w:rsidDel="00000000" w:rsidR="00000000" w:rsidRPr="00000000">
        <w:rPr>
          <w:rFonts w:ascii="Times New Roman" w:cs="Times New Roman" w:eastAsia="Times New Roman" w:hAnsi="Times New Roman"/>
          <w:sz w:val="24"/>
          <w:szCs w:val="24"/>
          <w:rtl w:val="0"/>
        </w:rPr>
        <w:t xml:space="preserve"> sobre FLD-5B, compuesto por 126 millones de imágenes y 5,4 mil millones de anotaciones, y su variante large reporta 37,5 mAP en detección zero-shot sobre COCO. Los pesos se publican bajo licencia MIT (Microsoft, 2024; Xiao et al., 2024). La decodificación autoregresiva introduce latencia variable y menor paralelismo, mientras que en APE el prompting masivo no equivale a una garantía de tiempo real estricto. LLMDet y T-Rex2 muestran que la flexibilidad lingüística o multimodal también puede integrarse sin mantener un generador </w:t>
      </w:r>
      <w:r w:rsidDel="00000000" w:rsidR="00000000" w:rsidRPr="00000000">
        <w:rPr>
          <w:rFonts w:ascii="Times New Roman" w:cs="Times New Roman" w:eastAsia="Times New Roman" w:hAnsi="Times New Roman"/>
          <w:sz w:val="24"/>
          <w:szCs w:val="24"/>
          <w:rtl w:val="0"/>
        </w:rPr>
        <w:t xml:space="preserve">autoregresivo</w:t>
      </w:r>
      <w:r w:rsidDel="00000000" w:rsidR="00000000" w:rsidRPr="00000000">
        <w:rPr>
          <w:rFonts w:ascii="Times New Roman" w:cs="Times New Roman" w:eastAsia="Times New Roman" w:hAnsi="Times New Roman"/>
          <w:sz w:val="24"/>
          <w:szCs w:val="24"/>
          <w:rtl w:val="0"/>
        </w:rPr>
        <w:t xml:space="preserve"> en inferencia. </w:t>
      </w:r>
    </w:p>
    <w:p w:rsidR="00000000" w:rsidDel="00000000" w:rsidP="00000000" w:rsidRDefault="00000000" w:rsidRPr="00000000" w14:paraId="0000001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familia aporta flexibilidad multitarea y multimodal, pero su aptitud temporal debe verificarse por modelo y configuración.</w:t>
      </w:r>
    </w:p>
    <w:p w:rsidR="00000000" w:rsidDel="00000000" w:rsidP="00000000" w:rsidRDefault="00000000" w:rsidRPr="00000000" w14:paraId="0000001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ubhtghhxhuzd" w:id="5"/>
      <w:bookmarkEnd w:id="5"/>
      <w:r w:rsidDel="00000000" w:rsidR="00000000" w:rsidRPr="00000000">
        <w:rPr>
          <w:rFonts w:ascii="Times New Roman" w:cs="Times New Roman" w:eastAsia="Times New Roman" w:hAnsi="Times New Roman"/>
          <w:b w:val="1"/>
          <w:bCs w:val="1"/>
          <w:i w:val="1"/>
          <w:iCs w:val="1"/>
          <w:color w:val="000000"/>
          <w:sz w:val="24"/>
          <w:szCs w:val="24"/>
          <w:rtl w:val="0"/>
        </w:rPr>
        <w:t xml:space="preserve">15.2.2. Composición de modelos y pipelines de percepción</w:t>
      </w:r>
    </w:p>
    <w:p w:rsidR="00000000" w:rsidDel="00000000" w:rsidP="00000000" w:rsidRDefault="00000000" w:rsidRPr="00000000" w14:paraId="0000001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detectores OVD pueden integrarse en pipelines que combinan capacidades complementarias. Grounded SAM ejemplifica esta composición al encadenar detección condicionada por texto con segmentación universal, mientras que OVTrack formaliza una extensión temporal mediante tracking-by-detection en vocabulario abierto (Ren, Liu, et al., 2024; S. Li et al., 2023). El aporte conceptual de estos enfoques no es un modelo aislado, sino la posibilidad de desacoplar etapas con responsabilidades distintas.</w:t>
      </w:r>
    </w:p>
    <w:p w:rsidR="00000000" w:rsidDel="00000000" w:rsidP="00000000" w:rsidRDefault="00000000" w:rsidRPr="00000000" w14:paraId="00000020">
      <w:pPr>
        <w:spacing w:after="0" w:before="0" w:line="480" w:lineRule="auto"/>
        <w:ind w:left="0" w:firstLine="720"/>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modularidad permite sustituir componentes y ampliar capacidades, pero también acumula latencia, dependencias de integración y fuentes de variabilidad. Para sistemas de video en tiempo real, la evaluación debe considerar el pipeline completo y no sólo la precisión de cada modelo por separado; este criterio enlaza la detección con el seguimiento temporal y con las etapas posteriores de generación de eventos.</w:t>
      </w:r>
    </w:p>
    <w:p w:rsidR="00000000" w:rsidDel="00000000" w:rsidP="00000000" w:rsidRDefault="00000000" w:rsidRPr="00000000" w14:paraId="00000021">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dc9pvkrxqe91" w:id="6"/>
      <w:bookmarkEnd w:id="6"/>
      <w:r w:rsidDel="00000000" w:rsidR="00000000" w:rsidRPr="00000000">
        <w:rPr>
          <w:rFonts w:ascii="Times New Roman" w:cs="Times New Roman" w:eastAsia="Times New Roman" w:hAnsi="Times New Roman"/>
          <w:b w:val="1"/>
          <w:bCs w:val="1"/>
          <w:i w:val="1"/>
          <w:iCs w:val="1"/>
          <w:color w:val="000000"/>
          <w:sz w:val="24"/>
          <w:szCs w:val="24"/>
          <w:rtl w:val="0"/>
        </w:rPr>
        <w:t xml:space="preserve">15.2.3. Síntesis comparativa y trade-offs para tiempo real</w:t>
      </w:r>
    </w:p>
    <w:p w:rsidR="00000000" w:rsidDel="00000000" w:rsidP="00000000" w:rsidRDefault="00000000" w:rsidRPr="00000000" w14:paraId="00000022">
      <w:pPr>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Tabla 2 sintetiza las características fundamentales de los cuatro paradigmas arquitectónicos analizados, con énfasis en las dimensiones más relevantes para la viabilidad del sistema E-</w:t>
      </w:r>
      <w:r w:rsidDel="00000000" w:rsidR="00000000" w:rsidRPr="00000000">
        <w:rPr>
          <w:rFonts w:ascii="Times New Roman" w:cs="Times New Roman" w:eastAsia="Times New Roman" w:hAnsi="Times New Roman"/>
          <w:sz w:val="24"/>
          <w:szCs w:val="24"/>
          <w:rtl w:val="0"/>
        </w:rPr>
        <w:t xml:space="preserve">OVRT</w:t>
      </w:r>
      <w:r w:rsidDel="00000000" w:rsidR="00000000" w:rsidRPr="00000000">
        <w:rPr>
          <w:rFonts w:ascii="Times New Roman" w:cs="Times New Roman" w:eastAsia="Times New Roman" w:hAnsi="Times New Roman"/>
          <w:sz w:val="24"/>
          <w:szCs w:val="24"/>
          <w:rtl w:val="0"/>
        </w:rPr>
        <w:t xml:space="preserve">-VDP en un contexto de vídeo en tiempo real. </w:t>
      </w:r>
      <w:r w:rsidDel="00000000" w:rsidR="00000000" w:rsidRPr="00000000">
        <w:rPr>
          <w:rtl w:val="0"/>
        </w:rPr>
      </w:r>
    </w:p>
    <w:p w:rsidR="00000000" w:rsidDel="00000000" w:rsidP="00000000" w:rsidRDefault="00000000" w:rsidRPr="00000000" w14:paraId="00000023">
      <w:pPr>
        <w:keepNext w:val="1"/>
        <w:keepLines w:val="1"/>
        <w:spacing w:after="0" w:before="0" w:line="480" w:lineRule="auto"/>
        <w:ind w:left="0" w:right="0" w:firstLine="0"/>
        <w:rPr>
          <w:rFonts w:ascii="Times New Roman" w:cs="Times New Roman" w:eastAsia="Times New Roman" w:hAnsi="Times New Roman"/>
          <w:b w:val="1"/>
          <w:bCs w:val="1"/>
          <w:i w:val="1"/>
          <w:iCs w:val="1"/>
          <w:sz w:val="24"/>
          <w:szCs w:val="24"/>
        </w:rPr>
      </w:pPr>
      <w:bookmarkStart w:colFirst="0" w:colLast="0" w:name="_heading=h.zox1et0cdv1" w:id="7"/>
      <w:bookmarkEnd w:id="7"/>
      <w:r w:rsidDel="00000000" w:rsidR="00000000" w:rsidRPr="00000000">
        <w:rPr>
          <w:rFonts w:ascii="Times New Roman" w:cs="Times New Roman" w:eastAsia="Times New Roman" w:hAnsi="Times New Roman"/>
          <w:b w:val="1"/>
          <w:bCs w:val="1"/>
          <w:i w:val="0"/>
          <w:iCs w:val="0"/>
          <w:color w:val="000000"/>
          <w:sz w:val="24"/>
          <w:szCs w:val="24"/>
          <w:rtl w:val="0"/>
        </w:rPr>
        <w:t xml:space="preserve">Tabla 2</w:t>
      </w:r>
      <w:r w:rsidDel="00000000" w:rsidR="00000000" w:rsidRPr="00000000">
        <w:rPr>
          <w:rtl w:val="0"/>
        </w:rPr>
      </w:r>
    </w:p>
    <w:p w:rsidR="00000000" w:rsidDel="00000000" w:rsidP="00000000" w:rsidRDefault="00000000" w:rsidRPr="00000000" w14:paraId="00000024">
      <w:pPr>
        <w:keepNext w:val="1"/>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Síntesis comparativa de paradigmas arquitectónicos OVD según dimensiones relevantes para sistemas de video en tiempo real</w:t>
      </w:r>
      <w:r w:rsidDel="00000000" w:rsidR="00000000" w:rsidRPr="00000000">
        <w:rPr>
          <w:rtl w:val="0"/>
        </w:rPr>
      </w:r>
    </w:p>
    <w:tbl>
      <w:tblPr>
        <w:tblStyle w:val="Table1"/>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564"/>
        <w:gridCol w:w="2657"/>
        <w:gridCol w:w="2806"/>
        <w:gridCol w:w="2135"/>
        <w:gridCol w:w="3798"/>
        <w:tblGridChange w:id="0">
          <w:tblGrid>
            <w:gridCol w:w="1564"/>
            <w:gridCol w:w="2657"/>
            <w:gridCol w:w="2806"/>
            <w:gridCol w:w="2135"/>
            <w:gridCol w:w="3798"/>
          </w:tblGrid>
        </w:tblGridChange>
      </w:tblGrid>
      <w:tr>
        <w:trPr>
          <w:cantSplit w:val="1"/>
          <w:tblHeader w:val="1"/>
        </w:trPr>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Paradigma</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Modelo(s) representativos</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Mecanismo visión-lenguaje</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Fortaleza principal</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Limitación para tiempo real</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2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DETR/DINO + fusión profunda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2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 MM-Grounding-DINO, DINO-X</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2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Fusión multimodal en decoder mediante atención cruzada visión-lenguaje</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2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precisión semántica; manejo de expresiones referenciales complejas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2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Costo computacional elevado; requiere optimización explícita para tiempo real</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2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One-stage YOLO + puntuación región-texto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 YOLOE</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Alineamiento región-texto reparametrizable; reducción progresiva del overhead de fusión mediante </w:t>
            </w:r>
            <w:r w:rsidDel="00000000" w:rsidR="00000000" w:rsidRPr="00000000">
              <w:rPr>
                <w:rFonts w:ascii="Times New Roman" w:cs="Times New Roman" w:eastAsia="Times New Roman" w:hAnsi="Times New Roman"/>
                <w:i w:val="0"/>
                <w:iCs w:val="0"/>
                <w:color w:val="000000"/>
                <w:sz w:val="24"/>
                <w:szCs w:val="24"/>
                <w:rtl w:val="0"/>
              </w:rPr>
              <w:t xml:space="preserve">reparametrización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velocidad de inferencia; compatible con hardware de borde</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Menor expresividad semántica frente a consultas complejas o con atributos compuestos</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3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Dual-encoder CLIP-like + matching por similitud</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OWL-ViT, OWLv2</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Matching por similitud en espacio de embeddings compartido; reutilización directa de preentrenamiento contrastivo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Modularidad; cambio de vocabulario sin modificar el modelo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latencia variable según tamaño del vocabulario; requiere caching para vocabularios estables; requiere cómputo de embeddings por consulta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3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Prompts generalistas: generativo e híbrido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Florence-2, APE, LLMDet, T-Rex2</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Mecanismos heterogéneos: generación autoregresiva en Florence-2; predicción directa o integración híbrida en APE, </w:t>
            </w:r>
            <w:r w:rsidDel="00000000" w:rsidR="00000000" w:rsidRPr="00000000">
              <w:rPr>
                <w:rFonts w:ascii="Times New Roman" w:cs="Times New Roman" w:eastAsia="Times New Roman" w:hAnsi="Times New Roman"/>
                <w:i w:val="0"/>
                <w:iCs w:val="0"/>
                <w:color w:val="000000"/>
                <w:sz w:val="24"/>
                <w:szCs w:val="24"/>
                <w:rtl w:val="0"/>
              </w:rPr>
              <w:t xml:space="preserve">LLMDet</w:t>
            </w:r>
            <w:r w:rsidDel="00000000" w:rsidR="00000000" w:rsidRPr="00000000">
              <w:rPr>
                <w:rFonts w:ascii="Times New Roman" w:cs="Times New Roman" w:eastAsia="Times New Roman" w:hAnsi="Times New Roman"/>
                <w:i w:val="0"/>
                <w:iCs w:val="0"/>
                <w:color w:val="000000"/>
                <w:sz w:val="24"/>
                <w:szCs w:val="24"/>
                <w:rtl w:val="0"/>
              </w:rPr>
              <w:t xml:space="preserve"> y T-</w:t>
            </w:r>
            <w:r w:rsidDel="00000000" w:rsidR="00000000" w:rsidRPr="00000000">
              <w:rPr>
                <w:rFonts w:ascii="Times New Roman" w:cs="Times New Roman" w:eastAsia="Times New Roman" w:hAnsi="Times New Roman"/>
                <w:i w:val="0"/>
                <w:iCs w:val="0"/>
                <w:color w:val="000000"/>
                <w:sz w:val="24"/>
                <w:szCs w:val="24"/>
                <w:rtl w:val="0"/>
              </w:rPr>
              <w:t xml:space="preserve">Rex2</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Flexibilidad multitarea; soporte para prompts complejos y multimodales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Florence-2: latencia de inferencia variable e inestabilidad temporal por decodificación autoregresiva; APE: costo de prompting masivo escalable pero sin garantías de tiempo real estricto</w:t>
            </w:r>
            <w:r w:rsidDel="00000000" w:rsidR="00000000" w:rsidRPr="00000000">
              <w:rPr>
                <w:rtl w:val="0"/>
              </w:rPr>
            </w:r>
          </w:p>
        </w:tc>
      </w:tr>
    </w:tbl>
    <w:p w:rsidR="00000000" w:rsidDel="00000000" w:rsidP="00000000" w:rsidRDefault="00000000" w:rsidRPr="00000000" w14:paraId="0000003E">
      <w:pPr>
        <w:keepLines w:val="1"/>
        <w:spacing w:after="0" w:before="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10">
        <w:r w:rsidDel="00000000" w:rsidR="00000000" w:rsidRPr="00000000">
          <w:rPr>
            <w:rFonts w:ascii="Times New Roman" w:cs="Times New Roman" w:eastAsia="Times New Roman" w:hAnsi="Times New Roman"/>
            <w:i w:val="0"/>
            <w:iCs w:val="0"/>
            <w:color w:val="000000"/>
            <w:sz w:val="24"/>
            <w:szCs w:val="24"/>
            <w:rtl w:val="0"/>
          </w:rPr>
          <w:t xml:space="preserve">(Cheng et al., 2024; Liu et al., 2024; Minderer et al., 2022, 2023; A. Wang et al., 2025; Xiao et al., 2024)</w:t>
        </w:r>
      </w:hyperlink>
      <w:r w:rsidDel="00000000" w:rsidR="00000000" w:rsidRPr="00000000">
        <w:rPr>
          <w:rFonts w:ascii="Times New Roman" w:cs="Times New Roman" w:eastAsia="Times New Roman" w:hAnsi="Times New Roman"/>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03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de disponibilidad constituye una dimensión independiente del rendimiento. YOLO-World y YOLOE se publican bajo GPL-3.0 y AGPL-3.0, respectivamente, mientras que el Grounding DINO original y OWLv2 utilizan licencias permisivas Apache-2.0; por otra parte, Grounding DINO 1.5 y DINO-X se ofrecen mediante API sin pesos abiertos. Estas diferencias afectan la reproducción independiente, la redistribución de artefactos y la continuidad tecnológica, aún en un prototipo académico. Por ello, la comparación de alternativas debe distinguir entre licencia del código, licencia de los pesos y condiciones del servicio de acceso (AILab-CVC, 2024; Google, 2022, 2023; IDEA-Research, 2024a, 2024c; THU-MIG, 2025).</w:t>
      </w:r>
    </w:p>
    <w:p w:rsidR="00000000" w:rsidDel="00000000" w:rsidP="00000000" w:rsidRDefault="00000000" w:rsidRPr="00000000" w14:paraId="00000040">
      <w:pPr>
        <w:spacing w:after="0" w:before="0" w:line="480" w:lineRule="auto"/>
        <w:ind w:firstLine="720"/>
        <w:rPr>
          <w:rFonts w:ascii="Times New Roman" w:cs="Times New Roman" w:eastAsia="Times New Roman" w:hAnsi="Times New Roman"/>
          <w:sz w:val="24"/>
          <w:szCs w:val="24"/>
        </w:rPr>
      </w:pPr>
      <w:sdt>
        <w:sdtPr>
          <w:id w:val="-122681847"/>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análisis comparativo emergen tres tensiones técnicas que deben considerarse como criterios de selección. </w:t>
      </w:r>
    </w:p>
    <w:p w:rsidR="00000000" w:rsidDel="00000000" w:rsidP="00000000" w:rsidRDefault="00000000" w:rsidRPr="00000000" w14:paraId="0000004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tensión entre precisión semántica y latencia de inferencia. Los modelos </w:t>
      </w:r>
      <w:r w:rsidDel="00000000" w:rsidR="00000000" w:rsidRPr="00000000">
        <w:rPr>
          <w:rFonts w:ascii="Times New Roman" w:cs="Times New Roman" w:eastAsia="Times New Roman" w:hAnsi="Times New Roman"/>
          <w:sz w:val="24"/>
          <w:szCs w:val="24"/>
          <w:rtl w:val="0"/>
        </w:rPr>
        <w:t xml:space="preserve">con fusión</w:t>
      </w:r>
      <w:r w:rsidDel="00000000" w:rsidR="00000000" w:rsidRPr="00000000">
        <w:rPr>
          <w:rFonts w:ascii="Times New Roman" w:cs="Times New Roman" w:eastAsia="Times New Roman" w:hAnsi="Times New Roman"/>
          <w:sz w:val="24"/>
          <w:szCs w:val="24"/>
          <w:rtl w:val="0"/>
        </w:rPr>
        <w:t xml:space="preserve"> visión-lenguaje más </w:t>
      </w:r>
      <w:r w:rsidDel="00000000" w:rsidR="00000000" w:rsidRPr="00000000">
        <w:rPr>
          <w:rFonts w:ascii="Times New Roman" w:cs="Times New Roman" w:eastAsia="Times New Roman" w:hAnsi="Times New Roman"/>
          <w:sz w:val="24"/>
          <w:szCs w:val="24"/>
          <w:rtl w:val="0"/>
        </w:rPr>
        <w:t xml:space="preserve">profunda</w:t>
      </w:r>
      <w:r w:rsidDel="00000000" w:rsidR="00000000" w:rsidRPr="00000000">
        <w:rPr>
          <w:rFonts w:ascii="Times New Roman" w:cs="Times New Roman" w:eastAsia="Times New Roman" w:hAnsi="Times New Roman"/>
          <w:sz w:val="24"/>
          <w:szCs w:val="24"/>
          <w:rtl w:val="0"/>
        </w:rPr>
        <w:t xml:space="preserve"> suelen ofrecer mayor capacidad frente a consultas complejas, pero con un costo computacional que puede reducir la tasa de procesamiento. </w:t>
      </w:r>
    </w:p>
    <w:p w:rsidR="00000000" w:rsidDel="00000000" w:rsidP="00000000" w:rsidRDefault="00000000" w:rsidRPr="00000000" w14:paraId="000000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tensión entre generalización zero-shot y especialización de dominio. Los benchmarks generales no representan por sí mismos las condiciones visuales de una obra civil. Esta tensión se extiende al fine-tuning. La evidencia revisada no permite atribuir la retención open-vocabulary a una familia arquitectónica por sí sola, porque las comparaciones utilizan datos, módulos entrenables y protocolos diferentes. La retención depende de la receta aplicada, lo cual define qué parámetros se ajustan o congelan, si se conserva supervisión lingüística amplia y si se evalúan categorías no vistas (Cheng et al., 2024;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2023; X. Zhao et al., 2024). Por ello, debe describirse para cada configuración y no inferirse de la profundidad o </w:t>
      </w:r>
      <w:r w:rsidDel="00000000" w:rsidR="00000000" w:rsidRPr="00000000">
        <w:rPr>
          <w:rFonts w:ascii="Times New Roman" w:cs="Times New Roman" w:eastAsia="Times New Roman" w:hAnsi="Times New Roman"/>
          <w:sz w:val="24"/>
          <w:szCs w:val="24"/>
          <w:rtl w:val="0"/>
        </w:rPr>
        <w:t xml:space="preserve">removibilidad</w:t>
      </w:r>
      <w:r w:rsidDel="00000000" w:rsidR="00000000" w:rsidRPr="00000000">
        <w:rPr>
          <w:rFonts w:ascii="Times New Roman" w:cs="Times New Roman" w:eastAsia="Times New Roman" w:hAnsi="Times New Roman"/>
          <w:sz w:val="24"/>
          <w:szCs w:val="24"/>
          <w:rtl w:val="0"/>
        </w:rPr>
        <w:t xml:space="preserve"> de la fusión. </w:t>
      </w:r>
    </w:p>
    <w:p w:rsidR="00000000" w:rsidDel="00000000" w:rsidP="00000000" w:rsidRDefault="00000000" w:rsidRPr="00000000" w14:paraId="0000004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tensión entre expresividad semántica y simplicidad del prompt. Las consultas más precisas exigen mayor control de formulación, introduciendo una variable de diseño ausente en sistemas closed-set.</w:t>
      </w:r>
    </w:p>
    <w:p w:rsidR="00000000" w:rsidDel="00000000" w:rsidP="00000000" w:rsidRDefault="00000000" w:rsidRPr="00000000" w14:paraId="000000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observación transversal es que, en los modelos que permiten reutilizar la representación textual, el cacheo de embeddings entre cuadros reduce el costo recurrente cuando el vocabulario permanece estable (A. Wang et al., 2025; T. Zhao et al., 2024). Dado que las condiciones de riesgo se definen al inicio de la sesión y se mantienen constantes, esta estrategia resulta directamente aplicable al escenario considerado.</w:t>
      </w:r>
    </w:p>
    <w:p w:rsidR="00000000" w:rsidDel="00000000" w:rsidP="00000000" w:rsidRDefault="00000000" w:rsidRPr="00000000" w14:paraId="0000004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tendencia hacia pipelines composicionales descrita en esta sección introduce una cuarta tensión que opera en un plano distinto a las anteriores, siendo esta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047">
      <w:pPr>
        <w:pStyle w:val="Heading4"/>
        <w:spacing w:after="0" w:before="0" w:line="480" w:lineRule="auto"/>
        <w:rPr>
          <w:rFonts w:ascii="Times New Roman" w:cs="Times New Roman" w:eastAsia="Times New Roman" w:hAnsi="Times New Roman"/>
          <w:b w:val="1"/>
          <w:bCs w:val="1"/>
          <w:color w:val="000000"/>
        </w:rPr>
      </w:pPr>
      <w:bookmarkStart w:colFirst="0" w:colLast="0" w:name="_heading=h.9wj48vazq6ic" w:id="8"/>
      <w:bookmarkEnd w:id="8"/>
      <w:r w:rsidDel="00000000" w:rsidR="00000000" w:rsidRPr="00000000">
        <w:rPr>
          <w:rFonts w:ascii="Times New Roman" w:cs="Times New Roman" w:eastAsia="Times New Roman" w:hAnsi="Times New Roman"/>
          <w:b w:val="1"/>
          <w:bCs w:val="1"/>
          <w:color w:val="000000"/>
          <w:rtl w:val="0"/>
        </w:rPr>
        <w:t xml:space="preserve">15.2.3.1. Análisis de rendimiento para tiempo real</w:t>
      </w:r>
    </w:p>
    <w:p w:rsidR="00000000" w:rsidDel="00000000" w:rsidP="00000000" w:rsidRDefault="00000000" w:rsidRPr="00000000" w14:paraId="00000048">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Desde el punto de vista del desempeño temporal, varios de los modelos analizados presentan características compatibles con aplicaciones de análisis de vídeo en tiempo real. La Tabla 3 resume puntos de operación publicados para modelos representativos y calcula, a partir de sus FPS, una latencia teórica por cuadro; estos valores no constituyen mediciones homogéneas de latencia.</w:t>
      </w:r>
    </w:p>
    <w:p w:rsidR="00000000" w:rsidDel="00000000" w:rsidP="00000000" w:rsidRDefault="00000000" w:rsidRPr="00000000" w14:paraId="00000049">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upwwcyl4a7ym" w:id="9"/>
      <w:bookmarkEnd w:id="9"/>
      <w:r w:rsidDel="00000000" w:rsidR="00000000" w:rsidRPr="00000000">
        <w:rPr>
          <w:rFonts w:ascii="Times New Roman" w:cs="Times New Roman" w:eastAsia="Times New Roman" w:hAnsi="Times New Roman"/>
          <w:b w:val="1"/>
          <w:bCs w:val="1"/>
          <w:i w:val="0"/>
          <w:iCs w:val="0"/>
          <w:color w:val="000000"/>
          <w:sz w:val="24"/>
          <w:szCs w:val="24"/>
          <w:rtl w:val="0"/>
        </w:rPr>
        <w:t xml:space="preserve">Tabla 3</w:t>
      </w:r>
      <w:r w:rsidDel="00000000" w:rsidR="00000000" w:rsidRPr="00000000">
        <w:rPr>
          <w:rtl w:val="0"/>
        </w:rPr>
      </w:r>
    </w:p>
    <w:p w:rsidR="00000000" w:rsidDel="00000000" w:rsidP="00000000" w:rsidRDefault="00000000" w:rsidRPr="00000000" w14:paraId="0000004A">
      <w:pPr>
        <w:keepNext w:val="1"/>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Análisis comparativo de rendimiento de modelos OVD para tiempo real</w:t>
      </w:r>
      <w:r w:rsidDel="00000000" w:rsidR="00000000" w:rsidRPr="00000000">
        <w:rPr>
          <w:rtl w:val="0"/>
        </w:rPr>
      </w:r>
    </w:p>
    <w:tbl>
      <w:tblPr>
        <w:tblStyle w:val="Table2"/>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550"/>
        <w:gridCol w:w="1357"/>
        <w:gridCol w:w="2073"/>
        <w:gridCol w:w="1133"/>
        <w:gridCol w:w="2839"/>
        <w:gridCol w:w="3008"/>
        <w:tblGridChange w:id="0">
          <w:tblGrid>
            <w:gridCol w:w="2550"/>
            <w:gridCol w:w="1357"/>
            <w:gridCol w:w="2073"/>
            <w:gridCol w:w="1133"/>
            <w:gridCol w:w="2839"/>
            <w:gridCol w:w="3008"/>
          </w:tblGrid>
        </w:tblGridChange>
      </w:tblGrid>
      <w:tr>
        <w:trPr>
          <w:cantSplit w:val="1"/>
          <w:tblHeader w:val="1"/>
        </w:trPr>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Modelo</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Hardware</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Framework</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FPS</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Latencia derivada (ms/cuadro)</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5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LVIS-minival AP@[0,50:0,95]</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5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YOLOE-v8-S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TensorRT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305,8</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3,3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27,9</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5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YOLOE-v8-L</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TensorRT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102,5</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9,8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35,9</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5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G-DINO 1.5 Edge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A100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TensorRT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75,2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13,3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36,2</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6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YOLO-World-L</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V100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PyTorch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52,0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19,2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35,4</w:t>
            </w:r>
            <w:r w:rsidDel="00000000" w:rsidR="00000000" w:rsidRPr="00000000">
              <w:rPr>
                <w:rtl w:val="0"/>
              </w:rPr>
            </w:r>
          </w:p>
        </w:tc>
      </w:tr>
    </w:tbl>
    <w:p w:rsidR="00000000" w:rsidDel="00000000" w:rsidP="00000000" w:rsidRDefault="00000000" w:rsidRPr="00000000" w14:paraId="00000069">
      <w:pPr>
        <w:keepLines w:val="1"/>
        <w:spacing w:after="0" w:before="0" w:line="48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Nota.</w:t>
      </w:r>
      <w:r w:rsidDel="00000000" w:rsidR="00000000" w:rsidRPr="00000000">
        <w:rPr>
          <w:rFonts w:ascii="Times New Roman" w:cs="Times New Roman" w:eastAsia="Times New Roman" w:hAnsi="Times New Roman"/>
          <w:i w:val="0"/>
          <w:iCs w:val="0"/>
          <w:color w:val="000000"/>
          <w:sz w:val="24"/>
          <w:szCs w:val="24"/>
          <w:rtl w:val="0"/>
        </w:rPr>
        <w:t xml:space="preserve"> La columna «Latencia derivada» se calculó como 1000/FPS y expresa milisegundos por cuadro inferidos de la tasa publicada; no corresponde a una medición independiente de latencia. Los valores de FPS y AP provienen de trabajos originales con hardware, resolución, batch size y runtime no homogéneos. Por ello, la tabla muestra puntos de operación indicativos, no benchmarks normalizados ni latencia extremo a extremo. Fuente: elaboración propia basada en A. Wang et al. (2025), Ren, Jiang, et al. (2024) y Cheng et al. (2024).</w:t>
      </w:r>
      <w:r w:rsidDel="00000000" w:rsidR="00000000" w:rsidRPr="00000000">
        <w:rPr>
          <w:rtl w:val="0"/>
        </w:rPr>
      </w:r>
    </w:p>
    <w:p w:rsidR="00000000" w:rsidDel="00000000" w:rsidP="00000000" w:rsidRDefault="00000000" w:rsidRPr="00000000" w14:paraId="0000006A">
      <w:pPr>
        <w:spacing w:after="0" w:before="0"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puntos de operación de la tabla describen rendimiento publicado sobre benchmarks generales y no constituyen una predicción del desempeño sobre condiciones de EPP en construcción. La brecha entre benchmark general y condición de dominio se desarrolla en la sección 15.2.5.4.</w:t>
      </w:r>
    </w:p>
    <w:p w:rsidR="00000000" w:rsidDel="00000000" w:rsidP="00000000" w:rsidRDefault="00000000" w:rsidRPr="00000000" w14:paraId="0000006B">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ygqibvodzobw" w:id="10"/>
      <w:bookmarkEnd w:id="10"/>
      <w:r w:rsidDel="00000000" w:rsidR="00000000" w:rsidRPr="00000000">
        <w:rPr>
          <w:rFonts w:ascii="Times New Roman" w:cs="Times New Roman" w:eastAsia="Times New Roman" w:hAnsi="Times New Roman"/>
          <w:b w:val="1"/>
          <w:bCs w:val="1"/>
          <w:i w:val="1"/>
          <w:iCs w:val="1"/>
          <w:color w:val="000000"/>
          <w:sz w:val="24"/>
          <w:szCs w:val="24"/>
          <w:rtl w:val="0"/>
        </w:rPr>
        <w:t xml:space="preserve">15.2.4. Adaptabilidad mediante fine-tuning y preservación de capacidad open-vocabulary</w:t>
      </w:r>
    </w:p>
    <w:p w:rsidR="00000000" w:rsidDel="00000000" w:rsidP="00000000" w:rsidRDefault="00000000" w:rsidRPr="00000000" w14:paraId="0000006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 un modelo preentrenado introduce un compromiso entre especialización de dominio y preservación de las representaciones adquiridas. La literatura muestra que actualizar todos los parámetros puede mejorar el desempeño in-domain y, al mismo tiempo, deteriorar la generalización fuera de distribución frente a estrategias que congelan la mayor parte del modelo; este fenómeno se vincula con el olvido catastrófico (catastrophic forgetting) y exige medir la retención de forma explícita (Kirkpatrick et al., 2017; Kumar et al., 2022). Cuando la evidencia del dominio es limitada, la cantidad y ubicación de los parámetros actualizados también importan. Una solución </w:t>
      </w:r>
      <w:r w:rsidDel="00000000" w:rsidR="00000000" w:rsidRPr="00000000">
        <w:rPr>
          <w:rFonts w:ascii="Times New Roman" w:cs="Times New Roman" w:eastAsia="Times New Roman" w:hAnsi="Times New Roman"/>
          <w:sz w:val="24"/>
          <w:szCs w:val="24"/>
          <w:rtl w:val="0"/>
        </w:rPr>
        <w:t xml:space="preserve">es el ajuste</w:t>
      </w:r>
      <w:r w:rsidDel="00000000" w:rsidR="00000000" w:rsidRPr="00000000">
        <w:rPr>
          <w:rFonts w:ascii="Times New Roman" w:cs="Times New Roman" w:eastAsia="Times New Roman" w:hAnsi="Times New Roman"/>
          <w:sz w:val="24"/>
          <w:szCs w:val="24"/>
          <w:rtl w:val="0"/>
        </w:rPr>
        <w:t xml:space="preserve"> selectivo de capas, el cual puede puede preservar mejor información </w:t>
      </w:r>
      <w:r w:rsidDel="00000000" w:rsidR="00000000" w:rsidRPr="00000000">
        <w:rPr>
          <w:rFonts w:ascii="Times New Roman" w:cs="Times New Roman" w:eastAsia="Times New Roman" w:hAnsi="Times New Roman"/>
          <w:sz w:val="24"/>
          <w:szCs w:val="24"/>
          <w:rtl w:val="0"/>
        </w:rPr>
        <w:t xml:space="preserve">preentrenada</w:t>
      </w:r>
      <w:r w:rsidDel="00000000" w:rsidR="00000000" w:rsidRPr="00000000">
        <w:rPr>
          <w:rFonts w:ascii="Times New Roman" w:cs="Times New Roman" w:eastAsia="Times New Roman" w:hAnsi="Times New Roman"/>
          <w:sz w:val="24"/>
          <w:szCs w:val="24"/>
          <w:rtl w:val="0"/>
        </w:rPr>
        <w:t xml:space="preserve"> que el ajuste completo (Lee et al., 2023).</w:t>
      </w:r>
    </w:p>
    <w:p w:rsidR="00000000" w:rsidDel="00000000" w:rsidP="00000000" w:rsidRDefault="00000000" w:rsidRPr="00000000" w14:paraId="0000006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Grounding DINO se documentan fine-tuning closed-set,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continuado open-set y ajuste open-vocabulary. MM-Grounding-DINO, por su parte, muestra que la retención depende de mantener supervisión y evaluación sobre categorías no vistas (X. Zhao et al., 2024). La adaptación con LoRA constituye una variante de actualización acotada en la que se conservan congelados los backbones y se entrenan adaptadores de bajo rango (Rasaee et al., 2025). Como referencia de especialización, Grounding DINO con Swin-L reporta 62,6 AP en COCO val y 63,0 AP en test-dev tras fine-tuning closed-set, frente a 52,5 AP en su evaluación zero-shot; los regímenes no son equivalentes y no deben confundirse (Liu et al., 2024).</w:t>
      </w:r>
    </w:p>
    <w:p w:rsidR="00000000" w:rsidDel="00000000" w:rsidP="00000000" w:rsidRDefault="00000000" w:rsidRPr="00000000" w14:paraId="0000006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YOLO-World, la documentación distingue el ajuste con Mixed Grounding Dataset, que conserva textos y tareas de grounding, del ajuste closed-set con MultiModal Dataset y vocabulario fijo. La variante </w:t>
      </w:r>
      <w:r w:rsidDel="00000000" w:rsidR="00000000" w:rsidRPr="00000000">
        <w:rPr>
          <w:rFonts w:ascii="Times New Roman" w:cs="Times New Roman" w:eastAsia="Times New Roman" w:hAnsi="Times New Roman"/>
          <w:sz w:val="24"/>
          <w:szCs w:val="24"/>
          <w:rtl w:val="0"/>
        </w:rPr>
        <w:t xml:space="preserve">reparametrizada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elimina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RepVL</w:t>
      </w:r>
      <w:r w:rsidDel="00000000" w:rsidR="00000000" w:rsidRPr="00000000">
        <w:rPr>
          <w:rFonts w:ascii="Times New Roman" w:cs="Times New Roman" w:eastAsia="Times New Roman" w:hAnsi="Times New Roman"/>
          <w:sz w:val="24"/>
          <w:szCs w:val="24"/>
          <w:rtl w:val="0"/>
        </w:rPr>
        <w:t xml:space="preserve">-PAN y el encoder textual, con lo cual prioriza eficiencia a costa de cerrar el vocabulario. El ajuste del encoder textual puede degradar la generalización, mientras que congelarlo o conservar supervisión abierta reduce ese riesgo (AILab-CVC, 2024; Cheng et al., 2024).</w:t>
      </w:r>
    </w:p>
    <w:p w:rsidR="00000000" w:rsidDel="00000000" w:rsidP="00000000" w:rsidRDefault="00000000" w:rsidRPr="00000000" w14:paraId="0000006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 ofrece linear probing y full tuning para transferencia a un dominio. La receta estándar produce un modelo de vocabulario fijo después del ajuste; los autores no reportan una métrica de retención open-vocabulary para ese camino. Evaluarla exige </w:t>
      </w:r>
      <w:r w:rsidDel="00000000" w:rsidR="00000000" w:rsidRPr="00000000">
        <w:rPr>
          <w:rFonts w:ascii="Times New Roman" w:cs="Times New Roman" w:eastAsia="Times New Roman" w:hAnsi="Times New Roman"/>
          <w:sz w:val="24"/>
          <w:szCs w:val="24"/>
          <w:rtl w:val="0"/>
        </w:rPr>
        <w:t xml:space="preserve">reinyectar</w:t>
      </w:r>
      <w:r w:rsidDel="00000000" w:rsidR="00000000" w:rsidRPr="00000000">
        <w:rPr>
          <w:rFonts w:ascii="Times New Roman" w:cs="Times New Roman" w:eastAsia="Times New Roman" w:hAnsi="Times New Roman"/>
          <w:sz w:val="24"/>
          <w:szCs w:val="24"/>
          <w:rtl w:val="0"/>
        </w:rPr>
        <w:t xml:space="preserve"> vocabulario abierto y aplicar un protocolo explícito, de modo que especialización in-domain y capacidad abierta permanezcan como dimensiones separadas (A. Wang et al., 2025).</w:t>
      </w:r>
    </w:p>
    <w:p w:rsidR="00000000" w:rsidDel="00000000" w:rsidP="00000000" w:rsidRDefault="00000000" w:rsidRPr="00000000" w14:paraId="0000007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dual-encoders, el ajuste de extremo a extremo sobre datasets cerrados requiere estrategias de regularización para evitar el colapso del espacio de embeddings compartido del que depende la capacidad abierta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2022). </w:t>
      </w:r>
      <w:r w:rsidDel="00000000" w:rsidR="00000000" w:rsidRPr="00000000">
        <w:rPr>
          <w:rFonts w:ascii="Times New Roman" w:cs="Times New Roman" w:eastAsia="Times New Roman" w:hAnsi="Times New Roman"/>
          <w:sz w:val="24"/>
          <w:szCs w:val="24"/>
          <w:rtl w:val="0"/>
        </w:rPr>
        <w:t xml:space="preserve">OWLv2</w:t>
      </w:r>
      <w:r w:rsidDel="00000000" w:rsidR="00000000" w:rsidRPr="00000000">
        <w:rPr>
          <w:rFonts w:ascii="Times New Roman" w:cs="Times New Roman" w:eastAsia="Times New Roman" w:hAnsi="Times New Roman"/>
          <w:sz w:val="24"/>
          <w:szCs w:val="24"/>
          <w:rtl w:val="0"/>
        </w:rPr>
        <w:t xml:space="preserve"> aporta además la receta OWL-ST de </w:t>
      </w:r>
      <w:r w:rsidDel="00000000" w:rsidR="00000000" w:rsidRPr="00000000">
        <w:rPr>
          <w:rFonts w:ascii="Times New Roman" w:cs="Times New Roman" w:eastAsia="Times New Roman" w:hAnsi="Times New Roman"/>
          <w:sz w:val="24"/>
          <w:szCs w:val="24"/>
          <w:rtl w:val="0"/>
        </w:rPr>
        <w:t xml:space="preserve">autoentrenamiento</w:t>
      </w:r>
      <w:r w:rsidDel="00000000" w:rsidR="00000000" w:rsidRPr="00000000">
        <w:rPr>
          <w:rFonts w:ascii="Times New Roman" w:cs="Times New Roman" w:eastAsia="Times New Roman" w:hAnsi="Times New Roman"/>
          <w:sz w:val="24"/>
          <w:szCs w:val="24"/>
          <w:rtl w:val="0"/>
        </w:rPr>
        <w:t xml:space="preserve"> con </w:t>
      </w:r>
      <w:r w:rsidDel="00000000" w:rsidR="00000000" w:rsidRPr="00000000">
        <w:rPr>
          <w:rFonts w:ascii="Times New Roman" w:cs="Times New Roman" w:eastAsia="Times New Roman" w:hAnsi="Times New Roman"/>
          <w:sz w:val="24"/>
          <w:szCs w:val="24"/>
          <w:rtl w:val="0"/>
        </w:rPr>
        <w:t xml:space="preserve">pseudoanotaciones</w:t>
      </w:r>
      <w:r w:rsidDel="00000000" w:rsidR="00000000" w:rsidRPr="00000000">
        <w:rPr>
          <w:rFonts w:ascii="Times New Roman" w:cs="Times New Roman" w:eastAsia="Times New Roman" w:hAnsi="Times New Roman"/>
          <w:sz w:val="24"/>
          <w:szCs w:val="24"/>
          <w:rtl w:val="0"/>
        </w:rPr>
        <w:t xml:space="preserve">; el uso de un vocabulario diverso derivado de n-gramas preserva mejor la generalización que un espacio de etiquetas estrecho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2023). En Florence-2, el ajuste mediante LoRA modifica una fracción acotada de parámetros, aunque la retención de clases base se informa como parcial y dependiente de la configuración (Ucar et al., 2025; Xiao et al., 2024).</w:t>
      </w:r>
    </w:p>
    <w:p w:rsidR="00000000" w:rsidDel="00000000" w:rsidP="00000000" w:rsidRDefault="00000000" w:rsidRPr="00000000" w14:paraId="00000071">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Como tal, no existe una jerarquía universal de familias frente al fine-tuning. La comparación defendible se realiza por receta concreta, distinguiendo parámetros actualizados, datos de adaptación y evaluación posterior de generalización. La Tabla 4 resume las estrategias documentadas y sus condiciones de retención.</w:t>
      </w:r>
    </w:p>
    <w:p w:rsidR="00000000" w:rsidDel="00000000" w:rsidP="00000000" w:rsidRDefault="00000000" w:rsidRPr="00000000" w14:paraId="00000072">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qvy3nfx4njbp" w:id="11"/>
      <w:bookmarkEnd w:id="11"/>
      <w:r w:rsidDel="00000000" w:rsidR="00000000" w:rsidRPr="00000000">
        <w:rPr>
          <w:rFonts w:ascii="Times New Roman" w:cs="Times New Roman" w:eastAsia="Times New Roman" w:hAnsi="Times New Roman"/>
          <w:b w:val="1"/>
          <w:bCs w:val="1"/>
          <w:i w:val="0"/>
          <w:iCs w:val="0"/>
          <w:color w:val="000000"/>
          <w:sz w:val="24"/>
          <w:szCs w:val="24"/>
          <w:rtl w:val="0"/>
        </w:rPr>
        <w:t xml:space="preserve">Tabla 4</w:t>
      </w:r>
      <w:r w:rsidDel="00000000" w:rsidR="00000000" w:rsidRPr="00000000">
        <w:rPr>
          <w:rtl w:val="0"/>
        </w:rPr>
      </w:r>
    </w:p>
    <w:p w:rsidR="00000000" w:rsidDel="00000000" w:rsidP="00000000" w:rsidRDefault="00000000" w:rsidRPr="00000000" w14:paraId="00000073">
      <w:pPr>
        <w:keepNext w:val="1"/>
        <w:keepLines w:val="1"/>
        <w:spacing w:after="0" w:before="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Estrategias de fine-tuning documentadas y retención OVD reportada por familia arquitectónica</w:t>
      </w:r>
      <w:r w:rsidDel="00000000" w:rsidR="00000000" w:rsidRPr="00000000">
        <w:rPr>
          <w:rtl w:val="0"/>
        </w:rPr>
      </w:r>
    </w:p>
    <w:tbl>
      <w:tblPr>
        <w:tblStyle w:val="Table3"/>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3092"/>
        <w:gridCol w:w="3809"/>
        <w:gridCol w:w="2028"/>
        <w:gridCol w:w="4031"/>
        <w:tblGridChange w:id="0">
          <w:tblGrid>
            <w:gridCol w:w="3092"/>
            <w:gridCol w:w="3809"/>
            <w:gridCol w:w="2028"/>
            <w:gridCol w:w="4031"/>
          </w:tblGrid>
        </w:tblGridChange>
      </w:tblGrid>
      <w:tr>
        <w:trPr>
          <w:cantSplit w:val="1"/>
          <w:tblHeader w:val="1"/>
        </w:trPr>
        <w:tc>
          <w:tcPr>
            <w:tcBorders>
              <w:bottom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Familia / Modelo</w:t>
            </w:r>
            <w:r w:rsidDel="00000000" w:rsidR="00000000" w:rsidRPr="00000000">
              <w:rPr>
                <w:rtl w:val="0"/>
              </w:rPr>
            </w:r>
          </w:p>
        </w:tc>
        <w:tc>
          <w:tcPr>
            <w:tcBorders>
              <w:bottom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Estrategia de fine-tuning</w:t>
            </w:r>
            <w:r w:rsidDel="00000000" w:rsidR="00000000" w:rsidRPr="00000000">
              <w:rPr>
                <w:rtl w:val="0"/>
              </w:rPr>
            </w:r>
          </w:p>
        </w:tc>
        <w:tc>
          <w:tcPr>
            <w:tcBorders>
              <w:bottom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Retención OVD reportada </w:t>
            </w:r>
            <w:r w:rsidDel="00000000" w:rsidR="00000000" w:rsidRPr="00000000">
              <w:rPr>
                <w:rtl w:val="0"/>
              </w:rPr>
            </w:r>
          </w:p>
        </w:tc>
        <w:tc>
          <w:tcPr>
            <w:tcBorders>
              <w:bottom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Condición clave</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7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closed-set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Vocabulario restringido post-ajuste</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7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Preentrenamiento continuado open-set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LR reducido; módulos congelados; datos mixtos</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8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open-vocabulary (base a novel)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Evaluación explícita en categorías no vistas</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8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Adaptación LoRA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Backbones congelados; solo adapters entrenables</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8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con MixedGroundingDataset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Parcial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Depende de capas ajustadas; text encoder frágil</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8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closed-set (MultiModalDataset)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Vocabulario fijo en JSON</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9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Reparametrización eficiente (sin </w:t>
            </w:r>
            <w:r w:rsidDel="00000000" w:rsidR="00000000" w:rsidRPr="00000000">
              <w:rPr>
                <w:rFonts w:ascii="Times New Roman" w:cs="Times New Roman" w:eastAsia="Times New Roman" w:hAnsi="Times New Roman"/>
                <w:i w:val="0"/>
                <w:iCs w:val="0"/>
                <w:color w:val="000000"/>
                <w:sz w:val="24"/>
                <w:szCs w:val="24"/>
                <w:rtl w:val="0"/>
              </w:rPr>
              <w:t xml:space="preserve">RepVL</w:t>
            </w:r>
            <w:r w:rsidDel="00000000" w:rsidR="00000000" w:rsidRPr="00000000">
              <w:rPr>
                <w:rFonts w:ascii="Times New Roman" w:cs="Times New Roman" w:eastAsia="Times New Roman" w:hAnsi="Times New Roman"/>
                <w:i w:val="0"/>
                <w:iCs w:val="0"/>
                <w:color w:val="000000"/>
                <w:sz w:val="24"/>
                <w:szCs w:val="24"/>
                <w:rtl w:val="0"/>
              </w:rPr>
              <w:t xml:space="preserve">-PAN)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Text encoder removido; equivale a YOLOv8</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9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Transferring (linear probing / full tuning)</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No evaluada por los autores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receta estándar produce vocabulario fijo; la retención requiere reinyectar y evaluar vocabulario abierto</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9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OWL-ViT / OWLv2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de extremo a extremo con regularización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Parcial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Requiere estrategias de regularización</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9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OWL-ViT / OWLv2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Self-training (OWL-ST) con pseudo-anotaciones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Vocabulario diverso (n-gramas) preserva OVD</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A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Florence-2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con LoRA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Parcial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Retención parcial de clases base; encoder congelado recomendado</w:t>
            </w:r>
            <w:r w:rsidDel="00000000" w:rsidR="00000000" w:rsidRPr="00000000">
              <w:rPr>
                <w:rtl w:val="0"/>
              </w:rPr>
            </w:r>
          </w:p>
        </w:tc>
      </w:tr>
    </w:tbl>
    <w:p w:rsidR="00000000" w:rsidDel="00000000" w:rsidP="00000000" w:rsidRDefault="00000000" w:rsidRPr="00000000" w14:paraId="000000A4">
      <w:pPr>
        <w:keepLines w:val="1"/>
        <w:spacing w:after="0" w:before="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“Retención OVD reportada” resume el comportamiento informado para la receta y el protocolo indicados; no constituye una propiedad universal de la familia arquitectónica. “Parcial” indica una retención dependiente de la configuración específica —capas congeladas, tasa de aprendizaje, datos de entrenamiento y evaluación sobre categorías no vistas—. Fuente: elaboración propia basada en AILab-CVC (2024), Cheng et al. (2024), Liu et al. (2024), </w:t>
      </w:r>
      <w:r w:rsidDel="00000000" w:rsidR="00000000" w:rsidRPr="00000000">
        <w:rPr>
          <w:rFonts w:ascii="Times New Roman" w:cs="Times New Roman" w:eastAsia="Times New Roman" w:hAnsi="Times New Roman"/>
          <w:i w:val="0"/>
          <w:iCs w:val="0"/>
          <w:color w:val="000000"/>
          <w:sz w:val="24"/>
          <w:szCs w:val="24"/>
          <w:rtl w:val="0"/>
        </w:rPr>
        <w:t xml:space="preserve">Minderer</w:t>
      </w:r>
      <w:r w:rsidDel="00000000" w:rsidR="00000000" w:rsidRPr="00000000">
        <w:rPr>
          <w:rFonts w:ascii="Times New Roman" w:cs="Times New Roman" w:eastAsia="Times New Roman" w:hAnsi="Times New Roman"/>
          <w:i w:val="0"/>
          <w:iCs w:val="0"/>
          <w:color w:val="000000"/>
          <w:sz w:val="24"/>
          <w:szCs w:val="24"/>
          <w:rtl w:val="0"/>
        </w:rPr>
        <w:t xml:space="preserve"> et al. (2022, 2023), Rasaee et al. (2025), Ucar et al. (2025), A. Wang et al. (2025), Xiao et al. (2024) y X. Zhao et al. (2024).</w:t>
      </w:r>
      <w:r w:rsidDel="00000000" w:rsidR="00000000" w:rsidRPr="00000000">
        <w:rPr>
          <w:rtl w:val="0"/>
        </w:rPr>
      </w:r>
    </w:p>
    <w:p w:rsidR="00000000" w:rsidDel="00000000" w:rsidP="00000000" w:rsidRDefault="00000000" w:rsidRPr="00000000" w14:paraId="000000A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sintetizada en la Tabla 4 permite identificar tres factores recurrentes: qué parámetros se ajustan o </w:t>
      </w:r>
      <w:r w:rsidDel="00000000" w:rsidR="00000000" w:rsidRPr="00000000">
        <w:rPr>
          <w:rFonts w:ascii="Times New Roman" w:cs="Times New Roman" w:eastAsia="Times New Roman" w:hAnsi="Times New Roman"/>
          <w:sz w:val="24"/>
          <w:szCs w:val="24"/>
          <w:rtl w:val="0"/>
        </w:rPr>
        <w:t xml:space="preserve">congelan</w:t>
      </w:r>
      <w:r w:rsidDel="00000000" w:rsidR="00000000" w:rsidRPr="00000000">
        <w:rPr>
          <w:rFonts w:ascii="Times New Roman" w:cs="Times New Roman" w:eastAsia="Times New Roman" w:hAnsi="Times New Roman"/>
          <w:sz w:val="24"/>
          <w:szCs w:val="24"/>
          <w:rtl w:val="0"/>
        </w:rPr>
        <w:t xml:space="preserve">, la amplitud y diversidad del vocabulario utilizado durante el entrenamiento, y la existencia de una evaluación explícita sobre categorías no vistas. Estos factores interactúan con la arquitectura, pero los trabajos revisados no aíslan sus efectos mediante un protocolo común. Por ello, no corresponde afirmar que una familia tolere mejor el ajuste completo, más bien, corresponde describir qué receta retuvo capacidad OVD, bajo qué datos y con qué protocolo de evaluación.</w:t>
      </w:r>
    </w:p>
    <w:p w:rsidR="00000000" w:rsidDel="00000000" w:rsidP="00000000" w:rsidRDefault="00000000" w:rsidRPr="00000000" w14:paraId="000000A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66jphxyv5oc6" w:id="12"/>
      <w:bookmarkEnd w:id="12"/>
      <w:r w:rsidDel="00000000" w:rsidR="00000000" w:rsidRPr="00000000">
        <w:rPr>
          <w:rFonts w:ascii="Times New Roman" w:cs="Times New Roman" w:eastAsia="Times New Roman" w:hAnsi="Times New Roman"/>
          <w:b w:val="1"/>
          <w:bCs w:val="1"/>
          <w:i w:val="1"/>
          <w:iCs w:val="1"/>
          <w:color w:val="000000"/>
          <w:sz w:val="24"/>
          <w:szCs w:val="24"/>
          <w:rtl w:val="0"/>
        </w:rPr>
        <w:t xml:space="preserve">15.2.5. Brechas identificadas en el dominio de la construcción civil</w:t>
      </w:r>
    </w:p>
    <w:p w:rsidR="00000000" w:rsidDel="00000000" w:rsidP="00000000" w:rsidRDefault="00000000" w:rsidRPr="00000000" w14:paraId="000000A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rFonts w:ascii="Times New Roman" w:cs="Times New Roman" w:eastAsia="Times New Roman" w:hAnsi="Times New Roman"/>
          <w:i w:val="1"/>
          <w:iCs w:val="1"/>
          <w:sz w:val="24"/>
          <w:szCs w:val="24"/>
          <w:rtl w:val="0"/>
        </w:rPr>
        <w:t xml:space="preserve">open-vocabulary</w:t>
      </w:r>
      <w:r w:rsidDel="00000000" w:rsidR="00000000" w:rsidRPr="00000000">
        <w:rPr>
          <w:rFonts w:ascii="Times New Roman" w:cs="Times New Roman" w:eastAsia="Times New Roman" w:hAnsi="Times New Roman"/>
          <w:sz w:val="24"/>
          <w:szCs w:val="24"/>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0A8">
      <w:pPr>
        <w:pStyle w:val="Heading4"/>
        <w:spacing w:after="0" w:before="0" w:line="480" w:lineRule="auto"/>
        <w:rPr>
          <w:rFonts w:ascii="Times New Roman" w:cs="Times New Roman" w:eastAsia="Times New Roman" w:hAnsi="Times New Roman"/>
          <w:b w:val="1"/>
          <w:bCs w:val="1"/>
          <w:color w:val="000000"/>
        </w:rPr>
      </w:pPr>
      <w:bookmarkStart w:colFirst="0" w:colLast="0" w:name="_heading=h.6ypaep4gc4p7" w:id="13"/>
      <w:bookmarkEnd w:id="13"/>
      <w:r w:rsidDel="00000000" w:rsidR="00000000" w:rsidRPr="00000000">
        <w:rPr>
          <w:rFonts w:ascii="Times New Roman" w:cs="Times New Roman" w:eastAsia="Times New Roman" w:hAnsi="Times New Roman"/>
          <w:b w:val="1"/>
          <w:bCs w:val="1"/>
          <w:color w:val="000000"/>
          <w:rtl w:val="0"/>
        </w:rPr>
        <w:t xml:space="preserve">15.2.5.1. Contextualización semántica limitada</w:t>
      </w:r>
    </w:p>
    <w:p w:rsidR="00000000" w:rsidDel="00000000" w:rsidP="00000000" w:rsidRDefault="00000000" w:rsidRPr="00000000" w14:paraId="000000A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los detectores OVD actuales resuelven la detección como una combinación de localización espacial y compatibilidad textual evaluada de manera independiente para cada región candidata (Zareian et al., 2021; Liu et al., 2024).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0A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Esta limitación impide dar por resueltas las condiciones relacionales a partir de la salida local del detector y exige que cualquier tratamiento adicional se defina y valide de forma explícita.</w:t>
      </w:r>
    </w:p>
    <w:p w:rsidR="00000000" w:rsidDel="00000000" w:rsidP="00000000" w:rsidRDefault="00000000" w:rsidRPr="00000000" w14:paraId="000000AB">
      <w:pPr>
        <w:pStyle w:val="Heading4"/>
        <w:spacing w:after="0" w:before="0" w:line="480" w:lineRule="auto"/>
        <w:rPr>
          <w:rFonts w:ascii="Times New Roman" w:cs="Times New Roman" w:eastAsia="Times New Roman" w:hAnsi="Times New Roman"/>
          <w:b w:val="1"/>
          <w:bCs w:val="1"/>
          <w:color w:val="000000"/>
        </w:rPr>
      </w:pPr>
      <w:bookmarkStart w:colFirst="0" w:colLast="0" w:name="_heading=h.305ogsoex38y" w:id="14"/>
      <w:bookmarkEnd w:id="14"/>
      <w:r w:rsidDel="00000000" w:rsidR="00000000" w:rsidRPr="00000000">
        <w:rPr>
          <w:rFonts w:ascii="Times New Roman" w:cs="Times New Roman" w:eastAsia="Times New Roman" w:hAnsi="Times New Roman"/>
          <w:b w:val="1"/>
          <w:bCs w:val="1"/>
          <w:color w:val="000000"/>
          <w:rtl w:val="0"/>
        </w:rPr>
        <w:t xml:space="preserve">15.2.5.2. Ausencia de consistencia temporal nativa</w:t>
      </w:r>
      <w:r w:rsidDel="00000000" w:rsidR="00000000" w:rsidRPr="00000000">
        <w:rPr>
          <w:rtl w:val="0"/>
        </w:rPr>
      </w:r>
    </w:p>
    <w:p w:rsidR="00000000" w:rsidDel="00000000" w:rsidP="00000000" w:rsidRDefault="00000000" w:rsidRPr="00000000" w14:paraId="000000A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de detección open-vocabulary operan predominantemente sobre imágenes estáticas, procesando cada cuadro de manera independiente sin mantener memoria de estados previos ni modelar explícitamente la evolución temporal de las detecciones. Esta característica introduce variabilidad entre cuadros consecutivos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0A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aplicaciones de vídeo, particularmente aquellas orientadas a monitoreo continuo, esta variabilidad temporal resulta problemática. Los enfoques generativos, como Florence-2, tienden a exhibir mayor inestabilidad debido a la naturaleza autoregresiva de su decodificación (Xiao et al., 2024). La literatura reciente sugiere que la integración con módulos de seguimiento multi-objeto (MOT) constituye una estrategia efectiva para mitigar este problema, permitiendo que el tracker aporte coherencia temporal a las detecciones semánticamente ricas del OVD (S. Li et al., 2023). No obstante, esta integración introduce complejidad arquitectónica adicional y requiere considerar la compatibilidad entre el detector y el método de seguimiento seleccionado.</w:t>
      </w:r>
    </w:p>
    <w:p w:rsidR="00000000" w:rsidDel="00000000" w:rsidP="00000000" w:rsidRDefault="00000000" w:rsidRPr="00000000" w14:paraId="000000AE">
      <w:pPr>
        <w:pStyle w:val="Heading4"/>
        <w:spacing w:after="0" w:before="0" w:line="480" w:lineRule="auto"/>
        <w:rPr>
          <w:rFonts w:ascii="Times New Roman" w:cs="Times New Roman" w:eastAsia="Times New Roman" w:hAnsi="Times New Roman"/>
          <w:b w:val="1"/>
          <w:bCs w:val="1"/>
          <w:color w:val="000000"/>
        </w:rPr>
      </w:pPr>
      <w:bookmarkStart w:colFirst="0" w:colLast="0" w:name="_heading=h.i11h1powflqu" w:id="15"/>
      <w:bookmarkEnd w:id="15"/>
      <w:r w:rsidDel="00000000" w:rsidR="00000000" w:rsidRPr="00000000">
        <w:rPr>
          <w:rFonts w:ascii="Times New Roman" w:cs="Times New Roman" w:eastAsia="Times New Roman" w:hAnsi="Times New Roman"/>
          <w:b w:val="1"/>
          <w:bCs w:val="1"/>
          <w:color w:val="000000"/>
          <w:rtl w:val="0"/>
        </w:rPr>
        <w:t xml:space="preserve">15.2.5.3. Sensibilidad a la formulación del prompt</w:t>
      </w:r>
    </w:p>
    <w:p w:rsidR="00000000" w:rsidDel="00000000" w:rsidP="00000000" w:rsidRDefault="00000000" w:rsidRPr="00000000" w14:paraId="000000A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Por ejemplo,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0B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0B1">
      <w:pPr>
        <w:pStyle w:val="Heading4"/>
        <w:spacing w:after="0" w:before="0" w:line="480" w:lineRule="auto"/>
        <w:rPr>
          <w:rFonts w:ascii="Times New Roman" w:cs="Times New Roman" w:eastAsia="Times New Roman" w:hAnsi="Times New Roman"/>
          <w:b w:val="1"/>
          <w:bCs w:val="1"/>
          <w:color w:val="000000"/>
        </w:rPr>
      </w:pPr>
      <w:bookmarkStart w:colFirst="0" w:colLast="0" w:name="_heading=h.6txoeihsmzw0" w:id="16"/>
      <w:bookmarkEnd w:id="16"/>
      <w:r w:rsidDel="00000000" w:rsidR="00000000" w:rsidRPr="00000000">
        <w:rPr>
          <w:rFonts w:ascii="Times New Roman" w:cs="Times New Roman" w:eastAsia="Times New Roman" w:hAnsi="Times New Roman"/>
          <w:b w:val="1"/>
          <w:bCs w:val="1"/>
          <w:color w:val="000000"/>
          <w:rtl w:val="0"/>
        </w:rPr>
        <w:t xml:space="preserve">15.2.5.4. Sensibilidad al dominio de aplicación</w:t>
      </w:r>
    </w:p>
    <w:p w:rsidR="00000000" w:rsidDel="00000000" w:rsidP="00000000" w:rsidRDefault="00000000" w:rsidRPr="00000000" w14:paraId="000000B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publicados en benchmarks generales no predicen por sí mismos el desempeño sobre una condición de dominio específica. Grounding DINO con backbone Swin-L pasa de 52,5 AP en COCO a 26,1 mean AP sobre los 35 conjuntos de ODinW. En consecuencia, la transferencia al dominio de construcción debe verificarse mediante una línea base zero-shot propia y un conjunto de prueba congelado, sin asumir equivalencia entre COCO o LVIS y la condición objetivo (Liu et al., 2024).</w:t>
      </w:r>
    </w:p>
    <w:p w:rsidR="00000000" w:rsidDel="00000000" w:rsidP="00000000" w:rsidRDefault="00000000" w:rsidRPr="00000000" w14:paraId="000000B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supervisada in-domain, YOLOR alcanzó un mAP@0,5 de 0,883 sobre SHEL5K y un AP@0,5 de 0,907 para la clase head; YOLOv5x alcanzó un mAP@0,5 de 0,866 sobre CHV; y YOLOv9-e reportó un mAP@0,5 aproximado de 0,71 sobre SH17, con valores entre 0,58 y 0,69 para las variantes de YOLOv8 (Otgonbold et al., 2022; Wang et al., 2021; Ahmad &amp; Rahimi, 2025).</w:t>
      </w:r>
    </w:p>
    <w:p w:rsidR="00000000" w:rsidDel="00000000" w:rsidP="00000000" w:rsidRDefault="00000000" w:rsidRPr="00000000" w14:paraId="000000B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cifras corresponden a detectores entrenados sobre taxonomías específicas de EPP y no constituyen una comparación directa con los resultados de COCO o LVIS. En particular, el AP@0,5 de 0,907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muestra que un detector supervisado puede alcanzar un desempeño alto sobre esa categoría en SHEL5K. La cifra no permite inferir una dificultad intrínseca universal, pero sí establece una referencia in-domain para analizar el costo de formular la condición sin entrenamiento específico.</w:t>
      </w:r>
    </w:p>
    <w:p w:rsidR="00000000" w:rsidDel="00000000" w:rsidP="00000000" w:rsidRDefault="00000000" w:rsidRPr="00000000" w14:paraId="000000B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ubicada específicamente en el cruce entre vocabulario abierto y EPP es todavía limitada. Choi y Greer (2024) evaluaron OWLv2 zero-shot sobre 5.210 imágenes: obtuvieron AP@IoU&gt;0,5 de 0,6767 para </w:t>
      </w:r>
      <w:r w:rsidDel="00000000" w:rsidR="00000000" w:rsidRPr="00000000">
        <w:rPr>
          <w:rFonts w:ascii="Times New Roman" w:cs="Times New Roman" w:eastAsia="Times New Roman" w:hAnsi="Times New Roman"/>
          <w:i w:val="1"/>
          <w:iCs w:val="1"/>
          <w:sz w:val="24"/>
          <w:szCs w:val="24"/>
          <w:rtl w:val="0"/>
        </w:rPr>
        <w:t xml:space="preserve">person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Al introducir asociación jerárquica,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—cabeza sin casco— alcanzó 0,1024 AP y la cascada multietapa obtuvo 0,2699 AP para detección de casco. Estas cifras no equivalen a una métrica de condición o alerta, pero muestran que la asociación persona–cabeza–EPP agrega dificultad respecto de detectar los componentes por separado.</w:t>
      </w:r>
    </w:p>
    <w:p w:rsidR="00000000" w:rsidDel="00000000" w:rsidP="00000000" w:rsidRDefault="00000000" w:rsidRPr="00000000" w14:paraId="000000B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evidencia adyacente, Chen y </w:t>
      </w:r>
      <w:r w:rsidDel="00000000" w:rsidR="00000000" w:rsidRPr="00000000">
        <w:rPr>
          <w:rFonts w:ascii="Times New Roman" w:cs="Times New Roman" w:eastAsia="Times New Roman" w:hAnsi="Times New Roman"/>
          <w:sz w:val="24"/>
          <w:szCs w:val="24"/>
          <w:rtl w:val="0"/>
        </w:rPr>
        <w:t xml:space="preserve">Zou</w:t>
      </w:r>
      <w:r w:rsidDel="00000000" w:rsidR="00000000" w:rsidRPr="00000000">
        <w:rPr>
          <w:rFonts w:ascii="Times New Roman" w:cs="Times New Roman" w:eastAsia="Times New Roman" w:hAnsi="Times New Roman"/>
          <w:sz w:val="24"/>
          <w:szCs w:val="24"/>
          <w:rtl w:val="0"/>
        </w:rPr>
        <w:t xml:space="preserve"> (2025) evaluaron modelos visión-lenguaje generativos en una tarea de visual grounding y observaron IoU total inferior al 20 % para objetivos con restricciones de atributo, como trabajadores con casco blanco. El resultado no constituye un benchmark de detectores OVD, pero respalda la dificultad de localizar condiciones visuales finamente especificadas mediante lenguaje natural.</w:t>
      </w:r>
    </w:p>
    <w:p w:rsidR="00000000" w:rsidDel="00000000" w:rsidP="00000000" w:rsidRDefault="00000000" w:rsidRPr="00000000" w14:paraId="000000B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relevamiento de publicaciones entre 2023 y 2026 no identificó evaluaciones de Grounding DINO o YOLO-World zero-shot sobre SHEL5K o CHV, ni un benchmark multi-fuente de EPP bajo protocolo COCO. Esta ausencia constituye una brecha del estado del arte: los benchmarks generales no resuelven la evaluación de una condición de dominio expresada mediante lenguaje natural, por lo que se requiere una línea base zero-shot propia y un conjunto de prueba congelado. La respuesta experimental a esta brecha corresponde a las secciones posteriores.</w:t>
      </w:r>
    </w:p>
    <w:p w:rsidR="00000000" w:rsidDel="00000000" w:rsidP="00000000" w:rsidRDefault="00000000" w:rsidRPr="00000000" w14:paraId="000000B9">
      <w:pPr>
        <w:pStyle w:val="Heading4"/>
        <w:spacing w:after="0" w:before="0" w:line="480" w:lineRule="auto"/>
        <w:rPr>
          <w:rFonts w:ascii="Times New Roman" w:cs="Times New Roman" w:eastAsia="Times New Roman" w:hAnsi="Times New Roman"/>
          <w:b w:val="1"/>
          <w:bCs w:val="1"/>
          <w:color w:val="000000"/>
        </w:rPr>
      </w:pPr>
      <w:bookmarkStart w:colFirst="0" w:colLast="0" w:name="_heading=h.3xqpxvq793fn" w:id="17"/>
      <w:bookmarkEnd w:id="17"/>
      <w:r w:rsidDel="00000000" w:rsidR="00000000" w:rsidRPr="00000000">
        <w:rPr>
          <w:rFonts w:ascii="Times New Roman" w:cs="Times New Roman" w:eastAsia="Times New Roman" w:hAnsi="Times New Roman"/>
          <w:b w:val="1"/>
          <w:bCs w:val="1"/>
          <w:color w:val="000000"/>
          <w:rtl w:val="0"/>
        </w:rPr>
        <w:t xml:space="preserve">15.2.5.5. Protocolos de evaluación específicos para seguridad industrial</w:t>
      </w:r>
    </w:p>
    <w:p w:rsidR="00000000" w:rsidDel="00000000" w:rsidP="00000000" w:rsidRDefault="00000000" w:rsidRPr="00000000" w14:paraId="000000B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cuadro a cuadro, sin considerar aspectos temporales ni el impacto diferenciado de distintos tipos de error en escenarios de monitoreo de riesgos.</w:t>
      </w:r>
    </w:p>
    <w:p w:rsidR="00000000" w:rsidDel="00000000" w:rsidP="00000000" w:rsidRDefault="00000000" w:rsidRPr="00000000" w14:paraId="000000BB">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0BC">
      <w:pPr>
        <w:pStyle w:val="Heading4"/>
        <w:spacing w:after="0" w:before="0" w:line="480" w:lineRule="auto"/>
        <w:rPr>
          <w:rFonts w:ascii="Times New Roman" w:cs="Times New Roman" w:eastAsia="Times New Roman" w:hAnsi="Times New Roman"/>
          <w:b w:val="1"/>
          <w:bCs w:val="1"/>
          <w:color w:val="000000"/>
        </w:rPr>
      </w:pPr>
      <w:bookmarkStart w:colFirst="0" w:colLast="0" w:name="_heading=h.92bt48osfy2c" w:id="18"/>
      <w:bookmarkEnd w:id="18"/>
      <w:r w:rsidDel="00000000" w:rsidR="00000000" w:rsidRPr="00000000">
        <w:rPr>
          <w:rFonts w:ascii="Times New Roman" w:cs="Times New Roman" w:eastAsia="Times New Roman" w:hAnsi="Times New Roman"/>
          <w:b w:val="1"/>
          <w:bCs w:val="1"/>
          <w:color w:val="000000"/>
          <w:rtl w:val="0"/>
        </w:rPr>
        <w:t xml:space="preserve">15.2.5.6. Tabla comparativa de brechas identificadas</w:t>
      </w:r>
    </w:p>
    <w:p w:rsidR="00000000" w:rsidDel="00000000" w:rsidP="00000000" w:rsidRDefault="00000000" w:rsidRPr="00000000" w14:paraId="000000BD">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5 organiza las brechas identificadas en las subsecciones precedentes con su descripción técnica y su implicación específica para el proyecto.</w:t>
      </w:r>
    </w:p>
    <w:p w:rsidR="00000000" w:rsidDel="00000000" w:rsidP="00000000" w:rsidRDefault="00000000" w:rsidRPr="00000000" w14:paraId="000000BE">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c1z4d4d86g5a" w:id="19"/>
      <w:bookmarkEnd w:id="19"/>
      <w:r w:rsidDel="00000000" w:rsidR="00000000" w:rsidRPr="00000000">
        <w:rPr>
          <w:rFonts w:ascii="Times New Roman" w:cs="Times New Roman" w:eastAsia="Times New Roman" w:hAnsi="Times New Roman"/>
          <w:b w:val="1"/>
          <w:bCs w:val="1"/>
          <w:i w:val="0"/>
          <w:iCs w:val="0"/>
          <w:color w:val="000000"/>
          <w:sz w:val="24"/>
          <w:szCs w:val="24"/>
          <w:rtl w:val="0"/>
        </w:rPr>
        <w:t xml:space="preserve">Tabla 5</w:t>
      </w:r>
      <w:r w:rsidDel="00000000" w:rsidR="00000000" w:rsidRPr="00000000">
        <w:rPr>
          <w:rtl w:val="0"/>
        </w:rPr>
      </w:r>
    </w:p>
    <w:p w:rsidR="00000000" w:rsidDel="00000000" w:rsidP="00000000" w:rsidRDefault="00000000" w:rsidRPr="00000000" w14:paraId="000000BF">
      <w:pPr>
        <w:keepNext w:val="1"/>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Brechas identificadas en la aplicación de modelos OVD al dominio de seguridad en construcción civil</w:t>
      </w:r>
      <w:r w:rsidDel="00000000" w:rsidR="00000000" w:rsidRPr="00000000">
        <w:rPr>
          <w:rtl w:val="0"/>
        </w:rPr>
      </w:r>
    </w:p>
    <w:tbl>
      <w:tblPr>
        <w:tblStyle w:val="Table4"/>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949"/>
        <w:gridCol w:w="5328"/>
        <w:gridCol w:w="4683"/>
        <w:tblGridChange w:id="0">
          <w:tblGrid>
            <w:gridCol w:w="2949"/>
            <w:gridCol w:w="5328"/>
            <w:gridCol w:w="4683"/>
          </w:tblGrid>
        </w:tblGridChange>
      </w:tblGrid>
      <w:tr>
        <w:trPr>
          <w:cantSplit w:val="1"/>
          <w:tblHeader w:val="1"/>
        </w:trPr>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C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Brecha identificada</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C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Descripción</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C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Implicación para el proyecto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Contextualización semántica limitada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Los modelos OVD detectan entidades localmente pero no infieren relaciones espaciales complejas entre ellas (p. ej., “persona dentro de zona restringida” requiere razonamiento relacional)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Las condiciones composicionales no pueden evaluarse a partir de la salida local del detector sin una estrategia adicional explícitamente definida y validada.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Ausencia de consistencia temporal nativa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detección cuadro a cuadro introduce variabilidad en puntajes de confianza, apariciones y desapariciones espurias entre cuadros consecutivos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Necesidad de integración con módulo MOT para aportar coherencia temporal a las detecciones semánticas </w:t>
            </w:r>
            <w:hyperlink r:id="rId11">
              <w:r w:rsidDel="00000000" w:rsidR="00000000" w:rsidRPr="00000000">
                <w:rPr>
                  <w:rFonts w:ascii="Times New Roman" w:cs="Times New Roman" w:eastAsia="Times New Roman" w:hAnsi="Times New Roman"/>
                  <w:i w:val="0"/>
                  <w:iCs w:val="0"/>
                  <w:color w:val="000000"/>
                  <w:sz w:val="24"/>
                  <w:szCs w:val="24"/>
                  <w:rtl w:val="0"/>
                </w:rPr>
                <w:t xml:space="preserve">(S. Li et al., 2023)</w:t>
              </w:r>
            </w:hyperlink>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Sensibilidad a la formulación del prompt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Pequeños cambios en la redacción producen diferencias significativas en el desempeño, incluso para conceptos equivalentes </w:t>
            </w:r>
            <w:hyperlink r:id="rId12">
              <w:r w:rsidDel="00000000" w:rsidR="00000000" w:rsidRPr="00000000">
                <w:rPr>
                  <w:rFonts w:ascii="Times New Roman" w:cs="Times New Roman" w:eastAsia="Times New Roman" w:hAnsi="Times New Roman"/>
                  <w:i w:val="0"/>
                  <w:iCs w:val="0"/>
                  <w:color w:val="000000"/>
                  <w:sz w:val="24"/>
                  <w:szCs w:val="24"/>
                  <w:rtl w:val="0"/>
                </w:rPr>
                <w:t xml:space="preserve">(Zhou et al., 2022b)</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El diseño de prompts para condiciones de riesgo requiere un proceso sistemático; la selección informal puede comprometer la robustez del sistema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Brecha de dominio con benchmarks estándar</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Los resultados en COCO o LVIS no garantizan transferencia al dominio objetivo. Grounding DINO con backbone Swin-L pasa de 52,5 AP en COCO a 26,1 mean AP en ODinW.</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El protocolo debe incorporar una línea base zero-shot propia y un conjunto de prueba de dominio congelado; los benchmarks generales funcionan únicamente como referencia externa.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Ausencia de protocolos de evaluación específicos para seguridad industrial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D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Las métricas AP en COCO/LVIS </w:t>
            </w:r>
            <w:hyperlink r:id="rId13">
              <w:r w:rsidDel="00000000" w:rsidR="00000000" w:rsidRPr="00000000">
                <w:rPr>
                  <w:rFonts w:ascii="Times New Roman" w:cs="Times New Roman" w:eastAsia="Times New Roman" w:hAnsi="Times New Roman"/>
                  <w:i w:val="0"/>
                  <w:iCs w:val="0"/>
                  <w:color w:val="000000"/>
                  <w:sz w:val="24"/>
                  <w:szCs w:val="24"/>
                  <w:rtl w:val="0"/>
                </w:rPr>
                <w:t xml:space="preserve">(Gupta et al., 2019; Lin et al., 2014)</w:t>
              </w:r>
            </w:hyperlink>
            <w:r w:rsidDel="00000000" w:rsidR="00000000" w:rsidRPr="00000000">
              <w:rPr>
                <w:rFonts w:ascii="Times New Roman" w:cs="Times New Roman" w:eastAsia="Times New Roman" w:hAnsi="Times New Roman"/>
                <w:i w:val="0"/>
                <w:iCs w:val="0"/>
                <w:color w:val="000000"/>
                <w:sz w:val="24"/>
                <w:szCs w:val="24"/>
                <w:rtl w:val="0"/>
              </w:rPr>
              <w:t xml:space="preserve"> no capturan el valor operativo del sistema: no consideran latencia de alerta, persistencia de la detección ni impacto diferenciado de falsos positivos/negativos.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D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El protocolo experimental debe definir métricas alineadas con el valor operativo de la alerta, incluyendo persistencia temporal, latencia y tratamiento diferenciado de falsos positivos y falsos negativos.</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D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Escasez de evaluación OVD × EPP</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D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literatura ofrece evidencia directa limitada. Choi y Greer (2024) reportan AP@IoU&gt;0,5 de 0,6767 para </w:t>
            </w:r>
            <w:r w:rsidDel="00000000" w:rsidR="00000000" w:rsidRPr="00000000">
              <w:rPr>
                <w:rFonts w:ascii="Times New Roman" w:cs="Times New Roman" w:eastAsia="Times New Roman" w:hAnsi="Times New Roman"/>
                <w:i w:val="1"/>
                <w:iCs w:val="1"/>
                <w:color w:val="000000"/>
                <w:sz w:val="24"/>
                <w:szCs w:val="24"/>
                <w:rtl w:val="0"/>
              </w:rPr>
              <w:t xml:space="preserve">person</w:t>
            </w:r>
            <w:r w:rsidDel="00000000" w:rsidR="00000000" w:rsidRPr="00000000">
              <w:rPr>
                <w:rFonts w:ascii="Times New Roman" w:cs="Times New Roman" w:eastAsia="Times New Roman" w:hAnsi="Times New Roman"/>
                <w:i w:val="0"/>
                <w:iCs w:val="0"/>
                <w:color w:val="000000"/>
                <w:sz w:val="24"/>
                <w:szCs w:val="24"/>
                <w:rtl w:val="0"/>
              </w:rPr>
              <w:t xml:space="preserve">, 0,6493 para detección directa de </w:t>
            </w:r>
            <w:r w:rsidDel="00000000" w:rsidR="00000000" w:rsidRPr="00000000">
              <w:rPr>
                <w:rFonts w:ascii="Times New Roman" w:cs="Times New Roman" w:eastAsia="Times New Roman" w:hAnsi="Times New Roman"/>
                <w:i w:val="1"/>
                <w:iCs w:val="1"/>
                <w:color w:val="000000"/>
                <w:sz w:val="24"/>
                <w:szCs w:val="24"/>
                <w:rtl w:val="0"/>
              </w:rPr>
              <w:t xml:space="preserve">hardhat</w:t>
            </w:r>
            <w:r w:rsidDel="00000000" w:rsidR="00000000" w:rsidRPr="00000000">
              <w:rPr>
                <w:rFonts w:ascii="Times New Roman" w:cs="Times New Roman" w:eastAsia="Times New Roman" w:hAnsi="Times New Roman"/>
                <w:i w:val="0"/>
                <w:iCs w:val="0"/>
                <w:color w:val="000000"/>
                <w:sz w:val="24"/>
                <w:szCs w:val="24"/>
                <w:rtl w:val="0"/>
              </w:rPr>
              <w:t xml:space="preserve">, 0,1024 para la clase </w:t>
            </w:r>
            <w:r w:rsidDel="00000000" w:rsidR="00000000" w:rsidRPr="00000000">
              <w:rPr>
                <w:rFonts w:ascii="Times New Roman" w:cs="Times New Roman" w:eastAsia="Times New Roman" w:hAnsi="Times New Roman"/>
                <w:i w:val="1"/>
                <w:iCs w:val="1"/>
                <w:color w:val="000000"/>
                <w:sz w:val="24"/>
                <w:szCs w:val="24"/>
                <w:rtl w:val="0"/>
              </w:rPr>
              <w:t xml:space="preserve">head </w:t>
            </w:r>
            <w:r w:rsidDel="00000000" w:rsidR="00000000" w:rsidRPr="00000000">
              <w:rPr>
                <w:rFonts w:ascii="Times New Roman" w:cs="Times New Roman" w:eastAsia="Times New Roman" w:hAnsi="Times New Roman"/>
                <w:i w:val="0"/>
                <w:iCs w:val="0"/>
                <w:color w:val="000000"/>
                <w:sz w:val="24"/>
                <w:szCs w:val="24"/>
                <w:rtl w:val="0"/>
              </w:rPr>
              <w:t xml:space="preserve">y 0,2699 para la cascada multietapa. El relevamiento no identificó evaluaciones de Grounding DINO o YOLO-World zero-shot sobre SHEL5K o CHV, ni un benchmark de EPP multi-fuente bajo protocolo COCO.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D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 requiere una línea base zero-shot propia y un conjunto de prueba congelado; la respuesta experimental se presenta fuera del estado del arte.</w:t>
            </w:r>
            <w:r w:rsidDel="00000000" w:rsidR="00000000" w:rsidRPr="00000000">
              <w:rPr>
                <w:rtl w:val="0"/>
              </w:rPr>
            </w:r>
          </w:p>
        </w:tc>
      </w:tr>
    </w:tbl>
    <w:p w:rsidR="00000000" w:rsidDel="00000000" w:rsidP="00000000" w:rsidRDefault="00000000" w:rsidRPr="00000000" w14:paraId="000000D5">
      <w:pPr>
        <w:keepLines w:val="1"/>
        <w:spacing w:after="0" w:before="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Las brechas listadas delimitan problemas técnicos que el protocolo y la arquitectura deben abordar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i w:val="0"/>
          <w:iCs w:val="0"/>
          <w:color w:val="000000"/>
          <w:sz w:val="24"/>
          <w:szCs w:val="24"/>
          <w:rtl w:val="0"/>
        </w:rPr>
        <w:t xml:space="preserve">o se presentan como limitaciones insalvables. Fuente: elaboración propia basada en Choi y Greer (2024), Chen y Zou (2025), Gupta et al. (2019), S. Li et al. (2023), Lin et al. (2014), Liu et al. (2024), Zareian et al. (2021) y Zhou et al. (2022b).</w:t>
      </w:r>
      <w:r w:rsidDel="00000000" w:rsidR="00000000" w:rsidRPr="00000000">
        <w:rPr>
          <w:rtl w:val="0"/>
        </w:rPr>
      </w:r>
    </w:p>
    <w:p w:rsidR="00000000" w:rsidDel="00000000" w:rsidP="00000000" w:rsidRDefault="00000000" w:rsidRPr="00000000" w14:paraId="000000D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eh6agl8yrcoc" w:id="20"/>
      <w:bookmarkEnd w:id="20"/>
      <w:r w:rsidDel="00000000" w:rsidR="00000000" w:rsidRPr="00000000">
        <w:rPr>
          <w:rFonts w:ascii="Times New Roman" w:cs="Times New Roman" w:eastAsia="Times New Roman" w:hAnsi="Times New Roman"/>
          <w:b w:val="1"/>
          <w:bCs w:val="1"/>
          <w:i w:val="1"/>
          <w:iCs w:val="1"/>
          <w:color w:val="000000"/>
          <w:sz w:val="24"/>
          <w:szCs w:val="24"/>
          <w:rtl w:val="0"/>
        </w:rPr>
        <w:t xml:space="preserve">15.2.6. Síntesis de la sección y avance al seguimiento multi-objeto</w:t>
      </w:r>
    </w:p>
    <w:p w:rsidR="00000000" w:rsidDel="00000000" w:rsidP="00000000" w:rsidRDefault="00000000" w:rsidRPr="00000000" w14:paraId="000000D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cuadro a cuadro,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0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secciones posteriores se distinguirá entre calibración operativa y adaptación paramétrica. La primera comprende cambios de resolución de entrada, formulación del vocabulario, umbrales, postproceso y estabilización temporal sin modificar los pesos del modelo; la segunda refiere exclusivamente al ajuste de parámetros mediante fine-tuning u otras técnicas de entrenamiento. Con esta distinción se evita presentar configuraciones de plataforma como si fueran modelos </w:t>
      </w:r>
      <w:r w:rsidDel="00000000" w:rsidR="00000000" w:rsidRPr="00000000">
        <w:rPr>
          <w:rFonts w:ascii="Times New Roman" w:cs="Times New Roman" w:eastAsia="Times New Roman" w:hAnsi="Times New Roman"/>
          <w:sz w:val="24"/>
          <w:szCs w:val="24"/>
          <w:rtl w:val="0"/>
        </w:rPr>
        <w:t xml:space="preserve">reentrenados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pp1zrldqw7i" w:id="21"/>
      <w:bookmarkEnd w:id="21"/>
      <w:r w:rsidDel="00000000" w:rsidR="00000000" w:rsidRPr="00000000">
        <w:rPr>
          <w:rFonts w:ascii="Times New Roman" w:cs="Times New Roman" w:eastAsia="Times New Roman" w:hAnsi="Times New Roman"/>
          <w:b w:val="1"/>
          <w:bCs w:val="1"/>
          <w:sz w:val="24"/>
          <w:szCs w:val="24"/>
          <w:rtl w:val="0"/>
        </w:rPr>
        <w:t xml:space="preserve">15.3. Seguimiento multiobjeto: métodos, métricas y brechas del estado del arte</w:t>
      </w:r>
    </w:p>
    <w:p w:rsidR="00000000" w:rsidDel="00000000" w:rsidP="00000000" w:rsidRDefault="00000000" w:rsidRPr="00000000" w14:paraId="000000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0DB">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38tguem6rnmb" w:id="22"/>
      <w:bookmarkEnd w:id="22"/>
      <w:r w:rsidDel="00000000" w:rsidR="00000000" w:rsidRPr="00000000">
        <w:rPr>
          <w:rFonts w:ascii="Times New Roman" w:cs="Times New Roman" w:eastAsia="Times New Roman" w:hAnsi="Times New Roman"/>
          <w:b w:val="1"/>
          <w:bCs w:val="1"/>
          <w:i w:val="1"/>
          <w:iCs w:val="1"/>
          <w:color w:val="000000"/>
          <w:sz w:val="24"/>
          <w:szCs w:val="24"/>
          <w:rtl w:val="0"/>
        </w:rPr>
        <w:t xml:space="preserve">15.3.1. Métodos representativos</w:t>
      </w:r>
    </w:p>
    <w:p w:rsidR="00000000" w:rsidDel="00000000" w:rsidP="00000000" w:rsidRDefault="00000000" w:rsidRPr="00000000" w14:paraId="000000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w:t>
      </w:r>
      <w:r w:rsidDel="00000000" w:rsidR="00000000" w:rsidRPr="00000000">
        <w:rPr>
          <w:rFonts w:ascii="Times New Roman" w:cs="Times New Roman" w:eastAsia="Times New Roman" w:hAnsi="Times New Roman"/>
          <w:sz w:val="24"/>
          <w:szCs w:val="24"/>
          <w:rtl w:val="0"/>
        </w:rPr>
        <w:t xml:space="preserve">MOT</w:t>
      </w:r>
      <w:r w:rsidDel="00000000" w:rsidR="00000000" w:rsidRPr="00000000">
        <w:rPr>
          <w:rFonts w:ascii="Times New Roman" w:cs="Times New Roman" w:eastAsia="Times New Roman" w:hAnsi="Times New Roman"/>
          <w:sz w:val="24"/>
          <w:szCs w:val="24"/>
          <w:rtl w:val="0"/>
        </w:rPr>
        <w:t xml:space="preserve">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0DD">
      <w:pPr>
        <w:pStyle w:val="Heading4"/>
        <w:spacing w:after="0" w:before="0" w:line="480" w:lineRule="auto"/>
        <w:rPr>
          <w:rFonts w:ascii="Times New Roman" w:cs="Times New Roman" w:eastAsia="Times New Roman" w:hAnsi="Times New Roman"/>
          <w:b w:val="1"/>
          <w:bCs w:val="1"/>
          <w:color w:val="000000"/>
        </w:rPr>
      </w:pPr>
      <w:bookmarkStart w:colFirst="0" w:colLast="0" w:name="_heading=h.ina524lejo6t" w:id="23"/>
      <w:bookmarkEnd w:id="23"/>
      <w:r w:rsidDel="00000000" w:rsidR="00000000" w:rsidRPr="00000000">
        <w:rPr>
          <w:rFonts w:ascii="Times New Roman" w:cs="Times New Roman" w:eastAsia="Times New Roman" w:hAnsi="Times New Roman"/>
          <w:b w:val="1"/>
          <w:bCs w:val="1"/>
          <w:color w:val="000000"/>
          <w:rtl w:val="0"/>
        </w:rPr>
        <w:t xml:space="preserve">15.3.1.1. SORT</w:t>
      </w:r>
    </w:p>
    <w:p w:rsidR="00000000" w:rsidDel="00000000" w:rsidP="00000000" w:rsidRDefault="00000000" w:rsidRPr="00000000" w14:paraId="000000D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(Simple Online and Realtime Tracking)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w:t>
      </w:r>
      <w:r w:rsidDel="00000000" w:rsidR="00000000" w:rsidRPr="00000000">
        <w:rPr>
          <w:rFonts w:ascii="Times New Roman" w:cs="Times New Roman" w:eastAsia="Times New Roman" w:hAnsi="Times New Roman"/>
          <w:sz w:val="24"/>
          <w:szCs w:val="24"/>
          <w:rtl w:val="0"/>
        </w:rPr>
        <w:t xml:space="preserve">modelado</w:t>
      </w:r>
      <w:r w:rsidDel="00000000" w:rsidR="00000000" w:rsidRPr="00000000">
        <w:rPr>
          <w:rFonts w:ascii="Times New Roman" w:cs="Times New Roman" w:eastAsia="Times New Roman" w:hAnsi="Times New Roman"/>
          <w:sz w:val="24"/>
          <w:szCs w:val="24"/>
          <w:rtl w:val="0"/>
        </w:rPr>
        <w:t xml:space="preserve">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0DF">
      <w:pPr>
        <w:pStyle w:val="Heading4"/>
        <w:spacing w:after="0" w:before="0" w:line="480" w:lineRule="auto"/>
        <w:rPr>
          <w:rFonts w:ascii="Times New Roman" w:cs="Times New Roman" w:eastAsia="Times New Roman" w:hAnsi="Times New Roman"/>
          <w:b w:val="1"/>
          <w:bCs w:val="1"/>
          <w:color w:val="000000"/>
        </w:rPr>
      </w:pPr>
      <w:bookmarkStart w:colFirst="0" w:colLast="0" w:name="_heading=h.n13z75yemuiy" w:id="24"/>
      <w:bookmarkEnd w:id="24"/>
      <w:r w:rsidDel="00000000" w:rsidR="00000000" w:rsidRPr="00000000">
        <w:rPr>
          <w:rFonts w:ascii="Times New Roman" w:cs="Times New Roman" w:eastAsia="Times New Roman" w:hAnsi="Times New Roman"/>
          <w:b w:val="1"/>
          <w:bCs w:val="1"/>
          <w:color w:val="000000"/>
          <w:rtl w:val="0"/>
        </w:rPr>
        <w:t xml:space="preserve">15.3.1.2. Contraste con variantes posteriores</w:t>
      </w:r>
    </w:p>
    <w:p w:rsidR="00000000" w:rsidDel="00000000" w:rsidP="00000000" w:rsidRDefault="00000000" w:rsidRPr="00000000" w14:paraId="000000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extensiones de tracking-by-detection introducen distintos mecanismos para mejorar la continuidad: DeepSORT agrega apariencia mediante ReID (</w:t>
      </w:r>
      <w:r w:rsidDel="00000000" w:rsidR="00000000" w:rsidRPr="00000000">
        <w:rPr>
          <w:rFonts w:ascii="Times New Roman" w:cs="Times New Roman" w:eastAsia="Times New Roman" w:hAnsi="Times New Roman"/>
          <w:sz w:val="24"/>
          <w:szCs w:val="24"/>
          <w:rtl w:val="0"/>
        </w:rPr>
        <w:t xml:space="preserve">Wojke</w:t>
      </w:r>
      <w:r w:rsidDel="00000000" w:rsidR="00000000" w:rsidRPr="00000000">
        <w:rPr>
          <w:rFonts w:ascii="Times New Roman" w:cs="Times New Roman" w:eastAsia="Times New Roman" w:hAnsi="Times New Roman"/>
          <w:sz w:val="24"/>
          <w:szCs w:val="24"/>
          <w:rtl w:val="0"/>
        </w:rPr>
        <w:t xml:space="preserve"> et al., 2017); ByteTrack reutiliza detecciones de baja confianza para sostener trayectorias (Y. Zhang et al., 2022); y OC-SORT corrige la estimación de movimiento durante oclusiones sin requerir apariencia (Cao et al., 2023). En el extremo de mayor complejidad, BoT-SORT combina movimiento y ReID, mientras que TrackFormer y MOTR aprenden detección y asociación de manera conjunta. Estas variantes permiten contrastar robustez, dependencia de entrenamiento y costo computacional, pero no establecen por sí mismas un método preferente para una plataforma OVD modular; la síntesis comparativa se conserva en la Tabla 6.</w:t>
      </w:r>
    </w:p>
    <w:p w:rsidR="00000000" w:rsidDel="00000000" w:rsidP="00000000" w:rsidRDefault="00000000" w:rsidRPr="00000000" w14:paraId="000000E1">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s42rooj34blk" w:id="25"/>
      <w:bookmarkEnd w:id="25"/>
      <w:r w:rsidDel="00000000" w:rsidR="00000000" w:rsidRPr="00000000">
        <w:rPr>
          <w:rFonts w:ascii="Times New Roman" w:cs="Times New Roman" w:eastAsia="Times New Roman" w:hAnsi="Times New Roman"/>
          <w:b w:val="1"/>
          <w:bCs w:val="1"/>
          <w:i w:val="1"/>
          <w:iCs w:val="1"/>
          <w:color w:val="000000"/>
          <w:sz w:val="24"/>
          <w:szCs w:val="24"/>
          <w:rtl w:val="0"/>
        </w:rPr>
        <w:t xml:space="preserve">15.3.2. Síntesis comparativa de métodos MOT</w:t>
      </w:r>
    </w:p>
    <w:p w:rsidR="00000000" w:rsidDel="00000000" w:rsidP="00000000" w:rsidRDefault="00000000" w:rsidRPr="00000000" w14:paraId="000000E2">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6 sintetiza las características principales de los métodos MOT analizados, con énfasis en las dimensiones más relevantes para su integración en el sistema E-</w:t>
      </w:r>
      <w:r w:rsidDel="00000000" w:rsidR="00000000" w:rsidRPr="00000000">
        <w:rPr>
          <w:rFonts w:ascii="Times New Roman" w:cs="Times New Roman" w:eastAsia="Times New Roman" w:hAnsi="Times New Roman"/>
          <w:sz w:val="24"/>
          <w:szCs w:val="24"/>
          <w:rtl w:val="0"/>
        </w:rPr>
        <w:t xml:space="preserve">OVRT</w:t>
      </w:r>
      <w:r w:rsidDel="00000000" w:rsidR="00000000" w:rsidRPr="00000000">
        <w:rPr>
          <w:rFonts w:ascii="Times New Roman" w:cs="Times New Roman" w:eastAsia="Times New Roman" w:hAnsi="Times New Roman"/>
          <w:sz w:val="24"/>
          <w:szCs w:val="24"/>
          <w:rtl w:val="0"/>
        </w:rPr>
        <w:t xml:space="preserve">-VDP: paradigma, modelo de movimiento, estrategia de asociación, robustez ante oclusiones, latencia y dependencias de entrenamiento.</w:t>
      </w:r>
    </w:p>
    <w:p w:rsidR="00000000" w:rsidDel="00000000" w:rsidP="00000000" w:rsidRDefault="00000000" w:rsidRPr="00000000" w14:paraId="000000E3">
      <w:pPr>
        <w:keepNext w:val="1"/>
        <w:keepLines w:val="1"/>
        <w:spacing w:after="0" w:before="0" w:line="480" w:lineRule="auto"/>
        <w:ind w:left="0" w:right="0" w:firstLine="0"/>
        <w:rPr>
          <w:rFonts w:ascii="Times New Roman" w:cs="Times New Roman" w:eastAsia="Times New Roman" w:hAnsi="Times New Roman"/>
          <w:sz w:val="24"/>
          <w:szCs w:val="24"/>
        </w:rPr>
      </w:pPr>
      <w:bookmarkStart w:colFirst="0" w:colLast="0" w:name="_heading=h.cyq1a757twcg" w:id="26"/>
      <w:bookmarkEnd w:id="26"/>
      <w:r w:rsidDel="00000000" w:rsidR="00000000" w:rsidRPr="00000000">
        <w:rPr>
          <w:rFonts w:ascii="Times New Roman" w:cs="Times New Roman" w:eastAsia="Times New Roman" w:hAnsi="Times New Roman"/>
          <w:b w:val="1"/>
          <w:bCs w:val="1"/>
          <w:i w:val="0"/>
          <w:iCs w:val="0"/>
          <w:color w:val="000000"/>
          <w:sz w:val="24"/>
          <w:szCs w:val="24"/>
          <w:rtl w:val="0"/>
        </w:rPr>
        <w:t xml:space="preserve">Tabla 6</w:t>
      </w:r>
      <w:r w:rsidDel="00000000" w:rsidR="00000000" w:rsidRPr="00000000">
        <w:rPr>
          <w:rtl w:val="0"/>
        </w:rPr>
      </w:r>
    </w:p>
    <w:p w:rsidR="00000000" w:rsidDel="00000000" w:rsidP="00000000" w:rsidRDefault="00000000" w:rsidRPr="00000000" w14:paraId="000000E4">
      <w:pPr>
        <w:keepNext w:val="1"/>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Síntesis comparativa de métodos MOT representativos según dimensiones relevantes para sistemas de video en tiempo real con detección open-vocabulary</w:t>
      </w:r>
      <w:r w:rsidDel="00000000" w:rsidR="00000000" w:rsidRPr="00000000">
        <w:rPr>
          <w:rtl w:val="0"/>
        </w:rPr>
      </w:r>
    </w:p>
    <w:tbl>
      <w:tblPr>
        <w:tblStyle w:val="Table5"/>
        <w:tblW w:w="12959.99999999999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366"/>
        <w:gridCol w:w="1415"/>
        <w:gridCol w:w="1887"/>
        <w:gridCol w:w="2210"/>
        <w:gridCol w:w="1465"/>
        <w:gridCol w:w="2086"/>
        <w:gridCol w:w="2531"/>
        <w:tblGridChange w:id="0">
          <w:tblGrid>
            <w:gridCol w:w="1366"/>
            <w:gridCol w:w="1415"/>
            <w:gridCol w:w="1887"/>
            <w:gridCol w:w="2210"/>
            <w:gridCol w:w="1465"/>
            <w:gridCol w:w="2086"/>
            <w:gridCol w:w="2531"/>
          </w:tblGrid>
        </w:tblGridChange>
      </w:tblGrid>
      <w:tr>
        <w:trPr>
          <w:cantSplit w:val="1"/>
          <w:tblHeader w:val="1"/>
        </w:trPr>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Método</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Paradigma</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Modelo de movimiento</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Asociación de datos</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Robustez a oclusiones</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Latencia / FPS</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Dependencia de entrenamiento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E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SORT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E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E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lineal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E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IoU + Húngaro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Baja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Muy alta (&gt;200 FPS)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Ninguna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F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DeepSORT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lineal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Cascada: movimiento + apariencia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Modelo ReID preentrenado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F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ByteTrack</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lineal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Jerárquica: alta/baja confianza + IoU</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Muy alta (&gt;170 FPS)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Ninguna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0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OC-SORT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 correcciones OC</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IoU + consistencia de momento (OCM)</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Muy 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Ninguna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0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BoT-SORT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mejorado + CMC</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Fusión </w:t>
            </w:r>
            <w:r w:rsidDel="00000000" w:rsidR="00000000" w:rsidRPr="00000000">
              <w:rPr>
                <w:rFonts w:ascii="Times New Roman" w:cs="Times New Roman" w:eastAsia="Times New Roman" w:hAnsi="Times New Roman"/>
                <w:i w:val="0"/>
                <w:iCs w:val="0"/>
                <w:color w:val="000000"/>
                <w:sz w:val="24"/>
                <w:szCs w:val="24"/>
                <w:rtl w:val="0"/>
              </w:rPr>
              <w:t xml:space="preserve">IoU</w:t>
            </w:r>
            <w:r w:rsidDel="00000000" w:rsidR="00000000" w:rsidRPr="00000000">
              <w:rPr>
                <w:rFonts w:ascii="Times New Roman" w:cs="Times New Roman" w:eastAsia="Times New Roman" w:hAnsi="Times New Roman"/>
                <w:i w:val="0"/>
                <w:iCs w:val="0"/>
                <w:color w:val="000000"/>
                <w:sz w:val="24"/>
                <w:szCs w:val="24"/>
                <w:rtl w:val="0"/>
              </w:rPr>
              <w:t xml:space="preserve">-ReID</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Modelo ReID preentrenado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0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TrackFormer / MOTR</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End-to-end (Transformer)</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Atención temporal aprendida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Mecanismo de atención global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Muy 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Baja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Entrenamiento conjunto requerido</w:t>
            </w:r>
            <w:r w:rsidDel="00000000" w:rsidR="00000000" w:rsidRPr="00000000">
              <w:rPr>
                <w:rtl w:val="0"/>
              </w:rPr>
            </w:r>
          </w:p>
        </w:tc>
      </w:tr>
    </w:tbl>
    <w:p w:rsidR="00000000" w:rsidDel="00000000" w:rsidP="00000000" w:rsidRDefault="00000000" w:rsidRPr="00000000" w14:paraId="00000116">
      <w:pPr>
        <w:keepLines w:val="1"/>
        <w:spacing w:after="0" w:before="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14">
        <w:r w:rsidDel="00000000" w:rsidR="00000000" w:rsidRPr="00000000">
          <w:rPr>
            <w:rFonts w:ascii="Times New Roman" w:cs="Times New Roman" w:eastAsia="Times New Roman" w:hAnsi="Times New Roman"/>
            <w:i w:val="0"/>
            <w:iCs w:val="0"/>
            <w:color w:val="000000"/>
            <w:sz w:val="24"/>
            <w:szCs w:val="24"/>
            <w:rtl w:val="0"/>
          </w:rPr>
          <w:t xml:space="preserve">(Adžemović, 2025; Aharon et al., 2022; Bewley et al., 2016; Cao et al., 2023; </w:t>
        </w:r>
      </w:hyperlink>
      <w:hyperlink r:id="rId15">
        <w:r w:rsidDel="00000000" w:rsidR="00000000" w:rsidRPr="00000000">
          <w:rPr>
            <w:rFonts w:ascii="Times New Roman" w:cs="Times New Roman" w:eastAsia="Times New Roman" w:hAnsi="Times New Roman"/>
            <w:i w:val="0"/>
            <w:iCs w:val="0"/>
            <w:color w:val="000000"/>
            <w:sz w:val="24"/>
            <w:szCs w:val="24"/>
            <w:rtl w:val="0"/>
          </w:rPr>
          <w:t xml:space="preserve">Wojke</w:t>
        </w:r>
      </w:hyperlink>
      <w:hyperlink r:id="rId16">
        <w:r w:rsidDel="00000000" w:rsidR="00000000" w:rsidRPr="00000000">
          <w:rPr>
            <w:rFonts w:ascii="Times New Roman" w:cs="Times New Roman" w:eastAsia="Times New Roman" w:hAnsi="Times New Roman"/>
            <w:i w:val="0"/>
            <w:iCs w:val="0"/>
            <w:color w:val="000000"/>
            <w:sz w:val="24"/>
            <w:szCs w:val="24"/>
            <w:rtl w:val="0"/>
          </w:rPr>
          <w:t xml:space="preserve"> et al., 2017; Y. Zhang et al., 2022)</w:t>
        </w:r>
      </w:hyperlink>
      <w:r w:rsidDel="00000000" w:rsidR="00000000" w:rsidRPr="00000000">
        <w:rPr>
          <w:rFonts w:ascii="Times New Roman" w:cs="Times New Roman" w:eastAsia="Times New Roman" w:hAnsi="Times New Roman"/>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17">
      <w:pPr>
        <w:pStyle w:val="Heading4"/>
        <w:spacing w:after="0" w:before="0" w:line="480" w:lineRule="auto"/>
        <w:rPr>
          <w:rFonts w:ascii="Times New Roman" w:cs="Times New Roman" w:eastAsia="Times New Roman" w:hAnsi="Times New Roman"/>
          <w:b w:val="1"/>
          <w:bCs w:val="1"/>
          <w:color w:val="000000"/>
        </w:rPr>
      </w:pPr>
      <w:bookmarkStart w:colFirst="0" w:colLast="0" w:name="_heading=h.udd69iamsgsn" w:id="27"/>
      <w:bookmarkEnd w:id="27"/>
      <w:r w:rsidDel="00000000" w:rsidR="00000000" w:rsidRPr="00000000">
        <w:rPr>
          <w:rFonts w:ascii="Times New Roman" w:cs="Times New Roman" w:eastAsia="Times New Roman" w:hAnsi="Times New Roman"/>
          <w:b w:val="1"/>
          <w:bCs w:val="1"/>
          <w:color w:val="000000"/>
          <w:rtl w:val="0"/>
        </w:rPr>
        <w:t xml:space="preserve">15.3.2.1. Observaciones críticas sobre la comparativa</w:t>
      </w:r>
    </w:p>
    <w:p w:rsidR="00000000" w:rsidDel="00000000" w:rsidP="00000000" w:rsidRDefault="00000000" w:rsidRPr="00000000" w14:paraId="0000011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comparativa muestra que los métodos de seguimiento difieren no sólo en sus resultados agregados, sino también en las dependencias que introducen. Los enfoques geométricos sin modelos de apariencia pueden acoplarse a detectores externos sin requerir entrenamiento adicional de ReID, mientras que las variantes basadas en apariencia o entrenamiento conjunto dependen de datos y componentes específicos (Adžemović, 2025; </w:t>
      </w:r>
      <w:r w:rsidDel="00000000" w:rsidR="00000000" w:rsidRPr="00000000">
        <w:rPr>
          <w:rFonts w:ascii="Times New Roman" w:cs="Times New Roman" w:eastAsia="Times New Roman" w:hAnsi="Times New Roman"/>
          <w:sz w:val="24"/>
          <w:szCs w:val="24"/>
          <w:rtl w:val="0"/>
        </w:rPr>
        <w:t xml:space="preserve">Wojke</w:t>
      </w:r>
      <w:r w:rsidDel="00000000" w:rsidR="00000000" w:rsidRPr="00000000">
        <w:rPr>
          <w:rFonts w:ascii="Times New Roman" w:cs="Times New Roman" w:eastAsia="Times New Roman" w:hAnsi="Times New Roman"/>
          <w:sz w:val="24"/>
          <w:szCs w:val="24"/>
          <w:rtl w:val="0"/>
        </w:rPr>
        <w:t xml:space="preserve"> et al., 2017). Esta diferencia delimita un compromiso entre simplicidad de integración y robustez de asociación; por sí sola, no determina la elección de un tracker para una plataforma OVD.</w:t>
      </w:r>
    </w:p>
    <w:p w:rsidR="00000000" w:rsidDel="00000000" w:rsidP="00000000" w:rsidRDefault="00000000" w:rsidRPr="00000000" w14:paraId="00000119">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in0n84immy2w" w:id="28"/>
      <w:bookmarkEnd w:id="28"/>
      <w:r w:rsidDel="00000000" w:rsidR="00000000" w:rsidRPr="00000000">
        <w:rPr>
          <w:rFonts w:ascii="Times New Roman" w:cs="Times New Roman" w:eastAsia="Times New Roman" w:hAnsi="Times New Roman"/>
          <w:b w:val="1"/>
          <w:bCs w:val="1"/>
          <w:i w:val="1"/>
          <w:iCs w:val="1"/>
          <w:color w:val="000000"/>
          <w:sz w:val="24"/>
          <w:szCs w:val="24"/>
          <w:rtl w:val="0"/>
        </w:rPr>
        <w:t xml:space="preserve">15.3.3. Métricas de evaluación para MOT</w:t>
      </w:r>
      <w:r w:rsidDel="00000000" w:rsidR="00000000" w:rsidRPr="00000000">
        <w:rPr>
          <w:rtl w:val="0"/>
        </w:rPr>
      </w:r>
    </w:p>
    <w:p w:rsidR="00000000" w:rsidDel="00000000" w:rsidP="00000000" w:rsidRDefault="00000000" w:rsidRPr="00000000" w14:paraId="0000011A">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métodos de seguimiento requiere complementar sus diferencias arquitectónicas con criterios que permitan cuantificar la calidad de las trayectorias obtenidas. La evaluación de MOT considera dimensiones relacionadas pero distintas —como los errores de detección, la continuidad de identidad y la calidad de asociación—, por lo que la literatura emplea métricas específicas y complementarias para caracterizar su desempeño.</w:t>
      </w:r>
    </w:p>
    <w:p w:rsidR="00000000" w:rsidDel="00000000" w:rsidP="00000000" w:rsidRDefault="00000000" w:rsidRPr="00000000" w14:paraId="0000011B">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resume falsos negativos, falsos positivos y cambios de identidad respecto del ground truth, aunque su lectura está fuertemente condicionada por los errores de detección (Bernardin &amp; Stiefelhagen, 2008). IDF1 enfatiza la consistencia de identidad a lo largo de la secuencia (Ristani et al., 2016), mientras que HOTA separa y combina calidad de detección, asociación y localización (Luiten et al., 2021). Estas métricas caracterizan al tracker, pero no miden el valor temporal de una alerta; la evaluación de un sistema asistivo exige niveles adicionales, cuya definición corresponde al protocolo experimental. Una comparación ampliada de estas métricas y de sus limitaciones se presenta en la </w:t>
      </w:r>
      <w:sdt>
        <w:sdtPr>
          <w:id w:val="-675540770"/>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Tabla A.2 del Anexo 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1C">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qseag15ghlai" w:id="29"/>
      <w:bookmarkEnd w:id="29"/>
      <w:r w:rsidDel="00000000" w:rsidR="00000000" w:rsidRPr="00000000">
        <w:rPr>
          <w:rFonts w:ascii="Times New Roman" w:cs="Times New Roman" w:eastAsia="Times New Roman" w:hAnsi="Times New Roman"/>
          <w:b w:val="1"/>
          <w:bCs w:val="1"/>
          <w:i w:val="1"/>
          <w:iCs w:val="1"/>
          <w:color w:val="000000"/>
          <w:sz w:val="24"/>
          <w:szCs w:val="24"/>
          <w:rtl w:val="0"/>
        </w:rPr>
        <w:t xml:space="preserve">15.3.4. Brechas identificadas y desafíos para el prototipo</w:t>
      </w:r>
    </w:p>
    <w:p w:rsidR="00000000" w:rsidDel="00000000" w:rsidP="00000000" w:rsidRDefault="00000000" w:rsidRPr="00000000" w14:paraId="0000011D">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11E">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selregkmggds" w:id="30"/>
      <w:bookmarkEnd w:id="30"/>
      <w:r w:rsidDel="00000000" w:rsidR="00000000" w:rsidRPr="00000000">
        <w:rPr>
          <w:rFonts w:ascii="Times New Roman" w:cs="Times New Roman" w:eastAsia="Times New Roman" w:hAnsi="Times New Roman"/>
          <w:b w:val="1"/>
          <w:bCs w:val="1"/>
          <w:i w:val="0"/>
          <w:iCs w:val="0"/>
          <w:color w:val="000000"/>
          <w:sz w:val="24"/>
          <w:szCs w:val="24"/>
          <w:rtl w:val="0"/>
        </w:rPr>
        <w:t xml:space="preserve">Tabla 7</w:t>
      </w:r>
      <w:r w:rsidDel="00000000" w:rsidR="00000000" w:rsidRPr="00000000">
        <w:rPr>
          <w:rtl w:val="0"/>
        </w:rPr>
      </w:r>
    </w:p>
    <w:p w:rsidR="00000000" w:rsidDel="00000000" w:rsidP="00000000" w:rsidRDefault="00000000" w:rsidRPr="00000000" w14:paraId="0000011F">
      <w:pPr>
        <w:keepNext w:val="1"/>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Brechas identificadas en la aplicación de métodos MOT al contexto de seguridad en construcción civil en combinación con detección open-vocabulary</w:t>
      </w:r>
      <w:r w:rsidDel="00000000" w:rsidR="00000000" w:rsidRPr="00000000">
        <w:rPr>
          <w:rtl w:val="0"/>
        </w:rPr>
      </w:r>
    </w:p>
    <w:tbl>
      <w:tblPr>
        <w:tblStyle w:val="Table6"/>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329"/>
        <w:gridCol w:w="5576"/>
        <w:gridCol w:w="5055"/>
        <w:tblGridChange w:id="0">
          <w:tblGrid>
            <w:gridCol w:w="2329"/>
            <w:gridCol w:w="5576"/>
            <w:gridCol w:w="5055"/>
          </w:tblGrid>
        </w:tblGridChange>
      </w:tblGrid>
      <w:tr>
        <w:trPr>
          <w:cantSplit w:val="1"/>
          <w:tblHeader w:val="1"/>
        </w:trPr>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12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Brecha identificada</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12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Descripción</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12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Implicación para el proyecto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2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Dependencia de la calidad del detector subyacente</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El rendimiento del MOT está fuertemente acoplado al desempeño del detector. Errores de detección —FP, FN, bounding boxes inestables— se propagan al seguimiento, produciendo fragmentación de trayectorias, pérdidas de identidad y asociaciones erróneas </w:t>
            </w:r>
            <w:hyperlink r:id="rId17">
              <w:r w:rsidDel="00000000" w:rsidR="00000000" w:rsidRPr="00000000">
                <w:rPr>
                  <w:rFonts w:ascii="Times New Roman" w:cs="Times New Roman" w:eastAsia="Times New Roman" w:hAnsi="Times New Roman"/>
                  <w:i w:val="0"/>
                  <w:iCs w:val="0"/>
                  <w:color w:val="000000"/>
                  <w:sz w:val="24"/>
                  <w:szCs w:val="24"/>
                  <w:rtl w:val="0"/>
                </w:rPr>
                <w:t xml:space="preserve">(S. Li et al., 2025)</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2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Fragilidad ante oclusiones prolongadas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Aunque los métodos modernos manejan oclusiones breves, las oclusiones de larga duración producen terminación prematura de trayectorias, re-asociaciones inciertas y aumento de ID switches </w:t>
            </w:r>
            <w:hyperlink r:id="rId18">
              <w:r w:rsidDel="00000000" w:rsidR="00000000" w:rsidRPr="00000000">
                <w:rPr>
                  <w:rFonts w:ascii="Times New Roman" w:cs="Times New Roman" w:eastAsia="Times New Roman" w:hAnsi="Times New Roman"/>
                  <w:i w:val="0"/>
                  <w:iCs w:val="0"/>
                  <w:color w:val="000000"/>
                  <w:sz w:val="24"/>
                  <w:szCs w:val="24"/>
                  <w:rtl w:val="0"/>
                </w:rPr>
                <w:t xml:space="preserve">(Du et al., 2024)</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 entornos de obra civil con alta densidad de obstrucciones (andamios, maquinaria, materiales), la robustez ante oclusiones es una restricción de diseño relevante que debe evaluarse empíricamente</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2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Métricas estándar no alineadas con objetivos operativos de seguridad</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Las métricas MOTA, IDF1 y HOTA evalúan el desempeño del seguimiento cuadro a cuadro sin considerar el impacto operativo diferenciado de distintos tipos de error en el contexto de seguridad laboral </w:t>
            </w:r>
            <w:hyperlink r:id="rId19">
              <w:r w:rsidDel="00000000" w:rsidR="00000000" w:rsidRPr="00000000">
                <w:rPr>
                  <w:rFonts w:ascii="Times New Roman" w:cs="Times New Roman" w:eastAsia="Times New Roman" w:hAnsi="Times New Roman"/>
                  <w:i w:val="0"/>
                  <w:iCs w:val="0"/>
                  <w:color w:val="000000"/>
                  <w:sz w:val="24"/>
                  <w:szCs w:val="24"/>
                  <w:rtl w:val="0"/>
                </w:rPr>
                <w:t xml:space="preserve">(Luiten et al., 2021)</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2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Ausencia de datasets de construcción con anotaciones de seguimiento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Los benchmarks estándar de MOT (</w:t>
            </w:r>
            <w:r w:rsidDel="00000000" w:rsidR="00000000" w:rsidRPr="00000000">
              <w:rPr>
                <w:rFonts w:ascii="Times New Roman" w:cs="Times New Roman" w:eastAsia="Times New Roman" w:hAnsi="Times New Roman"/>
                <w:i w:val="0"/>
                <w:iCs w:val="0"/>
                <w:color w:val="000000"/>
                <w:sz w:val="24"/>
                <w:szCs w:val="24"/>
                <w:rtl w:val="0"/>
              </w:rPr>
              <w:t xml:space="preserve">MOT17</w:t>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i w:val="0"/>
                <w:iCs w:val="0"/>
                <w:color w:val="000000"/>
                <w:sz w:val="24"/>
                <w:szCs w:val="24"/>
                <w:rtl w:val="0"/>
              </w:rPr>
              <w:t xml:space="preserve">MOT20</w:t>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i w:val="0"/>
                <w:iCs w:val="0"/>
                <w:color w:val="000000"/>
                <w:sz w:val="24"/>
                <w:szCs w:val="24"/>
                <w:rtl w:val="0"/>
              </w:rPr>
              <w:t xml:space="preserve">DanceTrack</w:t>
            </w:r>
            <w:r w:rsidDel="00000000" w:rsidR="00000000" w:rsidRPr="00000000">
              <w:rPr>
                <w:rFonts w:ascii="Times New Roman" w:cs="Times New Roman" w:eastAsia="Times New Roman" w:hAnsi="Times New Roman"/>
                <w:i w:val="0"/>
                <w:iCs w:val="0"/>
                <w:color w:val="000000"/>
                <w:sz w:val="24"/>
                <w:szCs w:val="24"/>
                <w:rtl w:val="0"/>
              </w:rPr>
              <w:t xml:space="preserve">) no contemplan el dominio de obras civiles; la evaluación del tracker en condiciones representativas requiere datos del dominio específico </w:t>
            </w:r>
            <w:hyperlink r:id="rId20">
              <w:r w:rsidDel="00000000" w:rsidR="00000000" w:rsidRPr="00000000">
                <w:rPr>
                  <w:rFonts w:ascii="Times New Roman" w:cs="Times New Roman" w:eastAsia="Times New Roman" w:hAnsi="Times New Roman"/>
                  <w:i w:val="0"/>
                  <w:iCs w:val="0"/>
                  <w:color w:val="000000"/>
                  <w:sz w:val="24"/>
                  <w:szCs w:val="24"/>
                  <w:rtl w:val="0"/>
                </w:rPr>
                <w:t xml:space="preserve">(Dendorfer et al., 2020; Milan et al., 2016)</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validación del componente MOT en el prototipo no puede apoyarse en benchmarks estándar; se requiere la definición de un protocolo de evaluación propio con datos recopilados en el contexto del proyecto</w:t>
            </w:r>
            <w:r w:rsidDel="00000000" w:rsidR="00000000" w:rsidRPr="00000000">
              <w:rPr>
                <w:rtl w:val="0"/>
              </w:rPr>
            </w:r>
          </w:p>
        </w:tc>
      </w:tr>
    </w:tbl>
    <w:p w:rsidR="00000000" w:rsidDel="00000000" w:rsidP="00000000" w:rsidRDefault="00000000" w:rsidRPr="00000000" w14:paraId="0000012F">
      <w:pPr>
        <w:keepLines w:val="1"/>
        <w:spacing w:after="0" w:before="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Las brechas listadas definen el espacio de problemas </w:t>
      </w:r>
      <w:r w:rsidDel="00000000" w:rsidR="00000000" w:rsidRPr="00000000">
        <w:rPr>
          <w:rFonts w:ascii="Times New Roman" w:cs="Times New Roman" w:eastAsia="Times New Roman" w:hAnsi="Times New Roman"/>
          <w:i w:val="0"/>
          <w:iCs w:val="0"/>
          <w:color w:val="000000"/>
          <w:sz w:val="24"/>
          <w:szCs w:val="24"/>
          <w:rtl w:val="0"/>
        </w:rPr>
        <w:t xml:space="preserve">abiertos </w:t>
      </w:r>
      <w:r w:rsidDel="00000000" w:rsidR="00000000" w:rsidRPr="00000000">
        <w:rPr>
          <w:rFonts w:ascii="Times New Roman" w:cs="Times New Roman" w:eastAsia="Times New Roman" w:hAnsi="Times New Roman"/>
          <w:sz w:val="24"/>
          <w:szCs w:val="24"/>
          <w:rtl w:val="0"/>
        </w:rPr>
        <w:t xml:space="preserve">se abordan</w:t>
      </w:r>
      <w:r w:rsidDel="00000000" w:rsidR="00000000" w:rsidRPr="00000000">
        <w:rPr>
          <w:rFonts w:ascii="Times New Roman" w:cs="Times New Roman" w:eastAsia="Times New Roman" w:hAnsi="Times New Roman"/>
          <w:sz w:val="24"/>
          <w:szCs w:val="24"/>
          <w:rtl w:val="0"/>
        </w:rPr>
        <w:t xml:space="preserve"> en las siguientes etapas</w:t>
      </w:r>
      <w:r w:rsidDel="00000000" w:rsidR="00000000" w:rsidRPr="00000000">
        <w:rPr>
          <w:rFonts w:ascii="Times New Roman" w:cs="Times New Roman" w:eastAsia="Times New Roman" w:hAnsi="Times New Roman"/>
          <w:i w:val="0"/>
          <w:iCs w:val="0"/>
          <w:color w:val="000000"/>
          <w:sz w:val="24"/>
          <w:szCs w:val="24"/>
          <w:rtl w:val="0"/>
        </w:rPr>
        <w:t xml:space="preserve">. Fuente: Elaboración propia basada en las fuentes citadas </w:t>
      </w:r>
      <w:hyperlink r:id="rId21">
        <w:r w:rsidDel="00000000" w:rsidR="00000000" w:rsidRPr="00000000">
          <w:rPr>
            <w:rFonts w:ascii="Times New Roman" w:cs="Times New Roman" w:eastAsia="Times New Roman" w:hAnsi="Times New Roman"/>
            <w:i w:val="0"/>
            <w:iCs w:val="0"/>
            <w:color w:val="000000"/>
            <w:sz w:val="24"/>
            <w:szCs w:val="24"/>
            <w:rtl w:val="0"/>
          </w:rPr>
          <w:t xml:space="preserve">(Adžemović, 2025; Dendorfer et al., 2020; Du et al., 2024; S. Li et al., 2025; Luiten et al., 2021; Milan et al., 2016)</w:t>
        </w:r>
      </w:hyperlink>
      <w:r w:rsidDel="00000000" w:rsidR="00000000" w:rsidRPr="00000000">
        <w:rPr>
          <w:rFonts w:ascii="Times New Roman" w:cs="Times New Roman" w:eastAsia="Times New Roman" w:hAnsi="Times New Roman"/>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3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brecha de ausencia de datasets de construcción con anotaciones de seguimiento merece una consideración adicional. Los benchmarks estándar de MOT —</w:t>
      </w: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MOT20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DanceTrack</w:t>
      </w:r>
      <w:r w:rsidDel="00000000" w:rsidR="00000000" w:rsidRPr="00000000">
        <w:rPr>
          <w:rFonts w:ascii="Times New Roman" w:cs="Times New Roman" w:eastAsia="Times New Roman" w:hAnsi="Times New Roman"/>
          <w:sz w:val="24"/>
          <w:szCs w:val="24"/>
          <w:rtl w:val="0"/>
        </w:rPr>
        <w:t xml:space="preserve">—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sino que requiere de la definición de un protocolo de evaluación propio que se </w:t>
      </w:r>
      <w:r w:rsidDel="00000000" w:rsidR="00000000" w:rsidRPr="00000000">
        <w:rPr>
          <w:rFonts w:ascii="Times New Roman" w:cs="Times New Roman" w:eastAsia="Times New Roman" w:hAnsi="Times New Roman"/>
          <w:sz w:val="24"/>
          <w:szCs w:val="24"/>
          <w:rtl w:val="0"/>
        </w:rPr>
        <w:t xml:space="preserve">apoyará</w:t>
      </w:r>
      <w:r w:rsidDel="00000000" w:rsidR="00000000" w:rsidRPr="00000000">
        <w:rPr>
          <w:rFonts w:ascii="Times New Roman" w:cs="Times New Roman" w:eastAsia="Times New Roman" w:hAnsi="Times New Roman"/>
          <w:sz w:val="24"/>
          <w:szCs w:val="24"/>
          <w:rtl w:val="0"/>
        </w:rPr>
        <w:t xml:space="preserve"> en los datos recopilados durante la fase experimental del proyecto.</w:t>
      </w:r>
    </w:p>
    <w:p w:rsidR="00000000" w:rsidDel="00000000" w:rsidP="00000000" w:rsidRDefault="00000000" w:rsidRPr="00000000" w14:paraId="00000131">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km0jhbfxtlz5" w:id="31"/>
      <w:bookmarkEnd w:id="31"/>
      <w:r w:rsidDel="00000000" w:rsidR="00000000" w:rsidRPr="00000000">
        <w:rPr>
          <w:rFonts w:ascii="Times New Roman" w:cs="Times New Roman" w:eastAsia="Times New Roman" w:hAnsi="Times New Roman"/>
          <w:b w:val="1"/>
          <w:bCs w:val="1"/>
          <w:sz w:val="24"/>
          <w:szCs w:val="24"/>
          <w:rtl w:val="0"/>
        </w:rPr>
        <w:t xml:space="preserve">15.4. Video en tiempo real y streaming: protocolos, servidores y brechas del estado del arte</w:t>
      </w:r>
    </w:p>
    <w:p w:rsidR="00000000" w:rsidDel="00000000" w:rsidP="00000000" w:rsidRDefault="00000000" w:rsidRPr="00000000" w14:paraId="0000013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p39swiz6rady" w:id="32"/>
      <w:bookmarkEnd w:id="32"/>
      <w:r w:rsidDel="00000000" w:rsidR="00000000" w:rsidRPr="00000000">
        <w:rPr>
          <w:rFonts w:ascii="Times New Roman" w:cs="Times New Roman" w:eastAsia="Times New Roman" w:hAnsi="Times New Roman"/>
          <w:b w:val="1"/>
          <w:bCs w:val="1"/>
          <w:i w:val="1"/>
          <w:iCs w:val="1"/>
          <w:color w:val="000000"/>
          <w:sz w:val="24"/>
          <w:szCs w:val="24"/>
          <w:rtl w:val="0"/>
        </w:rPr>
        <w:t xml:space="preserve">15.4.1. Protocolos de transmisión de video de baja latencia</w:t>
      </w:r>
    </w:p>
    <w:p w:rsidR="00000000" w:rsidDel="00000000" w:rsidP="00000000" w:rsidRDefault="00000000" w:rsidRPr="00000000" w14:paraId="0000013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w:t>
      </w:r>
      <w:r w:rsidDel="00000000" w:rsidR="00000000" w:rsidRPr="00000000">
        <w:rPr>
          <w:rFonts w:ascii="Times New Roman" w:cs="Times New Roman" w:eastAsia="Times New Roman" w:hAnsi="Times New Roman"/>
          <w:sz w:val="24"/>
          <w:szCs w:val="24"/>
          <w:rtl w:val="0"/>
        </w:rPr>
        <w:t xml:space="preserve">decodificadas</w:t>
      </w:r>
      <w:r w:rsidDel="00000000" w:rsidR="00000000" w:rsidRPr="00000000">
        <w:rPr>
          <w:rFonts w:ascii="Times New Roman" w:cs="Times New Roman" w:eastAsia="Times New Roman" w:hAnsi="Times New Roman"/>
          <w:sz w:val="24"/>
          <w:szCs w:val="24"/>
          <w:rtl w:val="0"/>
        </w:rPr>
        <w:t xml:space="preserve"> y procesadas con una latencia compatible con la generación oportuna de alertas.</w:t>
      </w:r>
    </w:p>
    <w:p w:rsidR="00000000" w:rsidDel="00000000" w:rsidP="00000000" w:rsidRDefault="00000000" w:rsidRPr="00000000" w14:paraId="0000013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general, los protocolos de streaming pueden diferenciarse por dimensiones como el modelo de entrega, el esquema de distribución, la tolerancia a pérdidas, los mecanismos de buffering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13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stack de medios, sin definir todavía una implementación definitiva.</w:t>
      </w:r>
    </w:p>
    <w:p w:rsidR="00000000" w:rsidDel="00000000" w:rsidP="00000000" w:rsidRDefault="00000000" w:rsidRPr="00000000" w14:paraId="00000136">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15.4.1.1. Criterios de clasificación de protocolos</w:t>
      </w:r>
      <w:r w:rsidDel="00000000" w:rsidR="00000000" w:rsidRPr="00000000">
        <w:rPr>
          <w:rtl w:val="0"/>
        </w:rPr>
      </w:r>
    </w:p>
    <w:p w:rsidR="00000000" w:rsidDel="00000000" w:rsidP="00000000" w:rsidRDefault="00000000" w:rsidRPr="00000000" w14:paraId="0000013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no se comparan adecuadamente mediante una única etiqueta de latencia. Su comportamiento resulta de la combinación entre la forma de controlar la entrega, la topología de distribución y la configuración temporal del flujo. Estas dimensiones permiten ordenar alternativas sin asumir que una familia sea superior en todos los escenarios.</w:t>
      </w:r>
    </w:p>
    <w:p w:rsidR="00000000" w:rsidDel="00000000" w:rsidP="00000000" w:rsidRDefault="00000000" w:rsidRPr="00000000" w14:paraId="0000013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dimensión distingue quién gobierna la transferencia. En un esquema push, una vez establecida la sesión, el emisor sostiene el envío continuo y el receptor consume las unidades a medida que llegan. En un esquema pull, el receptor inicia y regula solicitudes sucesivas de contenido. La diferencia no determina por sí sola la latencia ni la confiabilidad: indica dónde reside el control operativo de la entrega y cómo avanza el flujo.</w:t>
      </w:r>
    </w:p>
    <w:p w:rsidR="00000000" w:rsidDel="00000000" w:rsidP="00000000" w:rsidRDefault="00000000" w:rsidRPr="00000000" w14:paraId="0000013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segunda dimensión corresponde a la topología de distribución. En unicast, cada receptor mantiene una comunicación individual con el origen o con un intermediario; en multicast, una única transmisión se replica dentro de la red para un conjunto de receptores. Esta dimensión es independiente del modelo push o pull y permite analizar el costo de escalar destinatarios, el control por receptor y las restricciones de la infraestructura de red.</w:t>
      </w:r>
    </w:p>
    <w:p w:rsidR="00000000" w:rsidDel="00000000" w:rsidP="00000000" w:rsidRDefault="00000000" w:rsidRPr="00000000" w14:paraId="0000013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tercera dimensión es el orden de magnitud de la latencia extremo a extremo. Su clasificación en rangos bajos, medios o altos tiene valor comparativo, pero no constituye una propiedad invariable del protocolo. El resultado depende también de la captura, la codificación, las pérdidas y retransmisiones, las colas, la decodificación y el buffer de reproducción. Por ello, la latencia debe interpretarse como efecto de una configuración completa y no como garantía aislada del estándar.</w:t>
      </w:r>
    </w:p>
    <w:p w:rsidR="00000000" w:rsidDel="00000000" w:rsidP="00000000" w:rsidRDefault="00000000" w:rsidRPr="00000000" w14:paraId="0000013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dimensiones conforman un marco teórico común. La sección siguiente lo aplica a las principales familias de protocolos y </w:t>
      </w:r>
      <w:r w:rsidDel="00000000" w:rsidR="00000000" w:rsidRPr="00000000">
        <w:rPr>
          <w:rFonts w:ascii="Times New Roman" w:cs="Times New Roman" w:eastAsia="Times New Roman" w:hAnsi="Times New Roman"/>
          <w:sz w:val="24"/>
          <w:szCs w:val="24"/>
          <w:rtl w:val="0"/>
        </w:rPr>
        <w:t xml:space="preserve">explicita</w:t>
      </w:r>
      <w:r w:rsidDel="00000000" w:rsidR="00000000" w:rsidRPr="00000000">
        <w:rPr>
          <w:rFonts w:ascii="Times New Roman" w:cs="Times New Roman" w:eastAsia="Times New Roman" w:hAnsi="Times New Roman"/>
          <w:sz w:val="24"/>
          <w:szCs w:val="24"/>
          <w:rtl w:val="0"/>
        </w:rPr>
        <w:t xml:space="preserve"> qué combinación de control de entrega, topología y compromiso temporal caracteriza a cada una.</w:t>
      </w:r>
    </w:p>
    <w:p w:rsidR="00000000" w:rsidDel="00000000" w:rsidP="00000000" w:rsidRDefault="00000000" w:rsidRPr="00000000" w14:paraId="0000013C">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15.4.1.2. Mapa de familias de protocolos según los criterios de clasificación</w:t>
      </w:r>
    </w:p>
    <w:p w:rsidR="00000000" w:rsidDel="00000000" w:rsidP="00000000" w:rsidRDefault="00000000" w:rsidRPr="00000000" w14:paraId="0000013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aplicar los criterios anteriores, las familias se organizan por su perfil operativo dominante y por el tramo del sistema que resuelven. El mapa resultante no establece equivalencias ni un ordenamiento general: muestra cómo cada alternativa combina control de entrega, distribución, resiliencia y latencia.</w:t>
      </w:r>
    </w:p>
    <w:p w:rsidR="00000000" w:rsidDel="00000000" w:rsidP="00000000" w:rsidRDefault="00000000" w:rsidRPr="00000000" w14:paraId="0000013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RTSP/RTP representa el perfil de ingesta continua asociado a cámaras IP. RTSP gobierna la sesión mediante la descripción del flujo, la negociación de parámetros y las operaciones de reproducción, mientras que RTP transporta el medio como un flujo continuo y RTCP informa pérdida y jitter (Schulzrinne et al., 1998, 2003, 2016). En esta combinación, el cliente controla el establecimiento de la sesión, pero, una vez iniciada, el medio se envía de forma continua. RTP puede operar en unicast o multicast y sobre UDP, o intercalado sobre la conexión TCP de RTSP. Su madurez y su adopción por ONVIF Profile S explican su presencia extendida en videovigilancia y cámaras IP industriales (ONVIF, 2019).</w:t>
      </w:r>
    </w:p>
    <w:p w:rsidR="00000000" w:rsidDel="00000000" w:rsidP="00000000" w:rsidRDefault="00000000" w:rsidRPr="00000000" w14:paraId="0000013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ubicación en el mapa no implica una latencia invariable. El retardo extremo a extremo depende de la captura, la codificación, la red, la decodificación y, de manera marcada, del buffer del receptor. Axis Communications AB (2015) identifica el play-out buffer como un componente que puede dominar el retardo cuando se prioriza estabilidad frente a jitter. Bajo condiciones favorables, RTSP/RTP puede operar aproximadamente entre 200 y 800 ms, mientras que configuraciones de videovigilancia con buffering conservador pueden elevarlo a valores de entre 1.000 y 2.000 ms o más.</w:t>
      </w:r>
    </w:p>
    <w:p w:rsidR="00000000" w:rsidDel="00000000" w:rsidP="00000000" w:rsidRDefault="00000000" w:rsidRPr="00000000" w14:paraId="0000014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demás familias responden a prioridades diferentes. RTMP se utiliza principalmente para contribución push y unicast hacia un servidor mediante una sesión persistente. HLS y MPEG-DASH adoptan entrega pull y segmentada sobre HTTP; su integración con cachés y CDN favorece la distribución masiva, a costa del retardo de segmentación, incluso cuando las variantes de baja latencia reducen ese margen. WebRTC privilegia la interacción </w:t>
      </w:r>
      <w:r w:rsidDel="00000000" w:rsidR="00000000" w:rsidRPr="00000000">
        <w:rPr>
          <w:rFonts w:ascii="Times New Roman" w:cs="Times New Roman" w:eastAsia="Times New Roman" w:hAnsi="Times New Roman"/>
          <w:sz w:val="24"/>
          <w:szCs w:val="24"/>
          <w:rtl w:val="0"/>
        </w:rPr>
        <w:t xml:space="preserve">subsegundo</w:t>
      </w:r>
      <w:r w:rsidDel="00000000" w:rsidR="00000000" w:rsidRPr="00000000">
        <w:rPr>
          <w:rFonts w:ascii="Times New Roman" w:cs="Times New Roman" w:eastAsia="Times New Roman" w:hAnsi="Times New Roman"/>
          <w:sz w:val="24"/>
          <w:szCs w:val="24"/>
          <w:rtl w:val="0"/>
        </w:rPr>
        <w:t xml:space="preserve"> mediante transporte seguro y control de congestión, mientras que SRT y RIST combinan transporte sobre UDP con recuperación selectiva de pérdidas dentro de un presupuesto temporal. No son sustitutos directos: el mapa distingue perfiles orientados a contribución, distribución escalable, interacción y transporte resiliente de baja latencia. La Tabla 8 sintetiza estos compromisos sin convertirlos en un ranking universal (ISO/IEC, 2022; Keranen et al., 2018; May, 2017; Sharabayko et al., 2024; Video Services Forum, 2020).</w:t>
      </w:r>
    </w:p>
    <w:p w:rsidR="00000000" w:rsidDel="00000000" w:rsidP="00000000" w:rsidRDefault="00000000" w:rsidRPr="00000000" w14:paraId="00000141">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c85xxecrk1e9" w:id="33"/>
      <w:bookmarkEnd w:id="33"/>
      <w:r w:rsidDel="00000000" w:rsidR="00000000" w:rsidRPr="00000000">
        <w:rPr>
          <w:rFonts w:ascii="Times New Roman" w:cs="Times New Roman" w:eastAsia="Times New Roman" w:hAnsi="Times New Roman"/>
          <w:b w:val="1"/>
          <w:bCs w:val="1"/>
          <w:i w:val="1"/>
          <w:iCs w:val="1"/>
          <w:color w:val="000000"/>
          <w:sz w:val="24"/>
          <w:szCs w:val="24"/>
          <w:rtl w:val="0"/>
        </w:rPr>
        <w:t xml:space="preserve">15.4.2. Alternativas complementarias de ingesta, transporte y distribución</w:t>
      </w:r>
    </w:p>
    <w:p w:rsidR="00000000" w:rsidDel="00000000" w:rsidP="00000000" w:rsidRDefault="00000000" w:rsidRPr="00000000" w14:paraId="0000014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mapa anterior caracteriza el transporte de un flujo de medios ya codificado, pero un pipeline completo incorpora decisiones que pertenecen a capas distintas. La captura mediante SDK, la intermediación de un servidor de medios y la distribución de alertas intervienen, respectivamente, en el acceso a la fuente, la transformación o </w:t>
      </w:r>
      <w:r w:rsidDel="00000000" w:rsidR="00000000" w:rsidRPr="00000000">
        <w:rPr>
          <w:rFonts w:ascii="Times New Roman" w:cs="Times New Roman" w:eastAsia="Times New Roman" w:hAnsi="Times New Roman"/>
          <w:sz w:val="24"/>
          <w:szCs w:val="24"/>
          <w:rtl w:val="0"/>
        </w:rPr>
        <w:t xml:space="preserve">retransmisión</w:t>
      </w:r>
      <w:r w:rsidDel="00000000" w:rsidR="00000000" w:rsidRPr="00000000">
        <w:rPr>
          <w:rFonts w:ascii="Times New Roman" w:cs="Times New Roman" w:eastAsia="Times New Roman" w:hAnsi="Times New Roman"/>
          <w:sz w:val="24"/>
          <w:szCs w:val="24"/>
          <w:rtl w:val="0"/>
        </w:rPr>
        <w:t xml:space="preserve"> del video y la entrega de eventos posteriores a la inferencia; por ello, no corresponde tratarlas como alternativas de una misma categoría.</w:t>
      </w:r>
    </w:p>
    <w:p w:rsidR="00000000" w:rsidDel="00000000" w:rsidP="00000000" w:rsidRDefault="00000000" w:rsidRPr="00000000" w14:paraId="000001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entrada, la captura mediante SDK evita consumir necesariamente un stream de red preconfigurado. En cámaras inteligentes, el host puede gobernar un pipeline ejecutado en el dispositivo y recibir las unidades visuales o salidas requeridas para el procesamiento posterior. Esta modalidad permite desplazar operaciones acotadas de adquisición o preprocesamiento hacia la fuente, sin </w:t>
      </w:r>
      <w:r w:rsidDel="00000000" w:rsidR="00000000" w:rsidRPr="00000000">
        <w:rPr>
          <w:rFonts w:ascii="Times New Roman" w:cs="Times New Roman" w:eastAsia="Times New Roman" w:hAnsi="Times New Roman"/>
          <w:sz w:val="24"/>
          <w:szCs w:val="24"/>
          <w:rtl w:val="0"/>
        </w:rPr>
        <w:t xml:space="preserve">equipararla a</w:t>
      </w:r>
      <w:r w:rsidDel="00000000" w:rsidR="00000000" w:rsidRPr="00000000">
        <w:rPr>
          <w:rFonts w:ascii="Times New Roman" w:cs="Times New Roman" w:eastAsia="Times New Roman" w:hAnsi="Times New Roman"/>
          <w:sz w:val="24"/>
          <w:szCs w:val="24"/>
          <w:rtl w:val="0"/>
        </w:rPr>
        <w:t xml:space="preserve"> la ejecución de inferencia OVD en el borde</w:t>
      </w:r>
      <w:sdt>
        <w:sdtPr>
          <w:id w:val="534703079"/>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(Luxonis, s. f.-b).</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4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incorpora un servidor de medios, su efecto depende de la función que cumpla. Un relay agrega principalmente un salto de red y gestión de colas; una pasarela o un </w:t>
      </w:r>
      <w:r w:rsidDel="00000000" w:rsidR="00000000" w:rsidRPr="00000000">
        <w:rPr>
          <w:rFonts w:ascii="Times New Roman" w:cs="Times New Roman" w:eastAsia="Times New Roman" w:hAnsi="Times New Roman"/>
          <w:sz w:val="24"/>
          <w:szCs w:val="24"/>
          <w:rtl w:val="0"/>
        </w:rPr>
        <w:t xml:space="preserve">reempaquetador</w:t>
      </w:r>
      <w:r w:rsidDel="00000000" w:rsidR="00000000" w:rsidRPr="00000000">
        <w:rPr>
          <w:rFonts w:ascii="Times New Roman" w:cs="Times New Roman" w:eastAsia="Times New Roman" w:hAnsi="Times New Roman"/>
          <w:sz w:val="24"/>
          <w:szCs w:val="24"/>
          <w:rtl w:val="0"/>
        </w:rPr>
        <w:t xml:space="preserve"> adapta protocolos o contenedores; y la transcodificación añade decodificación y recodificación. Para un sistema de analítica visual, esta distinción resulta más informativa que un catálogo de productos, porque permite separar el costo del transporte del costo de transformar el contenido (Ahmad et al., 2005; Amirante et al., 2014, 2015).</w:t>
      </w:r>
    </w:p>
    <w:p w:rsidR="00000000" w:rsidDel="00000000" w:rsidP="00000000" w:rsidRDefault="00000000" w:rsidRPr="00000000" w14:paraId="000001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 la inferencia, el problema deja de ser el transporte de video y pasa a ser la distribución de eventos. Los patrones publicador-suscriptor desacoplan la generación de alertas de sus consumidores. MQTT formaliza niveles de calidad de servicio.QoS 1 requiere confirmación mediante PUBACK y ofrece una semántica de entrega al menos una vez, por lo que la aplicación debe tolerar reentregas y controlar idempotencia cuando un mismo evento no deba producir efectos duplicados (OASIS, 2019).</w:t>
      </w:r>
    </w:p>
    <w:p w:rsidR="00000000" w:rsidDel="00000000" w:rsidP="00000000" w:rsidRDefault="00000000" w:rsidRPr="00000000" w14:paraId="0000014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lxdld8jqpfgb" w:id="34"/>
      <w:bookmarkEnd w:id="34"/>
      <w:r w:rsidDel="00000000" w:rsidR="00000000" w:rsidRPr="00000000">
        <w:rPr>
          <w:rFonts w:ascii="Times New Roman" w:cs="Times New Roman" w:eastAsia="Times New Roman" w:hAnsi="Times New Roman"/>
          <w:b w:val="1"/>
          <w:bCs w:val="1"/>
          <w:i w:val="1"/>
          <w:iCs w:val="1"/>
          <w:color w:val="000000"/>
          <w:sz w:val="24"/>
          <w:szCs w:val="24"/>
          <w:rtl w:val="0"/>
        </w:rPr>
        <w:t xml:space="preserve">15.4.3. Brechas del estado del arte en el streaming/OVD</w:t>
      </w:r>
    </w:p>
    <w:p w:rsidR="00000000" w:rsidDel="00000000" w:rsidP="00000000" w:rsidRDefault="00000000" w:rsidRPr="00000000" w14:paraId="0000014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148">
      <w:pPr>
        <w:pStyle w:val="Heading4"/>
        <w:spacing w:after="0" w:before="0" w:line="480" w:lineRule="auto"/>
        <w:rPr>
          <w:rFonts w:ascii="Times New Roman" w:cs="Times New Roman" w:eastAsia="Times New Roman" w:hAnsi="Times New Roman"/>
          <w:b w:val="1"/>
          <w:bCs w:val="1"/>
          <w:color w:val="000000"/>
        </w:rPr>
      </w:pPr>
      <w:bookmarkStart w:colFirst="0" w:colLast="0" w:name="_heading=h.nk6ehv4vb3h1" w:id="35"/>
      <w:bookmarkEnd w:id="35"/>
      <w:r w:rsidDel="00000000" w:rsidR="00000000" w:rsidRPr="00000000">
        <w:rPr>
          <w:rFonts w:ascii="Times New Roman" w:cs="Times New Roman" w:eastAsia="Times New Roman" w:hAnsi="Times New Roman"/>
          <w:b w:val="1"/>
          <w:bCs w:val="1"/>
          <w:color w:val="000000"/>
          <w:rtl w:val="0"/>
        </w:rPr>
        <w:t xml:space="preserve">15.4.3.1. Ausencia de benchmarks extremo a extremo integrados para pipelines OVD</w:t>
      </w:r>
    </w:p>
    <w:p w:rsidR="00000000" w:rsidDel="00000000" w:rsidP="00000000" w:rsidRDefault="00000000" w:rsidRPr="00000000" w14:paraId="0000014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inferencia de modelos OVD (p. ej., AP en COCO/LVIS, FPS en GPU aislada) operan de forma independiente respecto de los benchmarks de streaming (latencia de transporte, throughput de protocolo) y de las métricas de plataformas de edge computing (TOPS, FPS bajo carga térmica). Para una plataforma como E-</w:t>
      </w:r>
      <w:r w:rsidDel="00000000" w:rsidR="00000000" w:rsidRPr="00000000">
        <w:rPr>
          <w:rFonts w:ascii="Times New Roman" w:cs="Times New Roman" w:eastAsia="Times New Roman" w:hAnsi="Times New Roman"/>
          <w:sz w:val="24"/>
          <w:szCs w:val="24"/>
          <w:rtl w:val="0"/>
        </w:rPr>
        <w:t xml:space="preserve">OVRT</w:t>
      </w:r>
      <w:r w:rsidDel="00000000" w:rsidR="00000000" w:rsidRPr="00000000">
        <w:rPr>
          <w:rFonts w:ascii="Times New Roman" w:cs="Times New Roman" w:eastAsia="Times New Roman" w:hAnsi="Times New Roman"/>
          <w:sz w:val="24"/>
          <w:szCs w:val="24"/>
          <w:rtl w:val="0"/>
        </w:rPr>
        <w:t xml:space="preserve">-VDP el criterio de selección debe basarse en mediciones reproducibles del pipeline completo, y no extrapolarse directamente de métricas parciales o aisladas.</w:t>
      </w:r>
    </w:p>
    <w:p w:rsidR="00000000" w:rsidDel="00000000" w:rsidP="00000000" w:rsidRDefault="00000000" w:rsidRPr="00000000" w14:paraId="0000014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implica que no existen referentes directos en la literatura que permitan predecir con confianza el desempeño de un sistema que combina ingesta de video, inferencia OVD y emisión de eventos bajo restricciones de latencia propias de operación en tiempo real. En consecuencia, la validación empírica del pipeline completo constituye una contribución necesaria del proyecto. La definición de protocolos de medición reproducibles se aborda en las siguientes secciones.</w:t>
      </w:r>
    </w:p>
    <w:p w:rsidR="00000000" w:rsidDel="00000000" w:rsidP="00000000" w:rsidRDefault="00000000" w:rsidRPr="00000000" w14:paraId="0000014B">
      <w:pPr>
        <w:pStyle w:val="Heading4"/>
        <w:spacing w:after="0" w:before="0" w:line="480" w:lineRule="auto"/>
        <w:rPr>
          <w:rFonts w:ascii="Times New Roman" w:cs="Times New Roman" w:eastAsia="Times New Roman" w:hAnsi="Times New Roman"/>
          <w:b w:val="1"/>
          <w:bCs w:val="1"/>
          <w:color w:val="000000"/>
        </w:rPr>
      </w:pPr>
      <w:bookmarkStart w:colFirst="0" w:colLast="0" w:name="_heading=h.rrreujogzau8" w:id="36"/>
      <w:bookmarkEnd w:id="36"/>
      <w:r w:rsidDel="00000000" w:rsidR="00000000" w:rsidRPr="00000000">
        <w:rPr>
          <w:rFonts w:ascii="Times New Roman" w:cs="Times New Roman" w:eastAsia="Times New Roman" w:hAnsi="Times New Roman"/>
          <w:b w:val="1"/>
          <w:bCs w:val="1"/>
          <w:color w:val="000000"/>
          <w:rtl w:val="0"/>
        </w:rPr>
        <w:t xml:space="preserve">15.4.3.2. Integración de modelos OVD dentro de pipelines de streaming optimizados</w:t>
      </w:r>
    </w:p>
    <w:p w:rsidR="00000000" w:rsidDel="00000000" w:rsidP="00000000" w:rsidRDefault="00000000" w:rsidRPr="00000000" w14:paraId="0000014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 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14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la conversión de modelos OVD a formatos optimizados como </w:t>
      </w:r>
      <w:r w:rsidDel="00000000" w:rsidR="00000000" w:rsidRPr="00000000">
        <w:rPr>
          <w:rFonts w:ascii="Times New Roman" w:cs="Times New Roman" w:eastAsia="Times New Roman" w:hAnsi="Times New Roman"/>
          <w:sz w:val="24"/>
          <w:szCs w:val="24"/>
          <w:rtl w:val="0"/>
        </w:rPr>
        <w:t xml:space="preserve">TensorRT</w:t>
      </w:r>
      <w:r w:rsidDel="00000000" w:rsidR="00000000" w:rsidRPr="00000000">
        <w:rPr>
          <w:rFonts w:ascii="Times New Roman" w:cs="Times New Roman" w:eastAsia="Times New Roman" w:hAnsi="Times New Roman"/>
          <w:sz w:val="24"/>
          <w:szCs w:val="24"/>
          <w:rtl w:val="0"/>
        </w:rPr>
        <w:t xml:space="preserve"> puede requerir adaptaciones no triviales cuando la arquitectura incluye operadores no soportados nativamente o componentes dinámicos asociados a la codificación de prompts textuales. Dado que </w:t>
      </w:r>
      <w:r w:rsidDel="00000000" w:rsidR="00000000" w:rsidRPr="00000000">
        <w:rPr>
          <w:rFonts w:ascii="Times New Roman" w:cs="Times New Roman" w:eastAsia="Times New Roman" w:hAnsi="Times New Roman"/>
          <w:sz w:val="24"/>
          <w:szCs w:val="24"/>
          <w:rtl w:val="0"/>
        </w:rPr>
        <w:t xml:space="preserve">TensorRT</w:t>
      </w:r>
      <w:r w:rsidDel="00000000" w:rsidR="00000000" w:rsidRPr="00000000">
        <w:rPr>
          <w:rFonts w:ascii="Times New Roman" w:cs="Times New Roman" w:eastAsia="Times New Roman" w:hAnsi="Times New Roman"/>
          <w:sz w:val="24"/>
          <w:szCs w:val="24"/>
          <w:rtl w:val="0"/>
        </w:rPr>
        <w:t xml:space="preserve"> no admite entradas de tipo texto, la etapa de tokenización debe separarse del grafo del modelo y </w:t>
      </w:r>
      <w:r w:rsidDel="00000000" w:rsidR="00000000" w:rsidRPr="00000000">
        <w:rPr>
          <w:rFonts w:ascii="Times New Roman" w:cs="Times New Roman" w:eastAsia="Times New Roman" w:hAnsi="Times New Roman"/>
          <w:sz w:val="24"/>
          <w:szCs w:val="24"/>
          <w:rtl w:val="0"/>
        </w:rPr>
        <w:t xml:space="preserve">gestionarse externamente</w:t>
      </w:r>
      <w:r w:rsidDel="00000000" w:rsidR="00000000" w:rsidRPr="00000000">
        <w:rPr>
          <w:rFonts w:ascii="Times New Roman" w:cs="Times New Roman" w:eastAsia="Times New Roman" w:hAnsi="Times New Roman"/>
          <w:sz w:val="24"/>
          <w:szCs w:val="24"/>
          <w:rtl w:val="0"/>
        </w:rPr>
        <w:t xml:space="preserve"> (NVIDIA, s. 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 f.-h). Esta brecha en particular implica que la integración de modelos OVD dentro del pipeline de streaming requerirá capas de adaptación específicas.</w:t>
      </w:r>
    </w:p>
    <w:p w:rsidR="00000000" w:rsidDel="00000000" w:rsidP="00000000" w:rsidRDefault="00000000" w:rsidRPr="00000000" w14:paraId="0000014E">
      <w:pPr>
        <w:pStyle w:val="Heading4"/>
        <w:spacing w:after="0" w:before="0" w:line="480" w:lineRule="auto"/>
        <w:rPr>
          <w:rFonts w:ascii="Times New Roman" w:cs="Times New Roman" w:eastAsia="Times New Roman" w:hAnsi="Times New Roman"/>
          <w:b w:val="1"/>
          <w:bCs w:val="1"/>
          <w:color w:val="000000"/>
        </w:rPr>
      </w:pPr>
      <w:bookmarkStart w:colFirst="0" w:colLast="0" w:name="_heading=h.hdqt3wavxjxq" w:id="37"/>
      <w:bookmarkEnd w:id="37"/>
      <w:r w:rsidDel="00000000" w:rsidR="00000000" w:rsidRPr="00000000">
        <w:rPr>
          <w:rFonts w:ascii="Times New Roman" w:cs="Times New Roman" w:eastAsia="Times New Roman" w:hAnsi="Times New Roman"/>
          <w:b w:val="1"/>
          <w:bCs w:val="1"/>
          <w:color w:val="000000"/>
          <w:rtl w:val="0"/>
        </w:rPr>
        <w:t xml:space="preserve">15.4.3.3. Interoperabilidad efectiva entre protocolos heterogéneos</w:t>
      </w:r>
    </w:p>
    <w:p w:rsidR="00000000" w:rsidDel="00000000" w:rsidP="00000000" w:rsidRDefault="00000000" w:rsidRPr="00000000" w14:paraId="0000014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 cuando la literatura describe los roles del servidor de medios y las funciones de pasarela, </w:t>
      </w:r>
      <w:r w:rsidDel="00000000" w:rsidR="00000000" w:rsidRPr="00000000">
        <w:rPr>
          <w:rFonts w:ascii="Times New Roman" w:cs="Times New Roman" w:eastAsia="Times New Roman" w:hAnsi="Times New Roman"/>
          <w:sz w:val="24"/>
          <w:szCs w:val="24"/>
          <w:rtl w:val="0"/>
        </w:rPr>
        <w:t xml:space="preserve">reempaquetamiento</w:t>
      </w:r>
      <w:r w:rsidDel="00000000" w:rsidR="00000000" w:rsidRPr="00000000">
        <w:rPr>
          <w:rFonts w:ascii="Times New Roman" w:cs="Times New Roman" w:eastAsia="Times New Roman" w:hAnsi="Times New Roman"/>
          <w:sz w:val="24"/>
          <w:szCs w:val="24"/>
          <w:rtl w:val="0"/>
        </w:rPr>
        <w:t xml:space="preserve"> y transcodificación, no ofrece evidencia consolidada sobre el overhead real introducido por las conversiones entre protocolos —por ejemplo, de RTSP a WebRTC o de RTMP a SRT— en condiciones de operación representativas. La transcodificación, el </w:t>
      </w:r>
      <w:r w:rsidDel="00000000" w:rsidR="00000000" w:rsidRPr="00000000">
        <w:rPr>
          <w:rFonts w:ascii="Times New Roman" w:cs="Times New Roman" w:eastAsia="Times New Roman" w:hAnsi="Times New Roman"/>
          <w:sz w:val="24"/>
          <w:szCs w:val="24"/>
          <w:rtl w:val="0"/>
        </w:rPr>
        <w:t xml:space="preserve">reempaquetamiento</w:t>
      </w:r>
      <w:r w:rsidDel="00000000" w:rsidR="00000000" w:rsidRPr="00000000">
        <w:rPr>
          <w:rFonts w:ascii="Times New Roman" w:cs="Times New Roman" w:eastAsia="Times New Roman" w:hAnsi="Times New Roman"/>
          <w:sz w:val="24"/>
          <w:szCs w:val="24"/>
          <w:rtl w:val="0"/>
        </w:rPr>
        <w:t xml:space="preserve"> entre contenedores de medios —como MPEG-TS, FLV o fMP4— y la adaptación entre pilas de transporte pueden agregar latencia y puntos de fallo que no quedan reflejados en las especificaciones de cada protocolo por separado.</w:t>
      </w:r>
    </w:p>
    <w:p w:rsidR="00000000" w:rsidDel="00000000" w:rsidP="00000000" w:rsidRDefault="00000000" w:rsidRPr="00000000" w14:paraId="0000015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esta brecha resulta relevante,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a una solución que no introduzca dependencias rígidas con un único protocolo de ingesta.</w:t>
      </w:r>
    </w:p>
    <w:p w:rsidR="00000000" w:rsidDel="00000000" w:rsidP="00000000" w:rsidRDefault="00000000" w:rsidRPr="00000000" w14:paraId="00000151">
      <w:pPr>
        <w:pStyle w:val="Heading4"/>
        <w:spacing w:after="0" w:before="0" w:line="480" w:lineRule="auto"/>
        <w:rPr>
          <w:rFonts w:ascii="Times New Roman" w:cs="Times New Roman" w:eastAsia="Times New Roman" w:hAnsi="Times New Roman"/>
          <w:b w:val="1"/>
          <w:bCs w:val="1"/>
          <w:color w:val="000000"/>
        </w:rPr>
      </w:pPr>
      <w:bookmarkStart w:colFirst="0" w:colLast="0" w:name="_heading=h.azwzdgkqzqsu" w:id="38"/>
      <w:bookmarkEnd w:id="38"/>
      <w:r w:rsidDel="00000000" w:rsidR="00000000" w:rsidRPr="00000000">
        <w:rPr>
          <w:rFonts w:ascii="Times New Roman" w:cs="Times New Roman" w:eastAsia="Times New Roman" w:hAnsi="Times New Roman"/>
          <w:b w:val="1"/>
          <w:bCs w:val="1"/>
          <w:color w:val="000000"/>
          <w:rtl w:val="0"/>
        </w:rPr>
        <w:t xml:space="preserve">15.4.3.4. Métricas de evaluación alineadas con objetivos de seguridad laboral</w:t>
      </w:r>
    </w:p>
    <w:p w:rsidR="00000000" w:rsidDel="00000000" w:rsidP="00000000" w:rsidRDefault="00000000" w:rsidRPr="00000000" w14:paraId="0000015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153">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w4bhcllll5wj" w:id="39"/>
      <w:bookmarkEnd w:id="39"/>
      <w:r w:rsidDel="00000000" w:rsidR="00000000" w:rsidRPr="00000000">
        <w:rPr>
          <w:rFonts w:ascii="Times New Roman" w:cs="Times New Roman" w:eastAsia="Times New Roman" w:hAnsi="Times New Roman"/>
          <w:b w:val="1"/>
          <w:bCs w:val="1"/>
          <w:i w:val="1"/>
          <w:iCs w:val="1"/>
          <w:color w:val="000000"/>
          <w:sz w:val="24"/>
          <w:szCs w:val="24"/>
          <w:rtl w:val="0"/>
        </w:rPr>
        <w:t xml:space="preserve">15.4.4. Síntesis comparativa de protocolos</w:t>
      </w:r>
    </w:p>
    <w:p w:rsidR="00000000" w:rsidDel="00000000" w:rsidP="00000000" w:rsidRDefault="00000000" w:rsidRPr="00000000" w14:paraId="00000154">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8 sintetiza las características principales de los protocolos analizados, con énfasis en las dimensiones de mayor relevancia para el diseño del sistema E-</w:t>
      </w:r>
      <w:r w:rsidDel="00000000" w:rsidR="00000000" w:rsidRPr="00000000">
        <w:rPr>
          <w:rFonts w:ascii="Times New Roman" w:cs="Times New Roman" w:eastAsia="Times New Roman" w:hAnsi="Times New Roman"/>
          <w:sz w:val="24"/>
          <w:szCs w:val="24"/>
          <w:rtl w:val="0"/>
        </w:rPr>
        <w:t xml:space="preserve">OVRT</w:t>
      </w:r>
      <w:r w:rsidDel="00000000" w:rsidR="00000000" w:rsidRPr="00000000">
        <w:rPr>
          <w:rFonts w:ascii="Times New Roman" w:cs="Times New Roman" w:eastAsia="Times New Roman" w:hAnsi="Times New Roman"/>
          <w:sz w:val="24"/>
          <w:szCs w:val="24"/>
          <w:rtl w:val="0"/>
        </w:rPr>
        <w:t xml:space="preserve">-VDP.</w:t>
      </w:r>
    </w:p>
    <w:p w:rsidR="00000000" w:rsidDel="00000000" w:rsidP="00000000" w:rsidRDefault="00000000" w:rsidRPr="00000000" w14:paraId="00000155">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5bisvvgook34" w:id="40"/>
      <w:bookmarkEnd w:id="40"/>
      <w:r w:rsidDel="00000000" w:rsidR="00000000" w:rsidRPr="00000000">
        <w:rPr>
          <w:rFonts w:ascii="Times New Roman" w:cs="Times New Roman" w:eastAsia="Times New Roman" w:hAnsi="Times New Roman"/>
          <w:b w:val="1"/>
          <w:bCs w:val="1"/>
          <w:i w:val="0"/>
          <w:iCs w:val="0"/>
          <w:color w:val="000000"/>
          <w:sz w:val="24"/>
          <w:szCs w:val="24"/>
          <w:rtl w:val="0"/>
        </w:rPr>
        <w:t xml:space="preserve">Tabla 8</w:t>
      </w:r>
      <w:r w:rsidDel="00000000" w:rsidR="00000000" w:rsidRPr="00000000">
        <w:rPr>
          <w:rtl w:val="0"/>
        </w:rPr>
      </w:r>
    </w:p>
    <w:p w:rsidR="00000000" w:rsidDel="00000000" w:rsidP="00000000" w:rsidRDefault="00000000" w:rsidRPr="00000000" w14:paraId="00000156">
      <w:pPr>
        <w:keepNext w:val="1"/>
        <w:keepLines w:val="1"/>
        <w:spacing w:after="0" w:before="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Comparativa de protocolos de transmisión de video de baja latencia para sistemas de video analítico en tiempo real</w:t>
      </w:r>
      <w:r w:rsidDel="00000000" w:rsidR="00000000" w:rsidRPr="00000000">
        <w:rPr>
          <w:rtl w:val="0"/>
        </w:rPr>
      </w:r>
    </w:p>
    <w:tbl>
      <w:tblPr>
        <w:tblStyle w:val="Table7"/>
        <w:tblW w:w="1294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485"/>
        <w:gridCol w:w="1605"/>
        <w:gridCol w:w="1605"/>
        <w:gridCol w:w="1995"/>
        <w:gridCol w:w="1845"/>
        <w:gridCol w:w="1620"/>
        <w:gridCol w:w="2790"/>
        <w:tblGridChange w:id="0">
          <w:tblGrid>
            <w:gridCol w:w="1485"/>
            <w:gridCol w:w="1605"/>
            <w:gridCol w:w="1605"/>
            <w:gridCol w:w="1995"/>
            <w:gridCol w:w="1845"/>
            <w:gridCol w:w="1620"/>
            <w:gridCol w:w="2790"/>
          </w:tblGrid>
        </w:tblGridChange>
      </w:tblGrid>
      <w:tr>
        <w:trPr>
          <w:cantSplit w:val="1"/>
          <w:tblHeader w:val="1"/>
        </w:trPr>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Protocolo</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 E2E</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Transporte base</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Modelo de entrega</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Resiliencia a pérdida</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Cifrado nativo</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Caso de uso principal</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5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RTSP/RTP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5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~200–800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UDP (o TCP)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RTSP controla la sesión; RTP transporta el flujo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 (con RTCP)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Opcional (RTSPS)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Cámaras IP industriales, CCTV, entornos LAN controlados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6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RTMP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~2–5 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TCP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Push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(TCP garantiza entrega)</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(RTMPS/TLS)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Ingesta a plataformas de streaming; encoders hacia servidores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6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HLS / MPEG-DASH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~5–45 s (LL: ~2–10 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HTTP/TCP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Pull (segmentado)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(CDN + HTTP)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(HTTPS)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Distribución masiva de contenido; viewers simultáneos elevados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7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WebRTC</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&lt; 500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UDP (SRTP sobre DTLS)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Push/Pull (P2P o SFU)</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 (con NACK/FEC)</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(DTLS-SRTP, obligatorio)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Interactividad ultra-baja latencia; videoconferencia; monitoreo P2P</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7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SRT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~120–500 ms (configurable)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UDP + ARQ selectivo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Push o Pull</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(ARQ con presupuesto de tiempo)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(AES-128/256)</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Contribución broadcast; enlaces WAN no confiables; 4G/5G</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8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RIST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~120–500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RTP + ARQ (RTCP FB)</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Push o Pull (multicast posible)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(ARQ + FEC)</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(DTLS)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Broadcast profesional; distribución multicast en redes gestionadas</w:t>
            </w:r>
            <w:r w:rsidDel="00000000" w:rsidR="00000000" w:rsidRPr="00000000">
              <w:rPr>
                <w:rtl w:val="0"/>
              </w:rPr>
            </w:r>
          </w:p>
        </w:tc>
      </w:tr>
    </w:tbl>
    <w:p w:rsidR="00000000" w:rsidDel="00000000" w:rsidP="00000000" w:rsidRDefault="00000000" w:rsidRPr="00000000" w14:paraId="00000188">
      <w:pPr>
        <w:keepLines w:val="1"/>
        <w:spacing w:after="0" w:before="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Los rangos de latencia extremo a extremo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 SFU = Selective Forwarding Unit. NACK = Negative Acknowledgement.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r w:rsidDel="00000000" w:rsidR="00000000" w:rsidRPr="00000000">
        <w:rPr>
          <w:rtl w:val="0"/>
        </w:rPr>
      </w:r>
    </w:p>
    <w:p w:rsidR="00000000" w:rsidDel="00000000" w:rsidP="00000000" w:rsidRDefault="00000000" w:rsidRPr="00000000" w14:paraId="0000018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w:t>
      </w:r>
      <w:r w:rsidDel="00000000" w:rsidR="00000000" w:rsidRPr="00000000">
        <w:rPr>
          <w:rFonts w:ascii="Times New Roman" w:cs="Times New Roman" w:eastAsia="Times New Roman" w:hAnsi="Times New Roman"/>
          <w:sz w:val="24"/>
          <w:szCs w:val="24"/>
          <w:rtl w:val="0"/>
        </w:rPr>
        <w:t xml:space="preserve">video</w:t>
      </w:r>
      <w:r w:rsidDel="00000000" w:rsidR="00000000" w:rsidRPr="00000000">
        <w:rPr>
          <w:rFonts w:ascii="Times New Roman" w:cs="Times New Roman" w:eastAsia="Times New Roman" w:hAnsi="Times New Roman"/>
          <w:sz w:val="24"/>
          <w:szCs w:val="24"/>
          <w:rtl w:val="0"/>
        </w:rPr>
        <w:t xml:space="preserve">. Un esquema típico suele dedicar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w:t>
      </w:r>
    </w:p>
    <w:p w:rsidR="00000000" w:rsidDel="00000000" w:rsidP="00000000" w:rsidRDefault="00000000" w:rsidRPr="00000000" w14:paraId="0000018A">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Marco teórico</w:t>
      </w:r>
    </w:p>
    <w:p w:rsidR="00000000" w:rsidDel="00000000" w:rsidP="00000000" w:rsidRDefault="00000000" w:rsidRPr="00000000" w14:paraId="0000018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concentra los conceptos, categorías normativas y fundamentos técnicos que sostienen el diseño posterior del prototipo. Su propósito es establecer una base conceptual para justificar qué se detecta, cómo se interpreta, bajo qué restricciones opera el sistema y qué condiciones ético-legales </w:t>
      </w:r>
      <w:r w:rsidDel="00000000" w:rsidR="00000000" w:rsidRPr="00000000">
        <w:rPr>
          <w:rFonts w:ascii="Times New Roman" w:cs="Times New Roman" w:eastAsia="Times New Roman" w:hAnsi="Times New Roman"/>
          <w:sz w:val="24"/>
          <w:szCs w:val="24"/>
          <w:rtl w:val="0"/>
        </w:rPr>
        <w:t xml:space="preserve">delimitan</w:t>
      </w:r>
      <w:r w:rsidDel="00000000" w:rsidR="00000000" w:rsidRPr="00000000">
        <w:rPr>
          <w:rFonts w:ascii="Times New Roman" w:cs="Times New Roman" w:eastAsia="Times New Roman" w:hAnsi="Times New Roman"/>
          <w:sz w:val="24"/>
          <w:szCs w:val="24"/>
          <w:rtl w:val="0"/>
        </w:rPr>
        <w:t xml:space="preserve"> su uso.</w:t>
      </w:r>
    </w:p>
    <w:p w:rsidR="00000000" w:rsidDel="00000000" w:rsidP="00000000" w:rsidRDefault="00000000" w:rsidRPr="00000000" w14:paraId="0000018C">
      <w:pPr>
        <w:pStyle w:val="Heading2"/>
        <w:spacing w:after="0" w:before="0" w:line="480" w:lineRule="auto"/>
        <w:ind w:left="0" w:firstLine="0"/>
        <w:rPr>
          <w:rFonts w:ascii="Times New Roman" w:cs="Times New Roman" w:eastAsia="Times New Roman" w:hAnsi="Times New Roman"/>
          <w:b w:val="1"/>
          <w:bCs w:val="1"/>
          <w:sz w:val="24"/>
          <w:szCs w:val="24"/>
        </w:rPr>
      </w:pPr>
      <w:bookmarkStart w:colFirst="0" w:colLast="0" w:name="_heading=h.4ol6cs6pi8t3" w:id="41"/>
      <w:bookmarkEnd w:id="41"/>
      <w:r w:rsidDel="00000000" w:rsidR="00000000" w:rsidRPr="00000000">
        <w:rPr>
          <w:rFonts w:ascii="Times New Roman" w:cs="Times New Roman" w:eastAsia="Times New Roman" w:hAnsi="Times New Roman"/>
          <w:b w:val="1"/>
          <w:bCs w:val="1"/>
          <w:sz w:val="24"/>
          <w:szCs w:val="24"/>
          <w:rtl w:val="0"/>
        </w:rPr>
        <w:t xml:space="preserve">16.1. Organización interna del marco teórico</w:t>
      </w:r>
    </w:p>
    <w:p w:rsidR="00000000" w:rsidDel="00000000" w:rsidP="00000000" w:rsidRDefault="00000000" w:rsidRPr="00000000" w14:paraId="0000018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capítulo se organiza a partir de los dominios conceptuales que sustentan el diseño y la evaluación de la plataforma experimental. Cada dominio responde a una pregunta central del proyecto y permite delimitar, desde una perspectiva técnica o normativa, las condiciones bajo las cuales resulta posible construir un sistema de detección open-</w:t>
      </w:r>
      <w:r w:rsidDel="00000000" w:rsidR="00000000" w:rsidRPr="00000000">
        <w:rPr>
          <w:rFonts w:ascii="Times New Roman" w:cs="Times New Roman" w:eastAsia="Times New Roman" w:hAnsi="Times New Roman"/>
          <w:sz w:val="24"/>
          <w:szCs w:val="24"/>
          <w:rtl w:val="0"/>
        </w:rPr>
        <w:t xml:space="preserve">vocabulary</w:t>
      </w:r>
      <w:r w:rsidDel="00000000" w:rsidR="00000000" w:rsidRPr="00000000">
        <w:rPr>
          <w:rFonts w:ascii="Times New Roman" w:cs="Times New Roman" w:eastAsia="Times New Roman" w:hAnsi="Times New Roman"/>
          <w:sz w:val="24"/>
          <w:szCs w:val="24"/>
          <w:rtl w:val="0"/>
        </w:rPr>
        <w:t xml:space="preserve"> aplicado al monitoreo de seguridad en construcción civil.</w:t>
      </w:r>
    </w:p>
    <w:p w:rsidR="00000000" w:rsidDel="00000000" w:rsidP="00000000" w:rsidRDefault="00000000" w:rsidRPr="00000000" w14:paraId="0000018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aborda el dominio de aplicación, vinculado con la seguridad laboral en obras y con la identificación de condiciones de riesgo observables mediante análisis visual. Luego se desarrollan los fundamentos de la detección open-vocabulary, el seguimiento multiobjeto, la transmisión de video en tiempo real y las restricciones ético-legales asociadas al uso de sistemas de visión por computadora en contextos laborales.</w:t>
      </w:r>
    </w:p>
    <w:p w:rsidR="00000000" w:rsidDel="00000000" w:rsidP="00000000" w:rsidRDefault="00000000" w:rsidRPr="00000000" w14:paraId="0000018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9 resume la relación entre cada dominio del marco teórico, la pregunta que orienta su desarrollo y su contribución dentro del proyecto.</w:t>
      </w:r>
    </w:p>
    <w:p w:rsidR="00000000" w:rsidDel="00000000" w:rsidP="00000000" w:rsidRDefault="00000000" w:rsidRPr="00000000" w14:paraId="00000190">
      <w:pPr>
        <w:keepNext w:val="1"/>
        <w:keepLines w:val="1"/>
        <w:spacing w:after="0" w:before="0" w:line="480" w:lineRule="auto"/>
        <w:ind w:left="0" w:right="0" w:firstLine="0"/>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1">
      <w:pPr>
        <w:keepNext w:val="1"/>
        <w:keepLines w:val="1"/>
        <w:spacing w:after="0" w:before="0" w:line="48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9</w:t>
      </w:r>
      <w:r w:rsidDel="00000000" w:rsidR="00000000" w:rsidRPr="00000000">
        <w:rPr>
          <w:rtl w:val="0"/>
        </w:rPr>
      </w:r>
    </w:p>
    <w:p w:rsidR="00000000" w:rsidDel="00000000" w:rsidP="00000000" w:rsidRDefault="00000000" w:rsidRPr="00000000" w14:paraId="00000192">
      <w:pPr>
        <w:keepNext w:val="1"/>
        <w:keepLines w:val="1"/>
        <w:spacing w:after="0" w:before="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Correspondencia entre dominios del marco teórico, preguntas articuladoras y contribución al proyecto</w:t>
      </w:r>
      <w:r w:rsidDel="00000000" w:rsidR="00000000" w:rsidRPr="00000000">
        <w:rPr>
          <w:rtl w:val="0"/>
        </w:rPr>
      </w:r>
    </w:p>
    <w:p w:rsidR="00000000" w:rsidDel="00000000" w:rsidP="00000000" w:rsidRDefault="00000000" w:rsidRPr="00000000" w14:paraId="00000193">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8"/>
        <w:tblW w:w="1300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4335"/>
        <w:gridCol w:w="4335"/>
        <w:gridCol w:w="4335"/>
        <w:tblGridChange w:id="0">
          <w:tblGrid>
            <w:gridCol w:w="4335"/>
            <w:gridCol w:w="4335"/>
            <w:gridCol w:w="4335"/>
          </w:tblGrid>
        </w:tblGridChange>
      </w:tblGrid>
      <w:tr>
        <w:trPr>
          <w:cantSplit w:val="1"/>
          <w:tblHeader w:val="1"/>
        </w:trPr>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4">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Dominio del marco teórico</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5">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Pregunta articuladora</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6">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Contribución al proyecto</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Seguridad laboral y condiciones de riesgo observables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¿Qué condiciones debe poder identificar 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Define el dominio de aplicación y traduce obligaciones preventivas en evidencias visuales detectables.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Detección open-vocabulary y modelos visión-lenguaje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¿Cómo puede el sistema interpretar descripciones abiertas en lenguaje natural?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Fundamenta el uso de modelos capaces de detectar conceptos no restringidos a un vocabulario cerrado.</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Seguimiento multiobjeto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¿Cómo se mantiene la continuidad temporal de las detecciones?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Justifica la incorporación de mecanismos de seguimiento para reducir inestabilidad entre cuadros consecutivos y evaluar persistencia.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Video en tiempo real, streaming y latencia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¿Qué restricciones impone el procesamiento continuo de video?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Delimita los componentes del pipeline, las fuentes de latencia y los criterios para operar en tiempo real.</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Marco ético-legal y privacidad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¿Bajo qué condiciones es legítimo aplicar visión computacional en entornos laborales?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Establece límites de uso responsable, minimización de datos, carácter asistivo y ausencia de identificación personal.</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Convergencias y preguntas rectoras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¿Qué brechas atraviesan los dominios y qué debe definir el protocolo experimental?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Integra restricciones, </w:t>
            </w:r>
            <w:r w:rsidDel="00000000" w:rsidR="00000000" w:rsidRPr="00000000">
              <w:rPr>
                <w:rFonts w:ascii="Times New Roman" w:cs="Times New Roman" w:eastAsia="Times New Roman" w:hAnsi="Times New Roman"/>
                <w:sz w:val="24"/>
                <w:szCs w:val="24"/>
                <w:rtl w:val="0"/>
              </w:rPr>
              <w:t xml:space="preserve">explica </w:t>
            </w:r>
            <w:r w:rsidDel="00000000" w:rsidR="00000000" w:rsidRPr="00000000">
              <w:rPr>
                <w:rFonts w:ascii="Times New Roman" w:cs="Times New Roman" w:eastAsia="Times New Roman" w:hAnsi="Times New Roman"/>
                <w:i w:val="0"/>
                <w:iCs w:val="0"/>
                <w:color w:val="000000"/>
                <w:sz w:val="24"/>
                <w:szCs w:val="24"/>
                <w:rtl w:val="0"/>
              </w:rPr>
              <w:t xml:space="preserve">límites y formula las preguntas que guían la consolidación metodológica.</w:t>
            </w:r>
            <w:r w:rsidDel="00000000" w:rsidR="00000000" w:rsidRPr="00000000">
              <w:rPr>
                <w:rtl w:val="0"/>
              </w:rPr>
            </w:r>
          </w:p>
        </w:tc>
      </w:tr>
    </w:tbl>
    <w:p w:rsidR="00000000" w:rsidDel="00000000" w:rsidP="00000000" w:rsidRDefault="00000000" w:rsidRPr="00000000" w14:paraId="000001A9">
      <w:pPr>
        <w:keepLines w:val="1"/>
        <w:spacing w:after="0" w:before="0" w:line="480" w:lineRule="auto"/>
        <w:ind w:left="0" w:right="0" w:firstLine="0"/>
        <w:rPr>
          <w:rFonts w:ascii="Times New Roman" w:cs="Times New Roman" w:eastAsia="Times New Roman" w:hAnsi="Times New Roman"/>
          <w:i w:val="0"/>
          <w:iCs w:val="0"/>
          <w:color w:val="000000"/>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Cada dominio se corresponde con una sección de este capítulo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color w:val="000000"/>
          <w:sz w:val="24"/>
          <w:szCs w:val="24"/>
          <w:rtl w:val="0"/>
        </w:rPr>
        <w:t xml:space="preserve">Fuente: elaboración propia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AA">
      <w:pPr>
        <w:pStyle w:val="Heading2"/>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16.2. Condiciones de riesgo observables</w:t>
      </w:r>
      <w:r w:rsidDel="00000000" w:rsidR="00000000" w:rsidRPr="00000000">
        <w:rPr>
          <w:rtl w:val="0"/>
        </w:rPr>
      </w:r>
    </w:p>
    <w:p w:rsidR="00000000" w:rsidDel="00000000" w:rsidP="00000000" w:rsidRDefault="00000000" w:rsidRPr="00000000" w14:paraId="000001A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visual requiere delimitar qué se entiende por condición de riesgo observable. En este trabajo, esa expresión no designa un incumplimiento normativo demostrado, sino una configuración visible de personas, elementos de protección o componentes del entorno que resulta relevante para la prevención y puede representarse en imágenes o video. La normativa aporta el fundamento de esa relevancia, pero no se utiliza como una lista exhaustiva de requisitos que el prototipo deba fiscalizar.</w:t>
      </w:r>
    </w:p>
    <w:p w:rsidR="00000000" w:rsidDel="00000000" w:rsidP="00000000" w:rsidRDefault="00000000" w:rsidRPr="00000000" w14:paraId="000001A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integrar una condición al alcance experimental se consideran tres propiedades: su correspondencia con un riesgo preventivo reconocido, la existencia de evidencia visual susceptible de anotación humana y una definición suficientemente precisa para contrastar la salida del sistema con una referencia. Con esta delimitación, lo que se busca es evitar confundir la observación de una señal con la certificación del cumplimiento de una obligación.</w:t>
      </w:r>
    </w:p>
    <w:p w:rsidR="00000000" w:rsidDel="00000000" w:rsidP="00000000" w:rsidRDefault="00000000" w:rsidRPr="00000000" w14:paraId="000001AD">
      <w:pPr>
        <w:pStyle w:val="Heading3"/>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16.2.1. Marco normativo de referencia</w:t>
      </w:r>
      <w:r w:rsidDel="00000000" w:rsidR="00000000" w:rsidRPr="00000000">
        <w:rPr>
          <w:rtl w:val="0"/>
        </w:rPr>
      </w:r>
    </w:p>
    <w:p w:rsidR="00000000" w:rsidDel="00000000" w:rsidP="00000000" w:rsidRDefault="00000000" w:rsidRPr="00000000" w14:paraId="000001A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general del dominio, la Ley 19.587 establece que las condiciones de higiene y seguridad deben orientarse a prevenir daños en el trabajo (Ley 19.587, 1972). Para la industria de la construcción, el Decreto 911/96 desarrolla disposiciones específicas sobre medidas preventivas y equipos de protección personal, atendiendo a los riesgos propios de una obra (Decreto 911/96, 1996). En esta sección, ambas normas se emplean para justificar la relevancia preventiva de determinadas evidencias visuales, no para reconstruir de manera exhaustiva el régimen jurídico aplicable.</w:t>
      </w:r>
    </w:p>
    <w:p w:rsidR="00000000" w:rsidDel="00000000" w:rsidP="00000000" w:rsidRDefault="00000000" w:rsidRPr="00000000" w14:paraId="000001A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este marco se retienen dos ideas. La primera es que la prevención se orienta a reconocer y controlar condiciones anteriores al daño. La segunda es que algunas medidas preventivas poseen correlatos visibles, como la presencia de protección cefálica o de elementos de alta visibilidad. Sin embargo, la exigencia y adecuación de cada elemento dependen de la tarea, del riesgo y del contexto de uso. Por ello, la ausencia observada en una imagen no constituye por sí sola una infracción ni permite atribuir responsabilidades.</w:t>
      </w:r>
    </w:p>
    <w:p w:rsidR="00000000" w:rsidDel="00000000" w:rsidP="00000000" w:rsidRDefault="00000000" w:rsidRPr="00000000" w14:paraId="000001B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alcance de la observación visual las obligaciones cuya verificación exige documentación, mediciones, certificaciones, capacitación, inspección física o conocimiento detallado de la tarea. Una cámara puede registrar que un elemento no resulta visible, pero no determinar su homologación, vida útil, ajuste técnico ni correspondencia con todas las condiciones particulares del puesto. Esta diferencia entre referencia preventiva y juicio normativo delimita el papel del prototipo.</w:t>
      </w:r>
    </w:p>
    <w:p w:rsidR="00000000" w:rsidDel="00000000" w:rsidP="00000000" w:rsidRDefault="00000000" w:rsidRPr="00000000" w14:paraId="000001B1">
      <w:pPr>
        <w:pStyle w:val="Heading3"/>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16.2.2. Operacionalización de las condiciones nucleares</w:t>
      </w:r>
      <w:r w:rsidDel="00000000" w:rsidR="00000000" w:rsidRPr="00000000">
        <w:rPr>
          <w:rtl w:val="0"/>
        </w:rPr>
      </w:r>
    </w:p>
    <w:p w:rsidR="00000000" w:rsidDel="00000000" w:rsidP="00000000" w:rsidRDefault="00000000" w:rsidRPr="00000000" w14:paraId="000001B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operacionalización transforma una categoría preventiva en una evidencia que pueda observarse y evaluarse. El recorrido conceptual comprende tres niveles: una referencia normativa que justifica la relevancia del riesgo, una evidencia visual que puede anotarse en imagen o video y una condición formulada de manera evaluable. La relación entre esos niveles es metodológica y no convierte la predicción del sistema en una conclusión jurídica.</w:t>
      </w:r>
    </w:p>
    <w:p w:rsidR="00000000" w:rsidDel="00000000" w:rsidP="00000000" w:rsidRDefault="00000000" w:rsidRPr="00000000" w14:paraId="000001B3">
      <w:pPr>
        <w:spacing w:after="0" w:before="0" w:line="480" w:lineRule="auto"/>
        <w:ind w:firstLine="720"/>
        <w:rPr>
          <w:rFonts w:ascii="Times New Roman" w:cs="Times New Roman" w:eastAsia="Times New Roman" w:hAnsi="Times New Roman"/>
          <w:sz w:val="24"/>
          <w:szCs w:val="24"/>
        </w:rPr>
      </w:pPr>
      <w:sdt>
        <w:sdtPr>
          <w:id w:val="1950574815"/>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En el núcleo del trabajo se priorizan </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dos condiciones vinculadas con equipos de protección personal: CR-01, persona sin casco, y CR-02, persona sin chaleco reflectivo. Su selección responde a que pueden definirse mediante evidencia visual localizada sobre una persona y admiten una referencia humana reproducible. La Tabla 10 resume esta operacionalización y explicita el límite de lectura de cada condición.</w:t>
      </w:r>
    </w:p>
    <w:p w:rsidR="00000000" w:rsidDel="00000000" w:rsidP="00000000" w:rsidRDefault="00000000" w:rsidRPr="00000000" w14:paraId="000001B4">
      <w:pPr>
        <w:keepNext w:val="1"/>
        <w:spacing w:after="0" w:before="0" w:line="480" w:lineRule="auto"/>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B5">
      <w:pPr>
        <w:keepNext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10</w:t>
      </w:r>
      <w:r w:rsidDel="00000000" w:rsidR="00000000" w:rsidRPr="00000000">
        <w:rPr>
          <w:rtl w:val="0"/>
        </w:rPr>
      </w:r>
    </w:p>
    <w:p w:rsidR="00000000" w:rsidDel="00000000" w:rsidP="00000000" w:rsidRDefault="00000000" w:rsidRPr="00000000" w14:paraId="000001B6">
      <w:pPr>
        <w:keepNext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Operacionalización de las condiciones nucleares del trabajo</w:t>
      </w:r>
      <w:r w:rsidDel="00000000" w:rsidR="00000000" w:rsidRPr="00000000">
        <w:rPr>
          <w:rtl w:val="0"/>
        </w:rPr>
      </w:r>
    </w:p>
    <w:tbl>
      <w:tblPr>
        <w:tblStyle w:val="Table9"/>
        <w:tblW w:w="12900.000000000002"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4300.000000000001"/>
        <w:gridCol w:w="4300.000000000001"/>
        <w:gridCol w:w="4300.000000000001"/>
        <w:tblGridChange w:id="0">
          <w:tblGrid>
            <w:gridCol w:w="4300.000000000001"/>
            <w:gridCol w:w="4300.000000000001"/>
            <w:gridCol w:w="4300.000000000001"/>
          </w:tblGrid>
        </w:tblGridChange>
      </w:tblGrid>
      <w:tr>
        <w:trPr>
          <w:cantSplit w:val="1"/>
          <w:tblHeader w:val="1"/>
        </w:trPr>
        <w:tc>
          <w:tcPr>
            <w:tcBorders>
              <w:bottom w:color="000000" w:space="0" w:sz="4" w:val="single"/>
            </w:tcBorders>
            <w:tcMar>
              <w:top w:w="100.0" w:type="dxa"/>
              <w:bottom w:w="100.0" w:type="dxa"/>
            </w:tcMar>
            <w:vAlign w:val="center"/>
          </w:tcPr>
          <w:p w:rsidR="00000000" w:rsidDel="00000000" w:rsidP="00000000" w:rsidRDefault="00000000" w:rsidRPr="00000000" w14:paraId="000001B7">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nuclear</w:t>
            </w:r>
            <w:r w:rsidDel="00000000" w:rsidR="00000000" w:rsidRPr="00000000">
              <w:rPr>
                <w:rtl w:val="0"/>
              </w:rPr>
            </w:r>
          </w:p>
        </w:tc>
        <w:tc>
          <w:tcPr>
            <w:tcBorders>
              <w:bottom w:color="000000" w:space="0" w:sz="4" w:val="single"/>
            </w:tcBorders>
            <w:tcMar>
              <w:top w:w="100.0" w:type="dxa"/>
              <w:bottom w:w="100.0" w:type="dxa"/>
            </w:tcMar>
            <w:vAlign w:val="center"/>
          </w:tcPr>
          <w:p w:rsidR="00000000" w:rsidDel="00000000" w:rsidP="00000000" w:rsidRDefault="00000000" w:rsidRPr="00000000" w14:paraId="000001B8">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 de referencia</w:t>
            </w:r>
            <w:r w:rsidDel="00000000" w:rsidR="00000000" w:rsidRPr="00000000">
              <w:rPr>
                <w:rtl w:val="0"/>
              </w:rPr>
            </w:r>
          </w:p>
        </w:tc>
        <w:tc>
          <w:tcPr>
            <w:tcBorders>
              <w:bottom w:color="000000" w:space="0" w:sz="4" w:val="single"/>
            </w:tcBorders>
            <w:tcMar>
              <w:top w:w="100.0" w:type="dxa"/>
              <w:bottom w:w="100.0" w:type="dxa"/>
            </w:tcMar>
            <w:vAlign w:val="center"/>
          </w:tcPr>
          <w:p w:rsidR="00000000" w:rsidDel="00000000" w:rsidP="00000000" w:rsidRDefault="00000000" w:rsidRPr="00000000" w14:paraId="000001B9">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permitida y límite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BA">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Mar>
              <w:top w:w="100.0" w:type="dxa"/>
              <w:bottom w:w="100.0" w:type="dxa"/>
            </w:tcMar>
            <w:vAlign w:val="center"/>
          </w:tcPr>
          <w:p w:rsidR="00000000" w:rsidDel="00000000" w:rsidP="00000000" w:rsidRDefault="00000000" w:rsidRPr="00000000" w14:paraId="000001BB">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visible. No se observa casco en la región cefálica.</w:t>
            </w:r>
          </w:p>
        </w:tc>
        <w:tc>
          <w:tcPr>
            <w:tcMar>
              <w:top w:w="100.0" w:type="dxa"/>
              <w:bottom w:w="100.0" w:type="dxa"/>
            </w:tcMar>
            <w:vAlign w:val="center"/>
          </w:tcPr>
          <w:p w:rsidR="00000000" w:rsidDel="00000000" w:rsidP="00000000" w:rsidRDefault="00000000" w:rsidRPr="00000000" w14:paraId="000001BC">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Indicio de posible ausencia de protección cefálica. No verifica homologación, estado, ajuste ni el contexto completo de exigibilidad.</w:t>
            </w:r>
          </w:p>
        </w:tc>
      </w:tr>
      <w:tr>
        <w:trPr>
          <w:cantSplit w:val="1"/>
          <w:tblHeader w:val="0"/>
        </w:trPr>
        <w:tc>
          <w:tcPr>
            <w:tcMar>
              <w:top w:w="100.0" w:type="dxa"/>
              <w:bottom w:w="100.0" w:type="dxa"/>
            </w:tcMar>
            <w:vAlign w:val="center"/>
          </w:tcPr>
          <w:p w:rsidR="00000000" w:rsidDel="00000000" w:rsidP="00000000" w:rsidRDefault="00000000" w:rsidRPr="00000000" w14:paraId="000001BD">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Mar>
              <w:top w:w="100.0" w:type="dxa"/>
              <w:bottom w:w="100.0" w:type="dxa"/>
            </w:tcMar>
            <w:vAlign w:val="center"/>
          </w:tcPr>
          <w:p w:rsidR="00000000" w:rsidDel="00000000" w:rsidP="00000000" w:rsidRDefault="00000000" w:rsidRPr="00000000" w14:paraId="000001BE">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visible. No se observa chaleco reflectivo en el torso.</w:t>
            </w:r>
          </w:p>
        </w:tc>
        <w:tc>
          <w:tcPr>
            <w:tcMar>
              <w:top w:w="100.0" w:type="dxa"/>
              <w:bottom w:w="100.0" w:type="dxa"/>
            </w:tcMar>
            <w:vAlign w:val="center"/>
          </w:tcPr>
          <w:p w:rsidR="00000000" w:rsidDel="00000000" w:rsidP="00000000" w:rsidRDefault="00000000" w:rsidRPr="00000000" w14:paraId="000001BF">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Indicio de posible ausencia de alta visibilidad. No determina por sí solo si la tarea o la zona requerían ese EPP.</w:t>
            </w:r>
          </w:p>
        </w:tc>
      </w:tr>
    </w:tbl>
    <w:p w:rsidR="00000000" w:rsidDel="00000000" w:rsidP="00000000" w:rsidRDefault="00000000" w:rsidRPr="00000000" w14:paraId="000001C0">
      <w:pPr>
        <w:keepLines w:val="1"/>
        <w:spacing w:after="0" w:before="0"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Las condiciones se expresan como señales visuales para evaluación experimental. La ausencia indicada no equivale a una determinación normativa ni permite verificar la certificación, el estado o el ajuste del EPP. Fuente: elaboración propia a partir de la Ley 19.587 (1972) y del Decreto 911/96 (1996).</w:t>
      </w:r>
    </w:p>
    <w:p w:rsidR="00000000" w:rsidDel="00000000" w:rsidP="00000000" w:rsidRDefault="00000000" w:rsidRPr="00000000" w14:paraId="000001C1">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ambos casos, el objeto de análisis no es un elemento aislado, sino el estado observable de una persona respecto de un EPP esperado. La condición se construye a partir de la presencia de la persona y de que el elemento no resulte visible en la región correspondiente. Esta estructura composicional distingue la detección de objetos de la interpretación de una condición expresada por ausencia y enlaza con los fundamentos de percepción visión-lenguaje desarrollados en la sección siguiente.</w:t>
      </w:r>
    </w:p>
    <w:p w:rsidR="00000000" w:rsidDel="00000000" w:rsidP="00000000" w:rsidRDefault="00000000" w:rsidRPr="00000000" w14:paraId="000001C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criterio permitiría formular otras condiciones asociadas con trabajos en altura, zonas restringidas, interacción con maquinaria u obstrucciones. No obstante, su sola relevancia preventiva no basta para incorporarlas al núcleo, ya que pueden requerir relaciones espaciales, estimación geométrica, contexto operativo o evidencia adicional. Por ello, se consideran posibilidades de extensión y no capacidades asumidas del prototipo.</w:t>
      </w:r>
    </w:p>
    <w:p w:rsidR="00000000" w:rsidDel="00000000" w:rsidP="00000000" w:rsidRDefault="00000000" w:rsidRPr="00000000" w14:paraId="000001C3">
      <w:pPr>
        <w:pStyle w:val="Heading3"/>
        <w:spacing w:after="0" w:before="0" w:line="480" w:lineRule="auto"/>
        <w:rPr>
          <w:rFonts w:ascii="Times New Roman" w:cs="Times New Roman" w:eastAsia="Times New Roman" w:hAnsi="Times New Roman"/>
          <w:sz w:val="24"/>
          <w:szCs w:val="24"/>
        </w:rPr>
      </w:pPr>
      <w:bookmarkStart w:colFirst="0" w:colLast="0" w:name="_heading=h.dscokajzg7vc" w:id="42"/>
      <w:bookmarkEnd w:id="42"/>
      <w:r w:rsidDel="00000000" w:rsidR="00000000" w:rsidRPr="00000000">
        <w:rPr>
          <w:rFonts w:ascii="Times New Roman" w:cs="Times New Roman" w:eastAsia="Times New Roman" w:hAnsi="Times New Roman"/>
          <w:b w:val="1"/>
          <w:bCs w:val="1"/>
          <w:i w:val="1"/>
          <w:iCs w:val="1"/>
          <w:sz w:val="24"/>
          <w:szCs w:val="24"/>
          <w:rtl w:val="0"/>
        </w:rPr>
        <w:t xml:space="preserve">16.2.3. Alcance y límites de la observación visual</w:t>
      </w:r>
      <w:r w:rsidDel="00000000" w:rsidR="00000000" w:rsidRPr="00000000">
        <w:rPr>
          <w:rtl w:val="0"/>
        </w:rPr>
      </w:r>
    </w:p>
    <w:p w:rsidR="00000000" w:rsidDel="00000000" w:rsidP="00000000" w:rsidRDefault="00000000" w:rsidRPr="00000000" w14:paraId="000001C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observabilidad conceptual, la detectabilidad técnica y la interpretación normativa constituyen niveles distintos. Una condición puede ser visible para una persona y, aun así, resultar difícil de detectar por variaciones de iluminación, resolución, perspectiva u oclusión. A su vez, una detección visual correcta puede no aportar el contexto necesario para determinar si una medida era exigible o si el elemento observado cumplía sus especificaciones técnicas.</w:t>
      </w:r>
    </w:p>
    <w:p w:rsidR="00000000" w:rsidDel="00000000" w:rsidP="00000000" w:rsidRDefault="00000000" w:rsidRPr="00000000" w14:paraId="000001C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las salidas del sistema se interpretan como indicios trazables que requieren revisión humana. Las alertas son asistivas y no vinculantes, es decir, no certifican cumplimiento, no establecen responsabilidades, no realizan reconocimiento de identidad personal y no sustituyen al responsable de seguridad ni a la evaluación técnica en terreno. Su función consiste en señalar evidencia visual relevante, conservarla para su revisión y favorecer una supervisión más oportuna.</w:t>
      </w:r>
    </w:p>
    <w:p w:rsidR="00000000" w:rsidDel="00000000" w:rsidP="00000000" w:rsidRDefault="00000000" w:rsidRPr="00000000" w14:paraId="000001C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forma, el marco normativo cumple una función que fundamenta por qué las condiciones seleccionadas son preventivamente pertinentes, de tal manera que la operacionalización define qué evidencia puede evaluarse y los límites de interpretación </w:t>
      </w:r>
      <w:r w:rsidDel="00000000" w:rsidR="00000000" w:rsidRPr="00000000">
        <w:rPr>
          <w:rFonts w:ascii="Times New Roman" w:cs="Times New Roman" w:eastAsia="Times New Roman" w:hAnsi="Times New Roman"/>
          <w:sz w:val="24"/>
          <w:szCs w:val="24"/>
          <w:rtl w:val="0"/>
        </w:rPr>
        <w:t xml:space="preserve">evitan</w:t>
      </w:r>
      <w:r w:rsidDel="00000000" w:rsidR="00000000" w:rsidRPr="00000000">
        <w:rPr>
          <w:rFonts w:ascii="Times New Roman" w:cs="Times New Roman" w:eastAsia="Times New Roman" w:hAnsi="Times New Roman"/>
          <w:sz w:val="24"/>
          <w:szCs w:val="24"/>
          <w:rtl w:val="0"/>
        </w:rPr>
        <w:t xml:space="preserve"> atribuir al análisis visual capacidades que no posee.</w:t>
      </w:r>
      <w:r w:rsidDel="00000000" w:rsidR="00000000" w:rsidRPr="00000000">
        <w:rPr>
          <w:rtl w:val="0"/>
        </w:rPr>
      </w:r>
    </w:p>
    <w:p w:rsidR="00000000" w:rsidDel="00000000" w:rsidP="00000000" w:rsidRDefault="00000000" w:rsidRPr="00000000" w14:paraId="000001C7">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heading=h.42hdfu8357fd" w:id="43"/>
      <w:bookmarkEnd w:id="43"/>
      <w:r w:rsidDel="00000000" w:rsidR="00000000" w:rsidRPr="00000000">
        <w:rPr>
          <w:rFonts w:ascii="Times New Roman" w:cs="Times New Roman" w:eastAsia="Times New Roman" w:hAnsi="Times New Roman"/>
          <w:b w:val="1"/>
          <w:bCs w:val="1"/>
          <w:sz w:val="24"/>
          <w:szCs w:val="24"/>
          <w:rtl w:val="0"/>
        </w:rPr>
        <w:t xml:space="preserve">16.3. Percepción visión-lenguaje: fundamentos conceptuales de la detección open-vocabulary</w:t>
      </w:r>
    </w:p>
    <w:p w:rsidR="00000000" w:rsidDel="00000000" w:rsidP="00000000" w:rsidRDefault="00000000" w:rsidRPr="00000000" w14:paraId="000001C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mencionó anteriormente, la detección de objetos en imágenes ha sido históricamente un problema de clasificación cerrada, donde los sistemas reconocen únicamente las categorías para las que fueron entrenados. Este supuesto es incompatible con el dominio de seguridad laboral, donde las condiciones de riesgo son heterogéneas, cambian según la etapa de la obra y pueden formularse con precisión en lenguaje natural pero difícilmente </w:t>
      </w:r>
      <w:r w:rsidDel="00000000" w:rsidR="00000000" w:rsidRPr="00000000">
        <w:rPr>
          <w:rFonts w:ascii="Times New Roman" w:cs="Times New Roman" w:eastAsia="Times New Roman" w:hAnsi="Times New Roman"/>
          <w:sz w:val="24"/>
          <w:szCs w:val="24"/>
          <w:rtl w:val="0"/>
        </w:rPr>
        <w:t xml:space="preserve">acotarse</w:t>
      </w:r>
      <w:r w:rsidDel="00000000" w:rsidR="00000000" w:rsidRPr="00000000">
        <w:rPr>
          <w:rFonts w:ascii="Times New Roman" w:cs="Times New Roman" w:eastAsia="Times New Roman" w:hAnsi="Times New Roman"/>
          <w:sz w:val="24"/>
          <w:szCs w:val="24"/>
          <w:rtl w:val="0"/>
        </w:rPr>
        <w:t xml:space="preserve"> en un conjunto fijo de clases predefinidas. El paradigma de detección de vocabulario abierto (OVD) rompe esa restricción al incorporar un encoder de lenguaje que permite guiar la detección mediante descripciones textuales arbitrarias.</w:t>
      </w:r>
    </w:p>
    <w:p w:rsidR="00000000" w:rsidDel="00000000" w:rsidP="00000000" w:rsidRDefault="00000000" w:rsidRPr="00000000" w14:paraId="000001C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caracteriza los fundamentos conceptuales de la detección open-vocabulary, con énfasis en la transición desde los enfoques de vocabulario cerrado hacia modelos capaces de vincular información visual y lenguaje natural. </w:t>
      </w:r>
    </w:p>
    <w:p w:rsidR="00000000" w:rsidDel="00000000" w:rsidP="00000000" w:rsidRDefault="00000000" w:rsidRPr="00000000" w14:paraId="000001CA">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yktnbyva37fc" w:id="44"/>
      <w:bookmarkEnd w:id="44"/>
      <w:r w:rsidDel="00000000" w:rsidR="00000000" w:rsidRPr="00000000">
        <w:rPr>
          <w:rFonts w:ascii="Times New Roman" w:cs="Times New Roman" w:eastAsia="Times New Roman" w:hAnsi="Times New Roman"/>
          <w:b w:val="1"/>
          <w:bCs w:val="1"/>
          <w:i w:val="1"/>
          <w:iCs w:val="1"/>
          <w:color w:val="000000"/>
          <w:sz w:val="24"/>
          <w:szCs w:val="24"/>
          <w:rtl w:val="0"/>
        </w:rPr>
        <w:t xml:space="preserve">16.3.1. Del closed-set al open-vocabulary</w:t>
      </w:r>
    </w:p>
    <w:p w:rsidR="00000000" w:rsidDel="00000000" w:rsidP="00000000" w:rsidRDefault="00000000" w:rsidRPr="00000000" w14:paraId="000001C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detección de objetos </w:t>
      </w:r>
      <w:r w:rsidDel="00000000" w:rsidR="00000000" w:rsidRPr="00000000">
        <w:rPr>
          <w:rFonts w:ascii="Times New Roman" w:cs="Times New Roman" w:eastAsia="Times New Roman" w:hAnsi="Times New Roman"/>
          <w:sz w:val="24"/>
          <w:szCs w:val="24"/>
          <w:rtl w:val="0"/>
        </w:rPr>
        <w:t xml:space="preserve">tradicional</w:t>
      </w:r>
      <w:r w:rsidDel="00000000" w:rsidR="00000000" w:rsidRPr="00000000">
        <w:rPr>
          <w:rFonts w:ascii="Times New Roman" w:cs="Times New Roman" w:eastAsia="Times New Roman" w:hAnsi="Times New Roman"/>
          <w:sz w:val="24"/>
          <w:szCs w:val="24"/>
          <w:rtl w:val="0"/>
        </w:rPr>
        <w:t xml:space="preserve">, el modelo aprende a localizar instancias en una imagen y a clasificarlas dentro de un vocabulario fijo, establecido de antemano y sin posibilidad de expansión en tiempo de inferencia. Esta formulación permite optimizar el rendimiento sobre benchmarks bien delimitados, como MS COCO con 80 categorías (Lin et al., 2014) o PASCAL VOC (Everingham et al., 2010), pero introduce una dependencia estructural entre el dominio de entrenamiento y el dominio de aplicación, siendo que el sistema solo puede detectar lo que fue explícitamente contemplado en el diseño.</w:t>
      </w:r>
    </w:p>
    <w:p w:rsidR="00000000" w:rsidDel="00000000" w:rsidP="00000000" w:rsidRDefault="00000000" w:rsidRPr="00000000" w14:paraId="000001C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open-vocabulary supera esta restricción al separar el espacio semántico del conjunto de categorías de entrenamiento. En lugar de aprender representaciones para clases discretas y fijas, los modelos OVD aprenden a alinear regiones visuales con descripciones lingüísticas en un espacio de embeddings compartido. La noción de clase deja de ser un identificador discreto y pasa a representarse como una entidad semántica continua, definida dinámicamente por el contenido de la consulta (Zareian et al., 2021). En consecuencia, una categoría expresada en lenguaje natural durante la inferencia puede ser reconocida aunque el modelo nunca la haya visto etiquetada durante el entrenamiento, siempre que su representación semántica sea coherente con el espacio aprendido.</w:t>
      </w:r>
    </w:p>
    <w:p w:rsidR="00000000" w:rsidDel="00000000" w:rsidP="00000000" w:rsidRDefault="00000000" w:rsidRPr="00000000" w14:paraId="000001C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capacidad no es absoluta. La calidad de la generalización zero-shot —ampliada en la sección 16.3.5— depende de la calidad y amplitud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multimodal, y el desempeño sobre categorías muy específicas o visualmente inusuales puede ser significativamente inferior al observado sobre categorías cotidianas bien representadas en los datos de entrenamiento. Reconocer la potencia del paradigma OVD sin ignorar sus condiciones y límites es el propósito de las secciones que siguen.</w:t>
      </w:r>
    </w:p>
    <w:p w:rsidR="00000000" w:rsidDel="00000000" w:rsidP="00000000" w:rsidRDefault="00000000" w:rsidRPr="00000000" w14:paraId="000001CE">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qqkqoibrq2d" w:id="45"/>
      <w:bookmarkEnd w:id="45"/>
      <w:r w:rsidDel="00000000" w:rsidR="00000000" w:rsidRPr="00000000">
        <w:rPr>
          <w:rFonts w:ascii="Times New Roman" w:cs="Times New Roman" w:eastAsia="Times New Roman" w:hAnsi="Times New Roman"/>
          <w:b w:val="1"/>
          <w:bCs w:val="1"/>
          <w:i w:val="1"/>
          <w:iCs w:val="1"/>
          <w:color w:val="000000"/>
          <w:sz w:val="24"/>
          <w:szCs w:val="24"/>
          <w:rtl w:val="0"/>
        </w:rPr>
        <w:t xml:space="preserve">16.3.2. Mecanismos de alineación visión-lenguaje</w:t>
      </w:r>
    </w:p>
    <w:p w:rsidR="00000000" w:rsidDel="00000000" w:rsidP="00000000" w:rsidRDefault="00000000" w:rsidRPr="00000000" w14:paraId="000001C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pilar técnico central de OVD es el uso de representaciones conjuntas de visión y lenguaje. Estas representaciones se obtienen mediante modelos multimodales entrenados para proyectar imágenes, regiones visuales y textos en un espacio latente compartido, donde la proximidad geométrica refleja afinidad semántica. El trabajo seminal en esta dirección es CLIP (Contrastive Language–Image Pre-training), que demostró la viabilidad de entrenar modelos con cientos de millones de pares imagen-texto recopilados de la web para aprender representaciones visuales altamente transferibles, alineadas con descripciones en lenguaje natural (Radford et al., 2021).</w:t>
      </w:r>
    </w:p>
    <w:p w:rsidR="00000000" w:rsidDel="00000000" w:rsidP="00000000" w:rsidRDefault="00000000" w:rsidRPr="00000000" w14:paraId="000001D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entrenamiento contrastivo opera sobre la base de maximizar la compatibilidad entre pares imagen-texto correctos y minimizar entre pares incorrectos, produciendo un encoder visual y un encoder textual que proyectan imagen y texto a un espacio semántico compartido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2022, 2023; Radford et al., 2021). El proceso de detección resultante puede describirse en tres etapas conceptuales, donde 1) a partir de una imagen, el backbone visual genera representaciones asociadas a regiones candidatas, 2) a partir de una consulta textual (prompt), el encoder de lenguaje obtiene una representación semántica y finalmente, 3) la detección se resuelve evaluando la compatibilidad entre ambas representaciones mediante funciones de similitud, atención cruzada u otros mecanismos de alineación, aplicando non-maximum suppression sobre las regiones con mayor compatibilidad semántica. Este esquema introduce una separación conceptual entre localización espacial y reconocimiento semántico, lo que permite evaluar nuevas descripciones en tiempo de inferencia sin modificar los parámetros del modelo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2022).</w:t>
      </w:r>
    </w:p>
    <w:p w:rsidR="00000000" w:rsidDel="00000000" w:rsidP="00000000" w:rsidRDefault="00000000" w:rsidRPr="00000000" w14:paraId="000001D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heading=h.p6jmvc2096go" w:id="46"/>
      <w:bookmarkEnd w:id="46"/>
      <w:r w:rsidDel="00000000" w:rsidR="00000000" w:rsidRPr="00000000">
        <w:rPr>
          <w:rFonts w:ascii="Times New Roman" w:cs="Times New Roman" w:eastAsia="Times New Roman" w:hAnsi="Times New Roman"/>
          <w:b w:val="1"/>
          <w:bCs w:val="1"/>
          <w:i w:val="1"/>
          <w:iCs w:val="1"/>
          <w:color w:val="000000"/>
          <w:sz w:val="24"/>
          <w:szCs w:val="24"/>
          <w:rtl w:val="0"/>
        </w:rPr>
        <w:t xml:space="preserve">16.3.3. Rol del lenguaje natural como especificación dinámica</w:t>
      </w:r>
    </w:p>
    <w:p w:rsidR="00000000" w:rsidDel="00000000" w:rsidP="00000000" w:rsidRDefault="00000000" w:rsidRPr="00000000" w14:paraId="000001D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open-vocabulary, el lenguaje funciona como una especificación de inferencia. Esto quiere decir que la consulta textual define qué concepto debe localizarse sin modificar el clasificador ni volver a entrenar el modelo. Esta propiedad permite expresar entidades, atributos y relaciones mediante vocabulario natural, pero introduce una variable ausente en los detectores closed-set, donde las formulaciones semánticamente cercanas no necesariamente producen representaciones equivalentes. La sensibilidad depende del encoder textual, del contexto léxico y del régimen de alineación empleado durante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(Zhou et al., 2022b).</w:t>
      </w:r>
    </w:p>
    <w:p w:rsidR="00000000" w:rsidDel="00000000" w:rsidP="00000000" w:rsidRDefault="00000000" w:rsidRPr="00000000" w14:paraId="000001D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aborda este problema mediante ingeniería sistemática de prompts, prompt learning con tokens de contexto aprendibles y, en algunas arquitecturas, prompts visuales que anclan la consulta a un ejemplo (Du et al., 2022; Jiang et al., 2024; Khattak et al., 2023). Estas alternativas son modalidades de consulta documentadas, no requisitos universales. Para evaluar una condición de dominio, la formulación textual debe tratarse como parte del protocolo experimental,  comparando variantes bajo los mismos datos, umbrales y métricas y evitando atribuir al modelo diferencias producidas únicamente por la redacción.</w:t>
      </w:r>
    </w:p>
    <w:p w:rsidR="00000000" w:rsidDel="00000000" w:rsidP="00000000" w:rsidRDefault="00000000" w:rsidRPr="00000000" w14:paraId="000001D4">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s3iv0i59x1yr" w:id="47"/>
      <w:bookmarkEnd w:id="47"/>
      <w:r w:rsidDel="00000000" w:rsidR="00000000" w:rsidRPr="00000000">
        <w:rPr>
          <w:rFonts w:ascii="Times New Roman" w:cs="Times New Roman" w:eastAsia="Times New Roman" w:hAnsi="Times New Roman"/>
          <w:b w:val="1"/>
          <w:bCs w:val="1"/>
          <w:i w:val="1"/>
          <w:iCs w:val="1"/>
          <w:color w:val="000000"/>
          <w:sz w:val="24"/>
          <w:szCs w:val="24"/>
          <w:rtl w:val="0"/>
        </w:rPr>
        <w:t xml:space="preserve">16.3.4. Composicionalidad, negación y condiciones definidas por ausencia</w:t>
      </w:r>
    </w:p>
    <w:p w:rsidR="00000000" w:rsidDel="00000000" w:rsidP="00000000" w:rsidRDefault="00000000" w:rsidRPr="00000000" w14:paraId="000001D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aprendizaje contrastivo aproxima representaciones globales de imágenes y textos al recompensar la compatibilidad entre pares correctos y separar pares incorrectos. Ese objetivo no obliga a codificar de manera explícita quién realiza una acción, qué atributo modifica a cada entidad ni en qué orden aparecen los términos. Esto no significa que los modelos ignoren las palabras, sino que un buen desempeño de recuperación puede coexistir con baja sensibilidad a la estructura relacional de la frase.</w:t>
      </w:r>
    </w:p>
    <w:p w:rsidR="00000000" w:rsidDel="00000000" w:rsidP="00000000" w:rsidRDefault="00000000" w:rsidRPr="00000000" w14:paraId="000001D6">
      <w:pPr>
        <w:spacing w:after="0" w:before="0" w:line="480" w:lineRule="auto"/>
        <w:ind w:firstLine="720"/>
        <w:rPr>
          <w:rFonts w:ascii="Times New Roman" w:cs="Times New Roman" w:eastAsia="Times New Roman" w:hAnsi="Times New Roman"/>
          <w:sz w:val="24"/>
          <w:szCs w:val="24"/>
        </w:rPr>
      </w:pPr>
      <w:sdt>
        <w:sdtPr>
          <w:id w:val="-173250236"/>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Yuksekgonul </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et al. (2023) estudian esta limitación mediante ARO, un benchmark con más de 50.000 casos organizados en atribución, relación y orden. Los resultados muestran que modelos visión-lenguaje de referencia pueden apoyarse fuertemente en el inventario léxico y resolver coincidencias globales sin representar con igual robustez los vínculos entre sustantivos, atributos y relaciones. El comportamiento se aproxima así a una bolsa de palabras: los conceptos dominantes conservan gran peso aunque se intercambien modificadores o cambie la estructura que determina el significado.</w:t>
      </w:r>
    </w:p>
    <w:p w:rsidR="00000000" w:rsidDel="00000000" w:rsidP="00000000" w:rsidRDefault="00000000" w:rsidRPr="00000000" w14:paraId="000001D7">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Winoground aísla la composicionalidad con pares de captions que contienen exactamente las mismas palabras en distinto orden y se asocian con dos imágenes diferentes. Los modelos evaluados no superaron de manera consistente el azar al vincular cada caption con la imagen correcta (Thrush et al., 2022). La prueba elimina la ventaja del contenido léxico compartido y muestra que la alineación global no garantiza razonamiento </w:t>
      </w:r>
      <w:r w:rsidDel="00000000" w:rsidR="00000000" w:rsidRPr="00000000">
        <w:rPr>
          <w:rFonts w:ascii="Times New Roman" w:cs="Times New Roman" w:eastAsia="Times New Roman" w:hAnsi="Times New Roman"/>
          <w:sz w:val="24"/>
          <w:szCs w:val="24"/>
          <w:rtl w:val="0"/>
        </w:rPr>
        <w:t xml:space="preserve">visio</w:t>
      </w:r>
      <w:r w:rsidDel="00000000" w:rsidR="00000000" w:rsidRPr="00000000">
        <w:rPr>
          <w:rFonts w:ascii="Times New Roman" w:cs="Times New Roman" w:eastAsia="Times New Roman" w:hAnsi="Times New Roman"/>
          <w:sz w:val="24"/>
          <w:szCs w:val="24"/>
          <w:rtl w:val="0"/>
        </w:rPr>
        <w:t xml:space="preserve">-lingüístico sobre roles y relaciones.</w:t>
      </w:r>
    </w:p>
    <w:p w:rsidR="00000000" w:rsidDel="00000000" w:rsidP="00000000" w:rsidRDefault="00000000" w:rsidRPr="00000000" w14:paraId="000001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y phrase grounding, la asociación entre tokens y regiones aporta localización más fina que la recuperación global, pero la negación mantiene una dificultad conceptual. Una frase como «persona sin casco» contiene el concepto positivo casco. Sin embargo, la ausencia no constituye una región visible que pueda recibir una caja. Además, el solapamiento léxico puede hacer que el sustantivo positivo conserve influencia aun cuando el modificador cambie la condición solicitada (Liu et al., 2024). Evaluar ausencia exige definir qué región de la persona resulta pertinente, qué evidencia positiva debería encontrarse y bajo qué relación espacial se considera asociada.</w:t>
      </w:r>
    </w:p>
    <w:p w:rsidR="00000000" w:rsidDel="00000000" w:rsidP="00000000" w:rsidRDefault="00000000" w:rsidRPr="00000000" w14:paraId="000001D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una condición definida por ausencia admite al menos dos formulaciones conceptuales. En primer lugar, solicitar directamente al modelo que localice la infracción completa, o solicitar evidencia positiva.Segundo, derivar la ausencia mediante razonamiento sobre las detecciones. La primera delega composición y negación al modelo; la segunda separa percepción y relación, pero introduce reglas y posibles errores de asociación. La literatura no establece una alternativa universalmente superior. Su desempeño depende del modelo, del prompt, de la granularidad espacial y del dominio, por lo que la comparación debe permanecer como pregunta empírica. Esta limitación enlaza con la brecha de contextualización semántica de la sección 15.2.5.1 sin anticipar la estrategia que adopte el diseño.</w:t>
      </w:r>
    </w:p>
    <w:p w:rsidR="00000000" w:rsidDel="00000000" w:rsidP="00000000" w:rsidRDefault="00000000" w:rsidRPr="00000000" w14:paraId="000001DA">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86tcnry6b50n" w:id="48"/>
      <w:bookmarkEnd w:id="48"/>
      <w:r w:rsidDel="00000000" w:rsidR="00000000" w:rsidRPr="00000000">
        <w:rPr>
          <w:rFonts w:ascii="Times New Roman" w:cs="Times New Roman" w:eastAsia="Times New Roman" w:hAnsi="Times New Roman"/>
          <w:b w:val="1"/>
          <w:bCs w:val="1"/>
          <w:i w:val="1"/>
          <w:iCs w:val="1"/>
          <w:color w:val="000000"/>
          <w:sz w:val="24"/>
          <w:szCs w:val="24"/>
          <w:rtl w:val="0"/>
        </w:rPr>
        <w:t xml:space="preserve">16.3.5. Generalización zero-shot y el problema del long-tail semántico</w:t>
      </w:r>
    </w:p>
    <w:p w:rsidR="00000000" w:rsidDel="00000000" w:rsidP="00000000" w:rsidRDefault="00000000" w:rsidRPr="00000000" w14:paraId="000001D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concepto estrechamente vinculado a la OVD es la generalización zero-shot, siendo esta la capacidad de reconocer conceptos no observados explícitamente durante el entrenamiento supervisado. Esta propiedad resulta especialmente relevante en dominios caracterizados por distribuciones de clases desbalanceadas o por una fuerte presencia de categorías poco frecuentes, denominadas en la literatura como long-tail semántico.</w:t>
      </w:r>
    </w:p>
    <w:p w:rsidR="00000000" w:rsidDel="00000000" w:rsidP="00000000" w:rsidRDefault="00000000" w:rsidRPr="00000000" w14:paraId="000001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no eliminan por completo las limitaciones impuestas por los datos de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Las categorías visualmente inusuales o semánticamente distantes de los conceptos mejor representados pueden exhibir un desempeño inferior al observado en categorías frecuentes. En construcción civil, esto afecta especialmente a categorías especializadas del dominio —incluidos determinados EPP y roles operativos— cuya representación en los datos generalistas puede ser limitada. Por ello, su desempeño zero-shot debe verificarse en material de dominio y no inferirse desde benchmarks generales.</w:t>
      </w:r>
    </w:p>
    <w:p w:rsidR="00000000" w:rsidDel="00000000" w:rsidP="00000000" w:rsidRDefault="00000000" w:rsidRPr="00000000" w14:paraId="000001D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ampliación de datos y el </w:t>
      </w:r>
      <w:r w:rsidDel="00000000" w:rsidR="00000000" w:rsidRPr="00000000">
        <w:rPr>
          <w:rFonts w:ascii="Times New Roman" w:cs="Times New Roman" w:eastAsia="Times New Roman" w:hAnsi="Times New Roman"/>
          <w:sz w:val="24"/>
          <w:szCs w:val="24"/>
          <w:rtl w:val="0"/>
        </w:rPr>
        <w:t xml:space="preserve">autoentrenamiento</w:t>
      </w:r>
      <w:r w:rsidDel="00000000" w:rsidR="00000000" w:rsidRPr="00000000">
        <w:rPr>
          <w:rFonts w:ascii="Times New Roman" w:cs="Times New Roman" w:eastAsia="Times New Roman" w:hAnsi="Times New Roman"/>
          <w:sz w:val="24"/>
          <w:szCs w:val="24"/>
          <w:rtl w:val="0"/>
        </w:rPr>
        <w:t xml:space="preserve"> mejoran la cobertura de categorías raras, pero no eliminan la brecha entre benchmarks generalistas y dominios especializados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2023).</w:t>
      </w:r>
    </w:p>
    <w:p w:rsidR="00000000" w:rsidDel="00000000" w:rsidP="00000000" w:rsidRDefault="00000000" w:rsidRPr="00000000" w14:paraId="000001DE">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bb1o85n2xr6l" w:id="49"/>
      <w:bookmarkEnd w:id="49"/>
      <w:r w:rsidDel="00000000" w:rsidR="00000000" w:rsidRPr="00000000">
        <w:rPr>
          <w:rFonts w:ascii="Times New Roman" w:cs="Times New Roman" w:eastAsia="Times New Roman" w:hAnsi="Times New Roman"/>
          <w:b w:val="1"/>
          <w:bCs w:val="1"/>
          <w:i w:val="1"/>
          <w:iCs w:val="1"/>
          <w:color w:val="000000"/>
          <w:sz w:val="24"/>
          <w:szCs w:val="24"/>
          <w:rtl w:val="0"/>
        </w:rPr>
        <w:t xml:space="preserve">16.3.6. Dimensiones de comparación de modelos OVD</w:t>
      </w:r>
    </w:p>
    <w:p w:rsidR="00000000" w:rsidDel="00000000" w:rsidP="00000000" w:rsidRDefault="00000000" w:rsidRPr="00000000" w14:paraId="000001D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permite comparar modelos OVD a lo largo de dimensiones distintas, por ejemplo, la capacidad de generalización zero-shot y transferencia de dominio, la expresividad frente a atributos y relaciones, la latencia y dependencia del hardware, la modalidad de consulta, la disponibilidad de código y pesos y las posibilidades de adaptación paramétrica. Ninguna dimensión determina por sí sola la adecuación de una alternativa, y los resultados de benchmarks no son directamente transferibles entre hardware, resoluciones y regímenes de evaluación diferentes (Cheng et al., 2024; Liu et al., 2024;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2022, 2023).</w:t>
      </w:r>
    </w:p>
    <w:p w:rsidR="00000000" w:rsidDel="00000000" w:rsidP="00000000" w:rsidRDefault="00000000" w:rsidRPr="00000000" w14:paraId="000001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retención open-</w:t>
      </w:r>
      <w:r w:rsidDel="00000000" w:rsidR="00000000" w:rsidRPr="00000000">
        <w:rPr>
          <w:rFonts w:ascii="Times New Roman" w:cs="Times New Roman" w:eastAsia="Times New Roman" w:hAnsi="Times New Roman"/>
          <w:sz w:val="24"/>
          <w:szCs w:val="24"/>
          <w:rtl w:val="0"/>
        </w:rPr>
        <w:t xml:space="preserve">vocabulary</w:t>
      </w:r>
      <w:r w:rsidDel="00000000" w:rsidR="00000000" w:rsidRPr="00000000">
        <w:rPr>
          <w:rFonts w:ascii="Times New Roman" w:cs="Times New Roman" w:eastAsia="Times New Roman" w:hAnsi="Times New Roman"/>
          <w:sz w:val="24"/>
          <w:szCs w:val="24"/>
          <w:rtl w:val="0"/>
        </w:rPr>
        <w:t xml:space="preserve"> después del fine-tuning tampoco puede atribuirse a la familia arquitectónica. Como se sintetiza en la sección 15.2.4, depende de la receta concreta, es decir, qué parámetros se actualizan o congelan, si se conserva supervisión lingüística amplia y si el protocolo evalúa categorías no vistas (A. Wang et al., 2025; X. Zhao et al., 2024). Los prompts visuales, la segmentación o la ejecución híbrida entre modelos pueden describirse como capacidades presentes en parte de la literatura, pero no constituyen requisitos generales.</w:t>
      </w:r>
    </w:p>
    <w:p w:rsidR="00000000" w:rsidDel="00000000" w:rsidP="00000000" w:rsidRDefault="00000000" w:rsidRPr="00000000" w14:paraId="000001E1">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heading=h.j6prutk5f91q" w:id="50"/>
      <w:bookmarkEnd w:id="50"/>
      <w:r w:rsidDel="00000000" w:rsidR="00000000" w:rsidRPr="00000000">
        <w:rPr>
          <w:rFonts w:ascii="Times New Roman" w:cs="Times New Roman" w:eastAsia="Times New Roman" w:hAnsi="Times New Roman"/>
          <w:b w:val="1"/>
          <w:bCs w:val="1"/>
          <w:sz w:val="24"/>
          <w:szCs w:val="24"/>
          <w:rtl w:val="0"/>
        </w:rPr>
        <w:t xml:space="preserve">16.4. Persistencia temporal de entidades y fundamentos conceptuales del seguimiento multiobjeto</w:t>
      </w:r>
    </w:p>
    <w:p w:rsidR="00000000" w:rsidDel="00000000" w:rsidP="00000000" w:rsidRDefault="00000000" w:rsidRPr="00000000" w14:paraId="000001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detección aislada no basta para sustentar una alerta temporal. Para distinguir entre una aparición breve y una condición que permanece, se requiere continuidad entre cuadros, una propiedad que la detección por cuadro no provee. El seguimiento multiobjeto (MOT) cumple esa función al asignar identificadores temporales internos a las entidades detectadas, estimar sus trayectorias cuadro a cuadro y sostener la continuidad ante omisiones breves. La presente sección caracteriza los fundamentos técnicos de ese mecanismo, sus métodos representativos y los compromisos relevantes para integrarlo en un sistema de monitoreo.</w:t>
      </w:r>
    </w:p>
    <w:p w:rsidR="00000000" w:rsidDel="00000000" w:rsidP="00000000" w:rsidRDefault="00000000" w:rsidRPr="00000000" w14:paraId="000001E3">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gh2vp5obb63y" w:id="51"/>
      <w:bookmarkEnd w:id="51"/>
      <w:r w:rsidDel="00000000" w:rsidR="00000000" w:rsidRPr="00000000">
        <w:rPr>
          <w:rFonts w:ascii="Times New Roman" w:cs="Times New Roman" w:eastAsia="Times New Roman" w:hAnsi="Times New Roman"/>
          <w:b w:val="1"/>
          <w:bCs w:val="1"/>
          <w:i w:val="1"/>
          <w:iCs w:val="1"/>
          <w:color w:val="000000"/>
          <w:sz w:val="24"/>
          <w:szCs w:val="24"/>
          <w:rtl w:val="0"/>
        </w:rPr>
        <w:t xml:space="preserve">16.4.1. La limitación temporal de la detección por cuadro</w:t>
      </w:r>
    </w:p>
    <w:p w:rsidR="00000000" w:rsidDel="00000000" w:rsidP="00000000" w:rsidRDefault="00000000" w:rsidRPr="00000000" w14:paraId="000001E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de objetos —incluyendo los modelos OVD— opera de manera fundamentalmente estática, donde dada una imagen, produce un conjunto de regiones detectadas con sus etiquetas semánticas y puntajes de confianza. Esta operación se realiza de manera independiente para cada cuadro del flujo de video, sin memoria ni referencia a los cuadros anteriores. En consecuencia, el mismo objeto físico presente en dos cuadros consecutivos es tratado como dos entidades sin relación, de tal forma que no existe ningún mecanismo que les asigne una identidad común ni que modele su trayectoria a lo largo del tiempo (Bewley et al., 2016; Luo et al., 2021).</w:t>
      </w:r>
    </w:p>
    <w:p w:rsidR="00000000" w:rsidDel="00000000" w:rsidP="00000000" w:rsidRDefault="00000000" w:rsidRPr="00000000" w14:paraId="000001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limitación tiene consecuencias operativas directas para el sistema de monitoreo. En primer lugar, la variabilidad cuadro a cuadro que caracteriza a los modelos OVD —fluctuaciones en puntajes de confianza, apariciones y desapariciones espurias e inconsistencias entre cuadros consecutivos (Xiao et al., 2024)— no puede filtrarse ni estabilizarse sin una capa que integre información temporal. En segundo lugar, muchas condiciones de riesgo no son eventos instantáneos, sino estados que deben persistir durante un intervalo mínimo para resultar operativamente significativos: una presencia sostenida en una zona restringida no equivale a una detección espuria de un único cuadro (Du et al., 2024). En tercer lugar, las alertas basadas en evidencia sostenida —y no en detecciones aisladas— pueden reducir la carga cognitiva y la fatiga de alerta asociada con falsos positivos frecuentes (Du et al., 2024).</w:t>
      </w:r>
    </w:p>
    <w:p w:rsidR="00000000" w:rsidDel="00000000" w:rsidP="00000000" w:rsidRDefault="00000000" w:rsidRPr="00000000" w14:paraId="000001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aporta la capa de integración temporal que la detección por cuadro no ofrece, asignando identificadores temporales internos a las entidades detectadas, modelando su estado y trayectoria a lo largo de la secuencia y produciendo trayectorias estructuradas sobre las que puede agregarse evidencia temporal (Du et al., 2024; Milan et al., 2016).</w:t>
      </w:r>
    </w:p>
    <w:p w:rsidR="00000000" w:rsidDel="00000000" w:rsidP="00000000" w:rsidRDefault="00000000" w:rsidRPr="00000000" w14:paraId="000001E7">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flxvmjnikluk" w:id="52"/>
      <w:bookmarkEnd w:id="52"/>
      <w:r w:rsidDel="00000000" w:rsidR="00000000" w:rsidRPr="00000000">
        <w:rPr>
          <w:rFonts w:ascii="Times New Roman" w:cs="Times New Roman" w:eastAsia="Times New Roman" w:hAnsi="Times New Roman"/>
          <w:b w:val="1"/>
          <w:bCs w:val="1"/>
          <w:i w:val="1"/>
          <w:iCs w:val="1"/>
          <w:color w:val="000000"/>
          <w:sz w:val="24"/>
          <w:szCs w:val="24"/>
          <w:rtl w:val="0"/>
        </w:rPr>
        <w:t xml:space="preserve">16.4.2. Fundamentos del MOT y del paradigma tracking-by-detection</w:t>
      </w:r>
    </w:p>
    <w:p w:rsidR="00000000" w:rsidDel="00000000" w:rsidP="00000000" w:rsidRDefault="00000000" w:rsidRPr="00000000" w14:paraId="000001E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estima trayectorias a partir de detecciones ruidosas e incompletas. En el paradigma tracking-by-detection, un detector externo localiza objetos en cada cuadro y el tracker mantiene un estado temporal para cada trayectoria activa. Este desacoplamiento permite integrar detectores con vocabularios y arquitecturas diferentes sin reentrenar necesariamente el componente temporal, aunque conserva una dependencia inevitable: toda trayectoria se origina en las observaciones entregadas por el detector (Adžemović, 2025; Bewley et al., 2016).</w:t>
      </w:r>
    </w:p>
    <w:p w:rsidR="00000000" w:rsidDel="00000000" w:rsidP="00000000" w:rsidRDefault="00000000" w:rsidRPr="00000000" w14:paraId="000001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 una trayectoria resume información acumulada dentro de la secuencia, como el identificador temporal, última caja observada, la antigüedad y el número de cuadros sin asociación, entre otros atributos posibles. Ese identificador sólo organiza observaciones dentro del flujo, y no representa identidad personal ni garantiza continuidad entre cámaras, sesiones o reinicios. Una trayectoria puede encontrarse en estado tentativo, activo o perdido según la evidencia disponible, pero la terminología concreta depende del método y no constituye un requisito universal (</w:t>
      </w:r>
      <w:r w:rsidDel="00000000" w:rsidR="00000000" w:rsidRPr="00000000">
        <w:rPr>
          <w:rFonts w:ascii="Times New Roman" w:cs="Times New Roman" w:eastAsia="Times New Roman" w:hAnsi="Times New Roman"/>
          <w:sz w:val="24"/>
          <w:szCs w:val="24"/>
          <w:rtl w:val="0"/>
        </w:rPr>
        <w:t xml:space="preserve">Milan</w:t>
      </w:r>
      <w:r w:rsidDel="00000000" w:rsidR="00000000" w:rsidRPr="00000000">
        <w:rPr>
          <w:rFonts w:ascii="Times New Roman" w:cs="Times New Roman" w:eastAsia="Times New Roman" w:hAnsi="Times New Roman"/>
          <w:sz w:val="24"/>
          <w:szCs w:val="24"/>
          <w:rtl w:val="0"/>
        </w:rPr>
        <w:t xml:space="preserve"> et al., 2016).</w:t>
      </w:r>
    </w:p>
    <w:p w:rsidR="00000000" w:rsidDel="00000000" w:rsidP="00000000" w:rsidRDefault="00000000" w:rsidRPr="00000000" w14:paraId="000001E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ciclo de seguimiento comprende tres operaciones conceptuales. La predicción estima dónde debería encontrarse una trayectoria en el cuadro siguiente; puede utilizar el último estado observado o un modelo de movimiento. La similitud cuantifica la compatibilidad entre una predicción y una detección. La intersección sobre unión (</w:t>
      </w:r>
      <w:r w:rsidDel="00000000" w:rsidR="00000000" w:rsidRPr="00000000">
        <w:rPr>
          <w:rFonts w:ascii="Times New Roman" w:cs="Times New Roman" w:eastAsia="Times New Roman" w:hAnsi="Times New Roman"/>
          <w:sz w:val="24"/>
          <w:szCs w:val="24"/>
          <w:rtl w:val="0"/>
        </w:rPr>
        <w:t xml:space="preserve">IoU</w:t>
      </w:r>
      <w:r w:rsidDel="00000000" w:rsidR="00000000" w:rsidRPr="00000000">
        <w:rPr>
          <w:rFonts w:ascii="Times New Roman" w:cs="Times New Roman" w:eastAsia="Times New Roman" w:hAnsi="Times New Roman"/>
          <w:sz w:val="24"/>
          <w:szCs w:val="24"/>
          <w:rtl w:val="0"/>
        </w:rPr>
        <w:t xml:space="preserve">) divide el área de intersección de dos cajas por el área de su unión y ofrece una señal geométrica interpretable, sin parámetros aprendidos. Su principal límite aparece cuando el desplazamiento, la oclusión o la inestabilidad de las cajas reducen la superposición aun cuando ambas observaciones correspondan a la misma entidad (Bewley et al., 2016).</w:t>
      </w:r>
    </w:p>
    <w:p w:rsidR="00000000" w:rsidDel="00000000" w:rsidP="00000000" w:rsidRDefault="00000000" w:rsidRPr="00000000" w14:paraId="000001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convierte la matriz de similitudes en correspondencias globales. Habitualmente se formula como un problema bipartito entre trayectorias y detecciones y se resuelve con el algoritmo húngaro. Los mecanismos de gating descartan pares incompatibles antes de asignar; los umbrales controlan qué costo resulta aceptable. Las detecciones no asignadas pueden iniciar trayectorias nuevas y las trayectorias sin observación pueden conservarse durante una ventana limitada. Esta memoria tolera omisiones breves, pero incrementarla también aumenta el riesgo de </w:t>
      </w:r>
      <w:r w:rsidDel="00000000" w:rsidR="00000000" w:rsidRPr="00000000">
        <w:rPr>
          <w:rFonts w:ascii="Times New Roman" w:cs="Times New Roman" w:eastAsia="Times New Roman" w:hAnsi="Times New Roman"/>
          <w:sz w:val="24"/>
          <w:szCs w:val="24"/>
          <w:rtl w:val="0"/>
        </w:rPr>
        <w:t xml:space="preserve">reasociar</w:t>
      </w:r>
      <w:r w:rsidDel="00000000" w:rsidR="00000000" w:rsidRPr="00000000">
        <w:rPr>
          <w:rFonts w:ascii="Times New Roman" w:cs="Times New Roman" w:eastAsia="Times New Roman" w:hAnsi="Times New Roman"/>
          <w:sz w:val="24"/>
          <w:szCs w:val="24"/>
          <w:rtl w:val="0"/>
        </w:rPr>
        <w:t xml:space="preserve"> una detección a la trayectoria equivocada.</w:t>
      </w:r>
    </w:p>
    <w:p w:rsidR="00000000" w:rsidDel="00000000" w:rsidP="00000000" w:rsidRDefault="00000000" w:rsidRPr="00000000" w14:paraId="000001E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apariencia agrega embeddings de reidentificación a la evidencia geométrica y puede mejorar la reasociación durante cruces u oclusiones. A cambio, introduce cómputo, parámetros entrenados y sensibilidad al dominio visual (</w:t>
      </w:r>
      <w:r w:rsidDel="00000000" w:rsidR="00000000" w:rsidRPr="00000000">
        <w:rPr>
          <w:rFonts w:ascii="Times New Roman" w:cs="Times New Roman" w:eastAsia="Times New Roman" w:hAnsi="Times New Roman"/>
          <w:sz w:val="24"/>
          <w:szCs w:val="24"/>
          <w:rtl w:val="0"/>
        </w:rPr>
        <w:t xml:space="preserve">Wojke</w:t>
      </w:r>
      <w:r w:rsidDel="00000000" w:rsidR="00000000" w:rsidRPr="00000000">
        <w:rPr>
          <w:rFonts w:ascii="Times New Roman" w:cs="Times New Roman" w:eastAsia="Times New Roman" w:hAnsi="Times New Roman"/>
          <w:sz w:val="24"/>
          <w:szCs w:val="24"/>
          <w:rtl w:val="0"/>
        </w:rPr>
        <w:t xml:space="preserve"> et al., 2017). Los métodos puramente geométricos reducen esas dependencias, pero son más frágiles cuando varias personas ocupan posiciones cercanas o desaparecen por intervalos prolongados. Ningún mecanismo recupera información que el detector nunca observó. Esto implica que falsos negativos, cajas inestables y detecciones espurias pueden fragmentar trayectorias o producir cambios de identificador.</w:t>
      </w:r>
    </w:p>
    <w:p w:rsidR="00000000" w:rsidDel="00000000" w:rsidP="00000000" w:rsidRDefault="00000000" w:rsidRPr="00000000" w14:paraId="000001E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aporte del tracker debe interpretarse como organización temporal de evidencia, no como corrección semántica automática. La evaluación del seguimiento distingue localización, asociación y continuidad; la evaluación de una alerta agrega otras decisiones —persistencia mínima, reglas de estado y tratamiento de episodios— que pertenecen al protocolo experimental. Esta separación evita trasladar métricas MOT a la plataforma completa cuando no existen anotaciones ni objetivos específicos para ese problema.</w:t>
      </w:r>
    </w:p>
    <w:p w:rsidR="00000000" w:rsidDel="00000000" w:rsidP="00000000" w:rsidRDefault="00000000" w:rsidRPr="00000000" w14:paraId="000001EE">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99ec1uejc3j9" w:id="53"/>
      <w:bookmarkEnd w:id="53"/>
      <w:r w:rsidDel="00000000" w:rsidR="00000000" w:rsidRPr="00000000">
        <w:rPr>
          <w:rFonts w:ascii="Times New Roman" w:cs="Times New Roman" w:eastAsia="Times New Roman" w:hAnsi="Times New Roman"/>
          <w:b w:val="1"/>
          <w:bCs w:val="1"/>
          <w:i w:val="1"/>
          <w:iCs w:val="1"/>
          <w:color w:val="000000"/>
          <w:sz w:val="24"/>
          <w:szCs w:val="24"/>
          <w:rtl w:val="0"/>
        </w:rPr>
        <w:t xml:space="preserve">16.4.3. Integración conceptual entre OVD y MOT</w:t>
      </w:r>
    </w:p>
    <w:p w:rsidR="00000000" w:rsidDel="00000000" w:rsidP="00000000" w:rsidRDefault="00000000" w:rsidRPr="00000000" w14:paraId="000001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OVD produce cajas, etiquetas abiertas y puntajes condicionados por el prompt, donde un tracker opera principalmente sobre geometría, movimiento y continuidad temporal. La identidad de seguimiento es, por lo tanto, un identificador interno y efímero dentro de un flujo, no una identidad personal ni un mecanismo de reconocimiento. Esta separación permite agregar evidencia por entidad a lo largo de una secuencia sin atribuir nombre o identidad civil a la persona observada.</w:t>
      </w:r>
    </w:p>
    <w:p w:rsidR="00000000" w:rsidDel="00000000" w:rsidP="00000000" w:rsidRDefault="00000000" w:rsidRPr="00000000" w14:paraId="000001F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básica encadena percepción y asociación. Las detecciones de cada cuadro alimentan al tracker, que actualiza trayectorias, sobre las cuales pueden agregarse puntajes, evaluar persistencia y reconocer cambios de estado. El tracker aporta continuidad, pero no resuelve por sí mismo la incertidumbre semántica. Si la etiqueta o el puntaje del detector fluctúan, el sistema necesita una regla separada de agregación temporal para decidir qué evidencia conserva y durante cuánto tiempo.</w:t>
      </w:r>
    </w:p>
    <w:p w:rsidR="00000000" w:rsidDel="00000000" w:rsidP="00000000" w:rsidRDefault="00000000" w:rsidRPr="00000000" w14:paraId="000001F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muestra que el seguimiento puede reducir la sensibilidad a detecciones aisladas y sostener evidencia durante omisiones breves, aunque su calidad continúa limitada por la estabilidad del detector y por las oclusiones (S. Li et al., 2023, 2025). Una asociación geométricamente correcta no implica que la condición semántica esté bien interpretada. De manera inversa, una detección semánticamente correcta puede asignarse a una trayectoria equivocada. Esta distinción justifica evaluar percepción y persistencia como niveles relacionados pero no equivalentes.</w:t>
      </w:r>
    </w:p>
    <w:p w:rsidR="00000000" w:rsidDel="00000000" w:rsidP="00000000" w:rsidRDefault="00000000" w:rsidRPr="00000000" w14:paraId="000001F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métodos sin apariencia reducen dependencias de entrenamiento, mientras que los métodos con ReID pueden mejorar la reasociación a costa de modelos y datos adicionales (Adžemović, 2025; Wojke et al., 2017).</w:t>
      </w:r>
    </w:p>
    <w:p w:rsidR="00000000" w:rsidDel="00000000" w:rsidP="00000000" w:rsidRDefault="00000000" w:rsidRPr="00000000" w14:paraId="000001F3">
      <w:pPr>
        <w:pStyle w:val="Heading2"/>
        <w:spacing w:after="0" w:before="0" w:line="480" w:lineRule="auto"/>
        <w:ind w:left="0" w:firstLine="0"/>
        <w:rPr>
          <w:rFonts w:ascii="Times New Roman" w:cs="Times New Roman" w:eastAsia="Times New Roman" w:hAnsi="Times New Roman"/>
          <w:b w:val="1"/>
          <w:bCs w:val="1"/>
          <w:sz w:val="24"/>
          <w:szCs w:val="24"/>
        </w:rPr>
      </w:pPr>
      <w:bookmarkStart w:colFirst="0" w:colLast="0" w:name="_heading=h.7gzn0pv2ptd2" w:id="54"/>
      <w:bookmarkEnd w:id="54"/>
      <w:r w:rsidDel="00000000" w:rsidR="00000000" w:rsidRPr="00000000">
        <w:rPr>
          <w:rFonts w:ascii="Times New Roman" w:cs="Times New Roman" w:eastAsia="Times New Roman" w:hAnsi="Times New Roman"/>
          <w:b w:val="1"/>
          <w:bCs w:val="1"/>
          <w:sz w:val="24"/>
          <w:szCs w:val="24"/>
          <w:rtl w:val="0"/>
        </w:rPr>
        <w:t xml:space="preserve">16.5. Operación en tiempo real, transmisión y procesamiento cercano a la fuente</w:t>
      </w:r>
    </w:p>
    <w:p w:rsidR="00000000" w:rsidDel="00000000" w:rsidP="00000000" w:rsidRDefault="00000000" w:rsidRPr="00000000" w14:paraId="000001F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de percepción puede ser preciso y, aun así, resultar operativamente inadecuado si la evidencia llega después del margen disponible para interpretarla. La latencia es una propiedad acumulativa del pipeline completo y no del modelo o del protocolo por separado.</w:t>
      </w:r>
    </w:p>
    <w:p w:rsidR="00000000" w:rsidDel="00000000" w:rsidP="00000000" w:rsidRDefault="00000000" w:rsidRPr="00000000" w14:paraId="000001F5">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u6kuea1fg6np"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16.5.1. La latencia extremo a extremo como restricción de diseño</w:t>
      </w:r>
    </w:p>
    <w:p w:rsidR="00000000" w:rsidDel="00000000" w:rsidP="00000000" w:rsidRDefault="00000000" w:rsidRPr="00000000" w14:paraId="000001F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video analítico, la expresión latencia extremo a extremo sólo resulta interpretable cuando se declara el punto inicial y el punto final. </w:t>
      </w:r>
      <w:r w:rsidDel="00000000" w:rsidR="00000000" w:rsidRPr="00000000">
        <w:rPr>
          <w:rFonts w:ascii="Times New Roman" w:cs="Times New Roman" w:eastAsia="Times New Roman" w:hAnsi="Times New Roman"/>
          <w:i w:val="1"/>
          <w:iCs w:val="1"/>
          <w:sz w:val="24"/>
          <w:szCs w:val="24"/>
          <w:rtl w:val="0"/>
        </w:rPr>
        <w:t xml:space="preserve">Glass-to-Glass</w:t>
      </w:r>
      <w:r w:rsidDel="00000000" w:rsidR="00000000" w:rsidRPr="00000000">
        <w:rPr>
          <w:rFonts w:ascii="Times New Roman" w:cs="Times New Roman" w:eastAsia="Times New Roman" w:hAnsi="Times New Roman"/>
          <w:sz w:val="24"/>
          <w:szCs w:val="24"/>
          <w:rtl w:val="0"/>
        </w:rPr>
        <w:t xml:space="preserve"> (G2G) abarca desde la captura hasta la presentación del contenido en una interfaz. </w:t>
      </w:r>
      <w:r w:rsidDel="00000000" w:rsidR="00000000" w:rsidRPr="00000000">
        <w:rPr>
          <w:rFonts w:ascii="Times New Roman" w:cs="Times New Roman" w:eastAsia="Times New Roman" w:hAnsi="Times New Roman"/>
          <w:i w:val="1"/>
          <w:iCs w:val="1"/>
          <w:sz w:val="24"/>
          <w:szCs w:val="24"/>
          <w:rtl w:val="0"/>
        </w:rPr>
        <w:t xml:space="preserve">Glass-to-Algorithm</w:t>
      </w:r>
      <w:r w:rsidDel="00000000" w:rsidR="00000000" w:rsidRPr="00000000">
        <w:rPr>
          <w:rFonts w:ascii="Times New Roman" w:cs="Times New Roman" w:eastAsia="Times New Roman" w:hAnsi="Times New Roman"/>
          <w:sz w:val="24"/>
          <w:szCs w:val="24"/>
          <w:rtl w:val="0"/>
        </w:rPr>
        <w:t xml:space="preserve"> (G2A) termina cuando el resultado algorítmico asociado a un cuadro queda disponible (Axis Communications AB, 2015; Bachhuber et al., 2018). En una plataforma de alertas, G2A caracteriza un subtramo instrumental por cuadro, donde no incluye por sí solo la asociación temporal, la ventana necesaria para confirmar una condición, el registro de la alerta ni su distribución.</w:t>
      </w:r>
    </w:p>
    <w:p w:rsidR="00000000" w:rsidDel="00000000" w:rsidP="00000000" w:rsidRDefault="00000000" w:rsidRPr="00000000" w14:paraId="000001F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percepción humana aporta una referencia, no una cota universal. Retardos alrededor de 100 ms comienzan a afectar la sensación de inmediatez en tareas interactivas, y diferencias de decenas de milisegundos pueden percibirse en tareas de manipulación directa (Card et al., 2008; Deber et al., 2015). Un sistema de supervisión puede admitir presupuestos mayores según el perfil temporal del riesgo, el tipo de intervención y el papel del operador. La magnitud admisible debe fijarse en el protocolo experimental y relacionarse con la condición evaluada.</w:t>
      </w:r>
    </w:p>
    <w:p w:rsidR="00000000" w:rsidDel="00000000" w:rsidP="00000000" w:rsidRDefault="00000000" w:rsidRPr="00000000" w14:paraId="000001F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total es acumulativa. Captura, suministro de la fuente, transformaciones, copias de memoria e inferencia aportan retardos de naturaleza diferente. Optimizar un componente no garantiza una reducción equivalente del total si otro domina la ruta crítica. Además, una tasa media compatible con tiempo real puede ocultar colas crecientes o episodios de saturación; por eso la medición debe considerar percentiles, backlog y comportamiento sostenido, no sólo el promedio.</w:t>
      </w:r>
    </w:p>
    <w:p w:rsidR="00000000" w:rsidDel="00000000" w:rsidP="00000000" w:rsidRDefault="00000000" w:rsidRPr="00000000" w14:paraId="000001F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buffering ilustra el compromiso central. Una cola o jitter buffer absorbe variaciones y desacopla ritmos entre productor y consumidor, pero cada unidad retenida incrementa el retardo. Es por esto que el diseño debe presupuestar los buffers y declarar sus políticas, ya que eliminarlos indiscriminadamente puede producir pérdidas e inestabilidad, mientras </w:t>
      </w:r>
      <w:r w:rsidDel="00000000" w:rsidR="00000000" w:rsidRPr="00000000">
        <w:rPr>
          <w:rFonts w:ascii="Times New Roman" w:cs="Times New Roman" w:eastAsia="Times New Roman" w:hAnsi="Times New Roman"/>
          <w:sz w:val="24"/>
          <w:szCs w:val="24"/>
          <w:rtl w:val="0"/>
        </w:rPr>
        <w:t xml:space="preserve">sobredimensionarlos</w:t>
      </w:r>
      <w:r w:rsidDel="00000000" w:rsidR="00000000" w:rsidRPr="00000000">
        <w:rPr>
          <w:rFonts w:ascii="Times New Roman" w:cs="Times New Roman" w:eastAsia="Times New Roman" w:hAnsi="Times New Roman"/>
          <w:sz w:val="24"/>
          <w:szCs w:val="24"/>
          <w:rtl w:val="0"/>
        </w:rPr>
        <w:t xml:space="preserve"> convierte un déficit de throughput en latencia acumulada (Axis Communications AB, 2015; Gettys &amp; Nichols, 2012).</w:t>
      </w:r>
    </w:p>
    <w:p w:rsidR="00000000" w:rsidDel="00000000" w:rsidP="00000000" w:rsidRDefault="00000000" w:rsidRPr="00000000" w14:paraId="000001FA">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jbcohay8uq1p" w:id="56"/>
      <w:bookmarkEnd w:id="56"/>
      <w:r w:rsidDel="00000000" w:rsidR="00000000" w:rsidRPr="00000000">
        <w:rPr>
          <w:rFonts w:ascii="Times New Roman" w:cs="Times New Roman" w:eastAsia="Times New Roman" w:hAnsi="Times New Roman"/>
          <w:b w:val="1"/>
          <w:bCs w:val="1"/>
          <w:i w:val="1"/>
          <w:iCs w:val="1"/>
          <w:color w:val="000000"/>
          <w:sz w:val="24"/>
          <w:szCs w:val="24"/>
          <w:rtl w:val="0"/>
        </w:rPr>
        <w:t xml:space="preserve">16.5.2. Descomposición instrumental de Glass-to-Algorithm</w:t>
      </w:r>
    </w:p>
    <w:p w:rsidR="00000000" w:rsidDel="00000000" w:rsidP="00000000" w:rsidRDefault="00000000" w:rsidRPr="00000000" w14:paraId="000001F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una notación consistente con el protocolo experimental, el subtramo G2A se descompone en cuatro componentes observables:</w:t>
      </w:r>
    </w:p>
    <w:p w:rsidR="00000000" w:rsidDel="00000000" w:rsidP="00000000" w:rsidRDefault="00000000" w:rsidRPr="00000000" w14:paraId="000001FC">
      <w:pPr>
        <w:spacing w:after="0" w:before="0" w:line="480" w:lineRule="auto"/>
        <w:ind w:firstLine="720"/>
        <w:rPr>
          <w:rFonts w:ascii="Times New Roman" w:cs="Times New Roman" w:eastAsia="Times New Roman" w:hAnsi="Times New Roman"/>
          <w:sz w:val="24"/>
          <w:szCs w:val="24"/>
        </w:rPr>
      </w:pPr>
      <w:sdt>
        <w:sdtPr>
          <w:id w:val="1972769004"/>
          <w:tag w:val="goog_rdk_5"/>
        </w:sdtPr>
        <w:sdtContent>
          <w:commentRangeStart w:id="5"/>
        </w:sdtContent>
      </w:sdt>
      <w:r w:rsidDel="00000000" w:rsidR="00000000" w:rsidRPr="00000000">
        <w:rPr>
          <w:rFonts w:ascii="Times New Roman" w:cs="Times New Roman" w:eastAsia="Times New Roman" w:hAnsi="Times New Roman"/>
          <w:sz w:val="24"/>
          <w:szCs w:val="24"/>
          <w:rtl w:val="0"/>
        </w:rPr>
        <w:t xml:space="preserve">t_G2A = t_capture + t_transport + t_preprocess + t_inference (1)</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F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t_capture representa la adquisición o lectura del cuadro hasta su disponibilidad para el host o consumidor instrumentado. t_transport comprende el suministro efectivo de la fuente —red, stream o lectura local—, incluidos los buffers y operaciones de entrada/salida que correspondan. t_preprocess agrupa decodificación cuando aplique, conversión de formato, redimensionado, normalización y transferencias de memoria. t_inference mide la ejecución del modelo hasta producir su salida algorítmica. La separación evita introducir renderizado o notificación en una métrica que termina antes de la interfaz (Bachhuber et al., 2018; H. Wang et al., 2022).</w:t>
      </w:r>
    </w:p>
    <w:p w:rsidR="00000000" w:rsidDel="00000000" w:rsidP="00000000" w:rsidRDefault="00000000" w:rsidRPr="00000000" w14:paraId="000001FE">
      <w:pPr>
        <w:spacing w:after="0" w:before="0" w:line="480" w:lineRule="auto"/>
        <w:ind w:firstLine="720"/>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11 sintetiza los cuatro componentes instrumentales y los criterios necesarios para interpretar cada uno.</w:t>
      </w:r>
      <w:r w:rsidDel="00000000" w:rsidR="00000000" w:rsidRPr="00000000">
        <w:rPr>
          <w:rtl w:val="0"/>
        </w:rPr>
      </w:r>
    </w:p>
    <w:p w:rsidR="00000000" w:rsidDel="00000000" w:rsidP="00000000" w:rsidRDefault="00000000" w:rsidRPr="00000000" w14:paraId="000001FF">
      <w:pPr>
        <w:keepNext w:val="1"/>
        <w:keepLines w:val="1"/>
        <w:pageBreakBefore w:val="1"/>
        <w:spacing w:after="0" w:before="0" w:line="48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11</w:t>
      </w:r>
      <w:r w:rsidDel="00000000" w:rsidR="00000000" w:rsidRPr="00000000">
        <w:rPr>
          <w:rtl w:val="0"/>
        </w:rPr>
      </w:r>
    </w:p>
    <w:p w:rsidR="00000000" w:rsidDel="00000000" w:rsidP="00000000" w:rsidRDefault="00000000" w:rsidRPr="00000000" w14:paraId="00000200">
      <w:pPr>
        <w:keepNext w:val="1"/>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Componentes instrumentales del subtramo Glass-to-Algorithm</w:t>
      </w:r>
      <w:r w:rsidDel="00000000" w:rsidR="00000000" w:rsidRPr="00000000">
        <w:rPr>
          <w:rtl w:val="0"/>
        </w:rPr>
      </w:r>
    </w:p>
    <w:tbl>
      <w:tblPr>
        <w:tblStyle w:val="Table10"/>
        <w:tblW w:w="1284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695"/>
        <w:gridCol w:w="4158.333333333334"/>
        <w:gridCol w:w="3776.666666666667"/>
        <w:gridCol w:w="3210"/>
        <w:tblGridChange w:id="0">
          <w:tblGrid>
            <w:gridCol w:w="1695"/>
            <w:gridCol w:w="4158.333333333334"/>
            <w:gridCol w:w="3776.666666666667"/>
            <w:gridCol w:w="3210"/>
          </w:tblGrid>
        </w:tblGridChange>
      </w:tblGrid>
      <w:tr>
        <w:trPr>
          <w:cantSplit w:val="1"/>
          <w:tblHeader w:val="1"/>
        </w:trPr>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1">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Componente</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2">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Definición operativa</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3">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Fuentes principales de variabilidad</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4">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Criterio de interpretación</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t_capture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Captura, lectura o dequeue del cuadro en el punto temporal definido por la instrumentación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Período de cuadro, exposición, ISP y buffering de la fuente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sdt>
              <w:sdtPr>
                <w:id w:val="-476700696"/>
                <w:tag w:val="goog_rdk_6"/>
              </w:sdtPr>
              <w:sdtContent>
                <w:r w:rsidDel="00000000" w:rsidR="00000000" w:rsidRPr="00000000">
                  <w:rPr>
                    <w:rFonts w:ascii="Gungsuh" w:cs="Gungsuh" w:eastAsia="Gungsuh" w:hAnsi="Gungsuh"/>
                    <w:i w:val="0"/>
                    <w:iCs w:val="0"/>
                    <w:color w:val="000000"/>
                    <w:sz w:val="24"/>
                    <w:szCs w:val="24"/>
                    <w:rtl w:val="0"/>
                  </w:rPr>
                  <w:t xml:space="preserve">Debe declararse el origen exacto del timestamp; a 30 fps, un período de cuadro es ≈33,3 ms</w:t>
                </w:r>
              </w:sdtContent>
            </w:sdt>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t_transport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Entrega del cuadro desde la fuente al consumidor del pipeline, por red, stream o I/O local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Jitter, colas, pérdida, retransmisiones, buffers y ritmo de lectura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cola y los percentiles describen mejor la estabilidad que la media aislada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t_preprocess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Preparación de la entrada del modelo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Decodificación, formato de píxel, resize, normalización y movimiento CPU–GPU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Debe medirse por configuración porque las copias de memoria pueden dominar en pipelines acelerados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t_inference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Ejecución del modelo hasta obtener detecciones o resultados equivalentes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Arquitectura, resolución, vocabulario, runtime y hardware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literatura reporta órdenes de 10–30 ms para alternativas one-stage optimizadas y 50–150 ms para Transformers sin optimización equivalente</w:t>
            </w:r>
            <w:r w:rsidDel="00000000" w:rsidR="00000000" w:rsidRPr="00000000">
              <w:rPr>
                <w:rtl w:val="0"/>
              </w:rPr>
            </w:r>
          </w:p>
        </w:tc>
      </w:tr>
    </w:tbl>
    <w:p w:rsidR="00000000" w:rsidDel="00000000" w:rsidP="00000000" w:rsidRDefault="00000000" w:rsidRPr="00000000" w14:paraId="00000215">
      <w:pPr>
        <w:keepLines w:val="1"/>
        <w:spacing w:after="0" w:before="0" w:line="480" w:lineRule="auto"/>
        <w:ind w:left="0" w:right="0" w:firstLine="0"/>
        <w:rPr>
          <w:rFonts w:ascii="Times New Roman" w:cs="Times New Roman" w:eastAsia="Times New Roman" w:hAnsi="Times New Roman"/>
          <w:i w:val="0"/>
          <w:iCs w:val="0"/>
          <w:color w:val="000000"/>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Los rangos son referencias contextuales y no garantías. G2A no equivale a latencia de alerta: el seguimiento, el razonamiento, la ventana de persistencia y la distribución pertenecen a tramos posteriores. Fuente: elaboración propia basada en Axis Communications AB (2015), Bachhuber et al. (2018), Cheng et al. (2024), H. Wang et al. (2022) y Ren, Jiang, et al. (2024).</w:t>
      </w:r>
    </w:p>
    <w:p w:rsidR="00000000" w:rsidDel="00000000" w:rsidP="00000000" w:rsidRDefault="00000000" w:rsidRPr="00000000" w14:paraId="00000216">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captura está condicionada por el ritmo de origen. A 30 fps, el período entre cuadros es de aproximadamente 33,3 ms, aunque el punto de observación puede encontrarse después de exposición, procesamiento interno o buffers de cámara. Por ello, “captura” no debe suponerse equivalente al instante físico en que la luz alcanza el sensor.</w:t>
      </w:r>
    </w:p>
    <w:p w:rsidR="00000000" w:rsidDel="00000000" w:rsidP="00000000" w:rsidRDefault="00000000" w:rsidRPr="00000000" w14:paraId="0000021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transporte es el componente más expuesto a variación externa. Propagación y procesamiento de red suelen ser relativamente estables, mientras que el encolado, el jitter y las retransmisiones dependen de la carga. En una fuente local, el término sigue existiendo como costo de lectura, demultiplexado o buffering. Lo que compromete el tiempo real no es sólo un valor medio elevado, sino una cola que crece porque el consumidor procesa por debajo del ritmo de entrada. Percentiles y ocupación de cola permiten distinguir un episodio aislado de un déficit sostenido (Gettys &amp; Nichols, 2012; Kurose &amp; Ross, 2021).</w:t>
      </w:r>
    </w:p>
    <w:p w:rsidR="00000000" w:rsidDel="00000000" w:rsidP="00000000" w:rsidRDefault="00000000" w:rsidRPr="00000000" w14:paraId="0000021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preprocesamiento debe incluir todas las transformaciones efectivamente ejecutadas antes del modelo. La decodificación, la conversión de color, el redimensionado, la normalización y las transferencias CPU–GPU pueden constituir una fracción relevante, especialmente cuando se introducen copias intermedias. Agruparlas bajo un término explícito evita atribuir a la inferencia demoras que pertenecen a la preparación de datos.</w:t>
      </w:r>
    </w:p>
    <w:p w:rsidR="00000000" w:rsidDel="00000000" w:rsidP="00000000" w:rsidRDefault="00000000" w:rsidRPr="00000000" w14:paraId="00000219">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inferencia depende de arquitectura, resolución, número de consultas, runtime y hardware. Los rangos publicados para alternativas one-stage optimizadas y Transformers no optimizados son órdenes de magnitud obtenidos en configuraciones heterogéneas, por lo que no deben trasladarse como predicción. La medición por componentes permite identificar si una configuración está limitada por el modelo, por la fuente o por el movimiento de datos, y separa el costo por cuadro de la confirmación temporal de una alerta.</w:t>
      </w:r>
    </w:p>
    <w:p w:rsidR="00000000" w:rsidDel="00000000" w:rsidP="00000000" w:rsidRDefault="00000000" w:rsidRPr="00000000" w14:paraId="0000021A">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límites deben ser observables y utilizar un dominio temporal coherente. Cuando el origen no expone el instante físico de captura, t_capture comienza en el punto más temprano que la aplicación puede medir y esa convención debe declararse. Los timestamps de CPU y acelerador tampoco son intercambiables sin sincronización: una operación asíncrona puede parecer concluida antes de que el dispositivo haya terminado el trabajo. Por ello, los límites de t_preprocess y t_inference deben definirse con las barreras o sincronizaciones que correspondan al runtime (H. Wang et al., 2022).</w:t>
      </w:r>
    </w:p>
    <w:p w:rsidR="00000000" w:rsidDel="00000000" w:rsidP="00000000" w:rsidRDefault="00000000" w:rsidRPr="00000000" w14:paraId="0000021B">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ecuación expresa el recorrido temporal de una unidad, pero no implica que la tasa de procesamiento sea el inverso de esa latencia. En un pipeline, distintas etapas pueden solaparse. Por ejemplo, mientras un cuadro se infiere, otro puede estar siendo capturado o preparado. El throughput describe cuántas unidades se completan por unidad de tiempo, mientras que la latencia describe cuánto tarda una unidad desde su origen hasta su salida. Para localizar cuellos de botella deben medirse ambos y evitarse sumas de promedios obtenidos sobre corridas o poblaciones diferentes (Bachhuber et al., 2018; Bass et al., 2022).</w:t>
      </w:r>
    </w:p>
    <w:p w:rsidR="00000000" w:rsidDel="00000000" w:rsidP="00000000" w:rsidRDefault="00000000" w:rsidRPr="00000000" w14:paraId="0000021C">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reporte reproducible debe declarar período de calentamiento, tamaño de lote, resolución, vocabulario o número de consultas, precisión numérica, runtime, fuente de video y política de colas. Además del tamaño muestral y la tendencia central, conviene informar percentiles de latencia, cuadros descartados, ocupación máxima de cola y throughput s</w:t>
      </w:r>
      <w:r w:rsidDel="00000000" w:rsidR="00000000" w:rsidRPr="00000000">
        <w:rPr>
          <w:rFonts w:ascii="Times New Roman" w:cs="Times New Roman" w:eastAsia="Times New Roman" w:hAnsi="Times New Roman"/>
          <w:color w:val="000000"/>
          <w:sz w:val="24"/>
          <w:szCs w:val="24"/>
          <w:rtl w:val="0"/>
        </w:rPr>
        <w:t xml:space="preserve">ostenido. Estas variables permiten </w:t>
      </w:r>
      <w:r w:rsidDel="00000000" w:rsidR="00000000" w:rsidRPr="00000000">
        <w:rPr>
          <w:rFonts w:ascii="Times New Roman" w:cs="Times New Roman" w:eastAsia="Times New Roman" w:hAnsi="Times New Roman"/>
          <w:sz w:val="24"/>
          <w:szCs w:val="24"/>
          <w:rtl w:val="0"/>
        </w:rPr>
        <w:t xml:space="preserve">distinguir la variación</w:t>
      </w:r>
      <w:r w:rsidDel="00000000" w:rsidR="00000000" w:rsidRPr="00000000">
        <w:rPr>
          <w:rFonts w:ascii="Times New Roman" w:cs="Times New Roman" w:eastAsia="Times New Roman" w:hAnsi="Times New Roman"/>
          <w:color w:val="000000"/>
          <w:sz w:val="24"/>
          <w:szCs w:val="24"/>
          <w:rtl w:val="0"/>
        </w:rPr>
        <w:t xml:space="preserve"> o</w:t>
      </w:r>
      <w:r w:rsidDel="00000000" w:rsidR="00000000" w:rsidRPr="00000000">
        <w:rPr>
          <w:rFonts w:ascii="Times New Roman" w:cs="Times New Roman" w:eastAsia="Times New Roman" w:hAnsi="Times New Roman"/>
          <w:sz w:val="24"/>
          <w:szCs w:val="24"/>
          <w:rtl w:val="0"/>
        </w:rPr>
        <w:t xml:space="preserve">casional de saturación sistemática y vincular el resultado global con el componente que la produce (Gettys &amp; Nichols, 2012).</w:t>
      </w:r>
    </w:p>
    <w:p w:rsidR="00000000" w:rsidDel="00000000" w:rsidP="00000000" w:rsidRDefault="00000000" w:rsidRPr="00000000" w14:paraId="0000021D">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16.5.3. Separación de planos y flujo productor-consumidor</w:t>
      </w:r>
    </w:p>
    <w:p w:rsidR="00000000" w:rsidDel="00000000" w:rsidP="00000000" w:rsidRDefault="00000000" w:rsidRPr="00000000" w14:paraId="0000021E">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análisis continuo resulta útil distinguir una ruta de datos —captura, transformación e inferencia— de una ruta de control que administra configuración, eventos y coordinación. La separación deriva de patrones de planos de datos y control y permite optimizar el flujo continuo sin bloquearlo con operaciones discretas de gobierno o notificación (Kreutz et al., 2015). No prescribe una distribución física ni una tecnología particular, lo que implica que ambos planos pueden coexistir en un host o distribuirse cuando el diseño lo justifique.</w:t>
      </w:r>
    </w:p>
    <w:p w:rsidR="00000000" w:rsidDel="00000000" w:rsidP="00000000" w:rsidRDefault="00000000" w:rsidRPr="00000000" w14:paraId="0000021F">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de datos prioriza throughput sostenido, latencia acotada y un orden definido de transformaciones. La ruta de control procesa comandos, cambios de configuración y eventos a ritmos no necesariamente ligados a la tasa de cuadros. Mantener responsabilidades diferenciadas facilita aislar cuellos de botella y evita que una operación de registro o notificación bloquee la recepción del siguiente cuadro (Bass et al., 2022). </w:t>
      </w:r>
    </w:p>
    <w:p w:rsidR="00000000" w:rsidDel="00000000" w:rsidP="00000000" w:rsidRDefault="00000000" w:rsidRPr="00000000" w14:paraId="00000220">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crítica puede modelarse como una cadena productor-consumidor. Cada etapa produce unidades que la siguiente consume, siendo que, cuando el productor supera sostenidamente la capacidad del consumidor, una cola sin límite convierte el déficit de throughput en latencia creciente. Las colas acotadas, la contrapresión y las políticas explícitas de descarte, muestreo o sustitución permiten mantener el sistema observable. La política adecuada depende de la semántica: conservar todas las unidades puede ser necesario para relectura reproducible, mientras que una ruta viva puede priorizar evidencia reciente para evitar procesar cuadros obsoletos.</w:t>
      </w:r>
    </w:p>
    <w:p w:rsidR="00000000" w:rsidDel="00000000" w:rsidP="00000000" w:rsidRDefault="00000000" w:rsidRPr="00000000" w14:paraId="00000221">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desacoplamiento no elimina la necesidad de medir. Deben observarse ritmo de producción, ritmo de consumo, ocupación de cola, unidades descartadas y tiempo de residencia. Un sistema que reporta FPS aceptables pero acumula backlog no opera en tiempo real; simplemente procesa con retraso.</w:t>
      </w:r>
    </w:p>
    <w:p w:rsidR="00000000" w:rsidDel="00000000" w:rsidP="00000000" w:rsidRDefault="00000000" w:rsidRPr="00000000" w14:paraId="00000222">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eventos discretos, el patrón publish/subscribe separa productores y consumidores: el emisor publica sin conocer todos los destinos y cada suscriptor procesa los tipos de evento pertinentes. Conviene distinguir tres responsabilidades: el transporte en ejecución entrega eventos a consumidores activos, la persistencia conserva hechos para relectura o auditoría y la distribución externa comunica una alerta. Un bus puede desacoplar componentes, pero no garantiza por sí mismo que los eventos sobrevivan a una desconexión, ya que la durabilidad requiere un repositorio o una política de retención independiente de la mensajería en vivo (Cugola &amp; Margara, 2012).</w:t>
      </w:r>
    </w:p>
    <w:p w:rsidR="00000000" w:rsidDel="00000000" w:rsidP="00000000" w:rsidRDefault="00000000" w:rsidRPr="00000000" w14:paraId="00000223">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garantías de entrega también forman parte del contrato conceptual. Una entrega al menos una vez puede producir reenvíos y, por lo tanto, duplicados, mientras que una entrega como máximo una vez puede perder mensajes y exactamente una vez exige coordinación adicional. Cuando una alerta no debe producir efectos repetidos, el evento necesita una identidad estable y el consumidor debe procesarlo de manera idempotente. MQTT QoS 1 ejemplifica la primera semántica mediante confirmación, sin convertirla en una garantía de ausencia de duplicados (OASIS, 2019).</w:t>
      </w:r>
    </w:p>
    <w:p w:rsidR="00000000" w:rsidDel="00000000" w:rsidP="00000000" w:rsidRDefault="00000000" w:rsidRPr="00000000" w14:paraId="00000224">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16.5.4. Computación en el borde y filtrado cercano al origen</w:t>
      </w:r>
    </w:p>
    <w:p w:rsidR="00000000" w:rsidDel="00000000" w:rsidP="00000000" w:rsidRDefault="00000000" w:rsidRPr="00000000" w14:paraId="00000225">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utiliza edge, fog y cloud con fronteras variables. En este trabajo, edge designa cómputo en el dispositivo, gateway inmediato o servidor próximo a la fuente, fog una</w:t>
      </w:r>
      <w:r w:rsidDel="00000000" w:rsidR="00000000" w:rsidRPr="00000000">
        <w:rPr>
          <w:rFonts w:ascii="Times New Roman" w:cs="Times New Roman" w:eastAsia="Times New Roman" w:hAnsi="Times New Roman"/>
          <w:color w:val="000000"/>
          <w:sz w:val="24"/>
          <w:szCs w:val="24"/>
          <w:rtl w:val="0"/>
        </w:rPr>
        <w:t xml:space="preserve"> capa intermedia de agregación cercana o regional y cloud </w:t>
      </w:r>
      <w:r w:rsidDel="00000000" w:rsidR="00000000" w:rsidRPr="00000000">
        <w:rPr>
          <w:rFonts w:ascii="Times New Roman" w:cs="Times New Roman" w:eastAsia="Times New Roman" w:hAnsi="Times New Roman"/>
          <w:sz w:val="24"/>
          <w:szCs w:val="24"/>
          <w:rtl w:val="0"/>
        </w:rPr>
        <w:t xml:space="preserve">centros de datos centralizados (Iorga et al., 2018; Yousefpour et al., 2019). La convención permite describir tres patrones: procesamiento en el dispositivo, procesamiento en un nodo cercano y partición colaborativa entre niveles (Chen &amp; Ran, 2019).</w:t>
      </w:r>
    </w:p>
    <w:p w:rsidR="00000000" w:rsidDel="00000000" w:rsidP="00000000" w:rsidRDefault="00000000" w:rsidRPr="00000000" w14:paraId="00000226">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Acercar cómputo al origen puede reducir ida y vuelta de red, ancho de banda y exposición de video crudo, pero introduce límites de memoria, energía y temperatura (Satyanarayanan, 2017; Shi et al., 2016). La nube ofrece elasticidad y recursos centralizados, aunque depende </w:t>
      </w:r>
      <w:r w:rsidDel="00000000" w:rsidR="00000000" w:rsidRPr="00000000">
        <w:rPr>
          <w:rFonts w:ascii="Times New Roman" w:cs="Times New Roman" w:eastAsia="Times New Roman" w:hAnsi="Times New Roman"/>
          <w:sz w:val="24"/>
          <w:szCs w:val="24"/>
          <w:rtl w:val="0"/>
        </w:rPr>
        <w:t xml:space="preserve">de conectividad</w:t>
      </w:r>
      <w:r w:rsidDel="00000000" w:rsidR="00000000" w:rsidRPr="00000000">
        <w:rPr>
          <w:rFonts w:ascii="Times New Roman" w:cs="Times New Roman" w:eastAsia="Times New Roman" w:hAnsi="Times New Roman"/>
          <w:sz w:val="24"/>
          <w:szCs w:val="24"/>
          <w:rtl w:val="0"/>
        </w:rPr>
        <w:t xml:space="preserve"> y amplía el recorrido del dato. Una capa </w:t>
      </w:r>
      <w:r w:rsidDel="00000000" w:rsidR="00000000" w:rsidRPr="00000000">
        <w:rPr>
          <w:rFonts w:ascii="Times New Roman" w:cs="Times New Roman" w:eastAsia="Times New Roman" w:hAnsi="Times New Roman"/>
          <w:sz w:val="24"/>
          <w:szCs w:val="24"/>
          <w:rtl w:val="0"/>
        </w:rPr>
        <w:t xml:space="preserve">fog</w:t>
      </w:r>
      <w:r w:rsidDel="00000000" w:rsidR="00000000" w:rsidRPr="00000000">
        <w:rPr>
          <w:rFonts w:ascii="Times New Roman" w:cs="Times New Roman" w:eastAsia="Times New Roman" w:hAnsi="Times New Roman"/>
          <w:sz w:val="24"/>
          <w:szCs w:val="24"/>
          <w:rtl w:val="0"/>
        </w:rPr>
        <w:t xml:space="preserve"> puede agregar varias fuentes, aplicar políticas o resumir información antes de enviarla a niveles superiores. Ningún nivel es intrínsecamente superior y su conveniencia depende del tramo que se desplace y de la carga sostenida.</w:t>
      </w:r>
    </w:p>
    <w:p w:rsidR="00000000" w:rsidDel="00000000" w:rsidP="00000000" w:rsidRDefault="00000000" w:rsidRPr="00000000" w14:paraId="00000227">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 operación cercana al sensor equivale a </w:t>
      </w:r>
      <w:r w:rsidDel="00000000" w:rsidR="00000000" w:rsidRPr="00000000">
        <w:rPr>
          <w:rFonts w:ascii="Times New Roman" w:cs="Times New Roman" w:eastAsia="Times New Roman" w:hAnsi="Times New Roman"/>
          <w:sz w:val="24"/>
          <w:szCs w:val="24"/>
          <w:rtl w:val="0"/>
        </w:rPr>
        <w:t xml:space="preserve">inferencia</w:t>
      </w:r>
      <w:r w:rsidDel="00000000" w:rsidR="00000000" w:rsidRPr="00000000">
        <w:rPr>
          <w:rFonts w:ascii="Times New Roman" w:cs="Times New Roman" w:eastAsia="Times New Roman" w:hAnsi="Times New Roman"/>
          <w:sz w:val="24"/>
          <w:szCs w:val="24"/>
          <w:rtl w:val="0"/>
        </w:rPr>
        <w:t xml:space="preserve"> completa en el borde. Una cámara inteligente puede ejecutar adquisición, filtrado, selección de cuadros, conversión o preprocesamiento y enviar sólo las unidades necesarias al consumidor principal. Este reparto reduce el consumo aguas abajo sin atribuir al dispositivo capacidades de detección que no ejecuta. La distinción es importante para analizar gateways y cámaras programables sin confundir prefiltrado con despliegue integral del modelo.</w:t>
      </w:r>
    </w:p>
    <w:p w:rsidR="00000000" w:rsidDel="00000000" w:rsidP="00000000" w:rsidRDefault="00000000" w:rsidRPr="00000000" w14:paraId="00000228">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video analytics, filtrar o resumir cerca del origen disminuye tráfico y carga posterior. Ananthanarayanan et al. (2017) muestran que procesar cerca de las cámaras permite reducir el ancho de banda y distribuir recursos en cargas de video a escala. En un prototipo, el mismo principio puede evaluarse de forma acotada, midiendocuánto trabajo se ejecuta antes del host, qué evidencia se descarta y qué impacto tiene esa decisión sobre calidad y latencia.</w:t>
      </w:r>
    </w:p>
    <w:p w:rsidR="00000000" w:rsidDel="00000000" w:rsidP="00000000" w:rsidRDefault="00000000" w:rsidRPr="00000000" w14:paraId="00000229">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partición debe evaluarse por latencia, throughput, privacidad, capacidad sostenida y reproducibilidad. Métricas nominales como TOPS no bastan para anticipar el comportamiento de una aplicación. Bajo carga prolongada, límites térmicos, memoria compartida y variaciones del runtime pueden degradar el ritmo; por ello, los percentiles de latencia, el uso de memoria, el throughput efectivo y los eventos de saturación resultan más informativos que un máximo instantáneo (Satyanarayanan, 2017; Shi et al., 2016). La decisión de ejecutar inferencia en el borde, en un host cercano o en infraestructura remota debe mantenerse separada de la decisión de filtrar cerca del origen.</w:t>
      </w:r>
    </w:p>
    <w:p w:rsidR="00000000" w:rsidDel="00000000" w:rsidP="00000000" w:rsidRDefault="00000000" w:rsidRPr="00000000" w14:paraId="0000022A">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filtrado cercano al origen introduce, a su vez, un compromiso metodológico. Seleccionar cuadros, reducir resolución, limitar regiones o descartar unidades disminuye carga y ancho de banda, pero modifica la evidencia que recibe el detector y puede afectar la continuidad temporal. Por ello, la política de prefiltrado debe declararse junto con la fuente y conservar parámetros suficientes para reproducirla.</w:t>
      </w:r>
    </w:p>
    <w:p w:rsidR="00000000" w:rsidDel="00000000" w:rsidP="00000000" w:rsidRDefault="00000000" w:rsidRPr="00000000" w14:paraId="0000022B">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Desplazar procesamiento hacia la fuente puede reducir la transmisión de video crudo, pero no elimina por sí mismo el tratamiento de datos personales. Metadatos temporales, zonas, trayectorias y recortes pueden mantener capacidad de identificación indirecta, por lo que la minimización debe evaluarse sobre el conjunto de datos producido y no únicamente sobre la ubicación física del cómputo (European Data Protection Board, 2020).</w:t>
      </w:r>
    </w:p>
    <w:p w:rsidR="00000000" w:rsidDel="00000000" w:rsidP="00000000" w:rsidRDefault="00000000" w:rsidRPr="00000000" w14:paraId="0000022C">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16.5.5. Brecha de evaluación integrada</w:t>
      </w:r>
    </w:p>
    <w:p w:rsidR="00000000" w:rsidDel="00000000" w:rsidP="00000000" w:rsidRDefault="00000000" w:rsidRPr="00000000" w14:paraId="0000022D">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fuentes principales de investigación caracterizan por separado protocolos, códecs, hardware y modelos de inferencia, pero no ofrecen un marco universal para presupuestar la latencia extremo a extremo de un pipeline que integra detección open-vocabulary. Los resultados aislados sólo funcionan como referencias externas; la adecuación debe verificarse mediante instrumentación del sistema completo y una definición explícita del tramo medido. Esta brecha se corresponde con la identificada en la sección 15.4.3.1 y fundamenta la necesidad de un pro</w:t>
      </w:r>
      <w:r w:rsidDel="00000000" w:rsidR="00000000" w:rsidRPr="00000000">
        <w:rPr>
          <w:rFonts w:ascii="Times New Roman" w:cs="Times New Roman" w:eastAsia="Times New Roman" w:hAnsi="Times New Roman"/>
          <w:color w:val="000000"/>
          <w:sz w:val="24"/>
          <w:szCs w:val="24"/>
          <w:rtl w:val="0"/>
        </w:rPr>
        <w:t xml:space="preserve">tocolo reproducible sin anticipar la s</w:t>
      </w:r>
      <w:r w:rsidDel="00000000" w:rsidR="00000000" w:rsidRPr="00000000">
        <w:rPr>
          <w:rFonts w:ascii="Times New Roman" w:cs="Times New Roman" w:eastAsia="Times New Roman" w:hAnsi="Times New Roman"/>
          <w:sz w:val="24"/>
          <w:szCs w:val="24"/>
          <w:rtl w:val="0"/>
        </w:rPr>
        <w:t xml:space="preserve">elección del stack.</w:t>
      </w:r>
    </w:p>
    <w:p w:rsidR="00000000" w:rsidDel="00000000" w:rsidP="00000000" w:rsidRDefault="00000000" w:rsidRPr="00000000" w14:paraId="0000022E">
      <w:pPr>
        <w:pStyle w:val="Heading2"/>
        <w:spacing w:after="0" w:before="0" w:line="480" w:lineRule="auto"/>
        <w:rPr>
          <w:rFonts w:ascii="Times New Roman" w:cs="Times New Roman" w:eastAsia="Times New Roman" w:hAnsi="Times New Roman"/>
          <w:b w:val="1"/>
          <w:bCs w:val="1"/>
          <w:sz w:val="24"/>
          <w:szCs w:val="24"/>
        </w:rPr>
      </w:pPr>
      <w:sdt>
        <w:sdtPr>
          <w:id w:val="-1591356815"/>
          <w:tag w:val="goog_rdk_7"/>
        </w:sdtPr>
        <w:sdtContent>
          <w:commentRangeStart w:id="6"/>
        </w:sdtContent>
      </w:sdt>
      <w:r w:rsidDel="00000000" w:rsidR="00000000" w:rsidRPr="00000000">
        <w:rPr>
          <w:rFonts w:ascii="Times New Roman" w:cs="Times New Roman" w:eastAsia="Times New Roman" w:hAnsi="Times New Roman"/>
          <w:b w:val="1"/>
          <w:bCs w:val="1"/>
          <w:sz w:val="24"/>
          <w:szCs w:val="24"/>
          <w:rtl w:val="0"/>
        </w:rPr>
        <w:t xml:space="preserve">16.6. Marco ético-legal para el análisis automatizado de video en entornos laborales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2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automatizado de video en entornos laborales introduce restricciones que exceden el desempeño técnico del sistema. Las imágenes pueden constituir datos personales y las salidas de un modelo de inteligencia artificial pueden influir en la evaluación de situaciones que involucran a trabajadores. Por ello, el marco ético-legal se concentra en las condiciones de contorno relevantes para un uso preventivo y asistivo: finalidad determinada, minimización de datos, seguridad, transparencia, ausencia de identificación biométrica, supervisión humana y trazabilidad. Estos principios delimitan el tratamiento de la información y la interpretación de las alertas, sin convertir una observación visual en una determinación normativa sobre una persona (Organisation for Economic Co-operation and Development, 2019; UNESCO, 2021).</w:t>
      </w:r>
    </w:p>
    <w:p w:rsidR="00000000" w:rsidDel="00000000" w:rsidP="00000000" w:rsidRDefault="00000000" w:rsidRPr="00000000" w14:paraId="00000230">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16.6.1. Protección de datos y finalidad del tratamiento</w:t>
      </w:r>
    </w:p>
    <w:p w:rsidR="00000000" w:rsidDel="00000000" w:rsidP="00000000" w:rsidRDefault="00000000" w:rsidRPr="00000000" w14:paraId="0000023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la Ley 25.326 considera dato personal a la información referida a personas determinadas o determinables. En consecuencia, un flujo de video puede quedar comprendido en el régimen de protección de datos aun cuando el análisis no utilice reconocimiento facial: la imagen y su combinación con elementos contextuales —como tiempo, ubicación o secuencia de observaciones— pueden permitir una identificación directa o indirecta (Agencia de Acceso a la Información Pública, s. f.-a; Argentina, 2000).</w:t>
      </w:r>
    </w:p>
    <w:p w:rsidR="00000000" w:rsidDel="00000000" w:rsidP="00000000" w:rsidRDefault="00000000" w:rsidRPr="00000000" w14:paraId="0000023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finalidad preventiva no elimina estas exigencias. La recolección y el uso de imágenes deben responder a un propósito definido y conservar una relación de proporcionalidad con él, evitando datos o usos que resulten innecesarios para la función declarada. En materia de videovigilancia, la Disposición 10/2015 aplica estos principios mediante pautas de información al titular, definición de responsabilidades y documentación de las condiciones de tratamiento, acceso, seguridad y conservación (Argentina, 2000, 2015). De este modo, la captación de video se entiende como un tratamiento delimitado y no como una fuente de información reutilizable sin restricciones para finalidades distintas.</w:t>
      </w:r>
    </w:p>
    <w:p w:rsidR="00000000" w:rsidDel="00000000" w:rsidP="00000000" w:rsidRDefault="00000000" w:rsidRPr="00000000" w14:paraId="00000233">
      <w:pPr>
        <w:spacing w:after="0" w:before="0" w:line="480" w:lineRule="auto"/>
        <w:ind w:firstLine="720"/>
        <w:rPr>
          <w:rFonts w:ascii="Times New Roman" w:cs="Times New Roman" w:eastAsia="Times New Roman" w:hAnsi="Times New Roman"/>
          <w:sz w:val="24"/>
          <w:szCs w:val="24"/>
        </w:rPr>
      </w:pPr>
      <w:sdt>
        <w:sdtPr>
          <w:id w:val="731292398"/>
          <w:tag w:val="goog_rdk_8"/>
        </w:sdtPr>
        <w:sdtContent>
          <w:commentRangeStart w:id="7"/>
        </w:sdtContent>
      </w:sdt>
      <w:sdt>
        <w:sdtPr>
          <w:id w:val="597030124"/>
          <w:tag w:val="goog_rdk_9"/>
        </w:sdtPr>
        <w:sdtContent>
          <w:commentRangeStart w:id="8"/>
        </w:sdtContent>
      </w:sdt>
      <w:sdt>
        <w:sdtPr>
          <w:id w:val="2098364794"/>
          <w:tag w:val="goog_rdk_10"/>
        </w:sdtPr>
        <w:sdtContent>
          <w:commentRangeStart w:id="9"/>
        </w:sdtContent>
      </w:sdt>
      <w:sdt>
        <w:sdtPr>
          <w:id w:val="398913410"/>
          <w:tag w:val="goog_rdk_11"/>
        </w:sdtPr>
        <w:sdtContent>
          <w:commentRangeStart w:id="10"/>
        </w:sdtContent>
      </w:sdt>
      <w:r w:rsidDel="00000000" w:rsidR="00000000" w:rsidRPr="00000000">
        <w:rPr>
          <w:rFonts w:ascii="Times New Roman" w:cs="Times New Roman" w:eastAsia="Times New Roman" w:hAnsi="Times New Roman"/>
          <w:sz w:val="24"/>
          <w:szCs w:val="24"/>
          <w:rtl w:val="0"/>
        </w:rPr>
        <w:t xml:space="preserve">La normativa específica contempla además requisitos administrativos asociados a las bases de datos de videovigilancia. Su aplicabilidad al contexto experimental se mantiene como una decisión pendiente del equipo, por lo que no corresponde asumirla ni descartarla en esta instancia (Agencia de Acceso a la Información Pública, s. f.-b).</w:t>
      </w:r>
    </w:p>
    <w:p w:rsidR="00000000" w:rsidDel="00000000" w:rsidP="00000000" w:rsidRDefault="00000000" w:rsidRPr="00000000" w14:paraId="00000234">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35">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16.6.2. Minimización, seguridad y exclusión de identificación personal</w:t>
      </w:r>
    </w:p>
    <w:p w:rsidR="00000000" w:rsidDel="00000000" w:rsidP="00000000" w:rsidRDefault="00000000" w:rsidRPr="00000000" w14:paraId="0000023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minimización debe evaluarse sobre el conjunto de información que produce el sistema y no únicamente sobre el video original. Recortes de imagen, marcas temporales, zonas, trayectorias internas, alertas y registros pueden conservar capacidad de identificación indirecta o ampliar el alcance del tratamiento. Por ello, la captación, la persistencia y la conservación de evidencias deben limitarse a aquello que resulte necesario para la finalidad preventiva, con criterios explícitos de retención y eliminación (Argentina, 2000; European Data Protection Board, 2020).</w:t>
      </w:r>
    </w:p>
    <w:p w:rsidR="00000000" w:rsidDel="00000000" w:rsidP="00000000" w:rsidRDefault="00000000" w:rsidRPr="00000000" w14:paraId="0000023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protección de la información exige, además, medidas técnicas y organizativas proporcionales al riesgo del tratamiento. Para este marco resulta suficiente retener que el acceso a imágenes y registros debe estar restringido, su almacenamiento y transmisión deben protegerse frente a usos no autorizados y la conservación no debe extenderse indefinidamente sin una finalidad que la justifique (Argentina, 2006; European Data Protection Board, 2020). La selección concreta de controles no modifica el principio general de reducir exposición y superficie de acceso.</w:t>
      </w:r>
    </w:p>
    <w:p w:rsidR="00000000" w:rsidDel="00000000" w:rsidP="00000000" w:rsidRDefault="00000000" w:rsidRPr="00000000" w14:paraId="0000023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también entre el tratamiento de imágenes y la identificación biométrica. Una imagen puede constituir un dato personal sin que exista reconocimiento facial. El tratamiento adquiere carácter biométrico cuando se procesan características físicas o fisiológicas con el propósito de identificar de manera unívoca a una persona (European Data Protection Board, 2020). En consecuencia, la detección de personas, elementos de protección o condiciones observables, así como el uso de identificadores temporales internos para mantener continuidad dentro de una secuencia, no requieren atribuir identidad civil ni incorporar mecanismos de reconocimiento personal.</w:t>
      </w:r>
    </w:p>
    <w:p w:rsidR="00000000" w:rsidDel="00000000" w:rsidP="00000000" w:rsidRDefault="00000000" w:rsidRPr="00000000" w14:paraId="00000239">
      <w:pPr>
        <w:pStyle w:val="Heading3"/>
        <w:spacing w:after="0" w:before="0" w:line="480" w:lineRule="auto"/>
        <w:rPr>
          <w:rFonts w:ascii="Times New Roman" w:cs="Times New Roman" w:eastAsia="Times New Roman" w:hAnsi="Times New Roman"/>
          <w:b w:val="1"/>
          <w:bCs w:val="1"/>
          <w:sz w:val="24"/>
          <w:szCs w:val="24"/>
        </w:rPr>
      </w:pPr>
      <w:bookmarkStart w:colFirst="0" w:colLast="0" w:name="_heading=h.xun60u9fsus3" w:id="57"/>
      <w:bookmarkEnd w:id="57"/>
      <w:r w:rsidDel="00000000" w:rsidR="00000000" w:rsidRPr="00000000">
        <w:rPr>
          <w:rFonts w:ascii="Times New Roman" w:cs="Times New Roman" w:eastAsia="Times New Roman" w:hAnsi="Times New Roman"/>
          <w:b w:val="1"/>
          <w:bCs w:val="1"/>
          <w:sz w:val="24"/>
          <w:szCs w:val="24"/>
          <w:rtl w:val="0"/>
        </w:rPr>
        <w:t xml:space="preserve">16.6.3. Supervisión humana, trazabilidad y alcance asistivo</w:t>
      </w:r>
    </w:p>
    <w:p w:rsidR="00000000" w:rsidDel="00000000" w:rsidP="00000000" w:rsidRDefault="00000000" w:rsidRPr="00000000" w14:paraId="0000023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marcos de gobernanza de inteligencia artificial enfatizan la supervisión humana, la rendición de cuentas y la comunicación comprensible de las limitaciones del sistema. En un contexto de seguridad laboral, una alerta algorítmica debe interpretarse como evidencia para revisión y no como una decisión autónoma sobre cumplimiento, conducta o responsabilidad de una persona. La incertidumbre, los falsos positivos y los falsos negativos forman parte de las limitaciones que deben permanecer visibles para quien utiliza la salida del sistema (ISO, 2023; Organisation for Economic Co-operation and Development, 2019; UNESCO, 2021).</w:t>
      </w:r>
    </w:p>
    <w:p w:rsidR="00000000" w:rsidDel="00000000" w:rsidP="00000000" w:rsidRDefault="00000000" w:rsidRPr="00000000" w14:paraId="0000023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trazabilidad complementa ese carácter </w:t>
      </w:r>
      <w:r w:rsidDel="00000000" w:rsidR="00000000" w:rsidRPr="00000000">
        <w:rPr>
          <w:rFonts w:ascii="Times New Roman" w:cs="Times New Roman" w:eastAsia="Times New Roman" w:hAnsi="Times New Roman"/>
          <w:sz w:val="24"/>
          <w:szCs w:val="24"/>
          <w:rtl w:val="0"/>
        </w:rPr>
        <w:t xml:space="preserve">asistivo</w:t>
      </w:r>
      <w:r w:rsidDel="00000000" w:rsidR="00000000" w:rsidRPr="00000000">
        <w:rPr>
          <w:rFonts w:ascii="Times New Roman" w:cs="Times New Roman" w:eastAsia="Times New Roman" w:hAnsi="Times New Roman"/>
          <w:sz w:val="24"/>
          <w:szCs w:val="24"/>
          <w:rtl w:val="0"/>
        </w:rPr>
        <w:t xml:space="preserve">. Versiones de modelos y configuraciones, criterios de inferencia y registros suficientes para reconstruir el origen de una alerta permiten auditar resultados inesperados sin asumir que la predicción sea correcta. Así, el marco ético-legal condiciona qué información se procesa, cuánto se conserva y con qué alcance se interpreta una alerta. Estas restricciones se integran con las brechas técnicas en la sección 16.7 (ISO, 2023; Organisation for Economic Co-operation and Development, 2019).</w:t>
      </w:r>
    </w:p>
    <w:p w:rsidR="00000000" w:rsidDel="00000000" w:rsidP="00000000" w:rsidRDefault="00000000" w:rsidRPr="00000000" w14:paraId="0000023C">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16.7. Convergencias y preguntas rectoras</w:t>
      </w:r>
    </w:p>
    <w:p w:rsidR="00000000" w:rsidDel="00000000" w:rsidP="00000000" w:rsidRDefault="00000000" w:rsidRPr="00000000" w14:paraId="0000023D">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16.7.1. Interdependencia de los dominios</w:t>
      </w:r>
    </w:p>
    <w:p w:rsidR="00000000" w:rsidDel="00000000" w:rsidP="00000000" w:rsidRDefault="00000000" w:rsidRPr="00000000" w14:paraId="0000023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de una plataforma de análisis asistivo no depende de un componente aislado, sino de la articulación entre los dominios desarrollados en este marco. Una condición de riesgo debe ser observable y evaluable; su formulación en lenguaje debe poder vincularse con evidencia visual; esa evidencia debe conservar continuidad suficiente para distinguir estados transitorios de condiciones sostenidas; y el procesamiento del video debe realizarse dentro de restricciones temporales explícitas. A su vez, la captura y el tratamiento de imágenes quedan sujetos a criterios de finalidad, minimización, seguridad y revisión humana. En consecuencia, calidad perceptiva, continuidad temporal, latencia y trazabilidad forman parte de una misma cadena de análisis y no pueden interpretarse como propiedades independientes (Bass et al., 2022; Cugola &amp; Margara, 2012).</w:t>
      </w:r>
    </w:p>
    <w:p w:rsidR="00000000" w:rsidDel="00000000" w:rsidP="00000000" w:rsidRDefault="00000000" w:rsidRPr="00000000" w14:paraId="0000023F">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16.7.2. Del marco conceptual al protocolo experimental</w:t>
      </w:r>
    </w:p>
    <w:p w:rsidR="00000000" w:rsidDel="00000000" w:rsidP="00000000" w:rsidRDefault="00000000" w:rsidRPr="00000000" w14:paraId="0000024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no determina una arquitectura ni una configuración concreta, pero sí delimita las decisiones que el protocolo experimental debe volver evaluables. Esto comprende definir qué condiciones integran el núcleo de análisis y cómo se representan, qué materiales y anotaciones permiten contrastarlas, qué restricciones de ejecución condicionan configuraciones comparables, qué niveles y métricas separan percepción, estado por entidad y alerta temporal, y bajo qué condiciones resulta pertinente explorar adaptación paramétrica. La consolidación metodológica transforma estos fundamentos en variables, criterios y comparaciones reproducibles, sin confundir una capacidad conceptual con una función implementada o un resultado medido.</w:t>
      </w:r>
    </w:p>
    <w:p w:rsidR="00000000" w:rsidDel="00000000" w:rsidP="00000000" w:rsidRDefault="00000000" w:rsidRPr="00000000" w14:paraId="00000241">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16.7.3. Preguntas rectoras para la consolidación metodológica</w:t>
      </w:r>
    </w:p>
    <w:p w:rsidR="00000000" w:rsidDel="00000000" w:rsidP="00000000" w:rsidRDefault="00000000" w:rsidRPr="00000000" w14:paraId="0000024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delimita las siguientes preguntas, que requieren definición metodológica y evidencia experimental. Los códigos se conservan para mantener la trazabilidad con las secciones posteriores.</w:t>
      </w:r>
    </w:p>
    <w:p w:rsidR="00000000" w:rsidDel="00000000" w:rsidP="00000000" w:rsidRDefault="00000000" w:rsidRPr="00000000" w14:paraId="000002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P-E1-01. Presupuesto temporal.</w:t>
      </w:r>
      <w:r w:rsidDel="00000000" w:rsidR="00000000" w:rsidRPr="00000000">
        <w:rPr>
          <w:rFonts w:ascii="Times New Roman" w:cs="Times New Roman" w:eastAsia="Times New Roman" w:hAnsi="Times New Roman"/>
          <w:sz w:val="24"/>
          <w:szCs w:val="24"/>
          <w:rtl w:val="0"/>
        </w:rPr>
        <w:t xml:space="preserve"> ¿Qué presupuesto de latencia es admisible para el subtramo G2A y para la confirmación de una alerta, sin confundir el cómputo por cuadro con la persistencia temporal? La respuesta debe declarar el origen y el final de cada timestamp, el comportamiento por percentiles y el margen asignado a seguimiento y razonamiento.</w:t>
      </w:r>
    </w:p>
    <w:p w:rsidR="00000000" w:rsidDel="00000000" w:rsidP="00000000" w:rsidRDefault="00000000" w:rsidRPr="00000000" w14:paraId="0000024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P-E1-02. Condiciones nucleares.</w:t>
      </w:r>
      <w:r w:rsidDel="00000000" w:rsidR="00000000" w:rsidRPr="00000000">
        <w:rPr>
          <w:rFonts w:ascii="Times New Roman" w:cs="Times New Roman" w:eastAsia="Times New Roman" w:hAnsi="Times New Roman"/>
          <w:sz w:val="24"/>
          <w:szCs w:val="24"/>
          <w:rtl w:val="0"/>
        </w:rPr>
        <w:t xml:space="preserve"> ¿Qué conjunto mínimo de condiciones de riesgo permite evaluar la factibilidad de expresar observables en lenguaje natural, estabilizar evidencia y producir alertas trazables, sin pretender cubrir el catálogo normativo completo? La selección debe distinguir complejidad semántica, evidencia disponible y perfil temporal, pero no asumir que una condición multi-entidad sea obligatoria para demostrar factibilidad.</w:t>
      </w:r>
    </w:p>
    <w:p w:rsidR="00000000" w:rsidDel="00000000" w:rsidP="00000000" w:rsidRDefault="00000000" w:rsidRPr="00000000" w14:paraId="000002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P-E1-03. Materiales y anotaciones.</w:t>
      </w:r>
      <w:r w:rsidDel="00000000" w:rsidR="00000000" w:rsidRPr="00000000">
        <w:rPr>
          <w:rFonts w:ascii="Times New Roman" w:cs="Times New Roman" w:eastAsia="Times New Roman" w:hAnsi="Times New Roman"/>
          <w:sz w:val="24"/>
          <w:szCs w:val="24"/>
          <w:rtl w:val="0"/>
        </w:rPr>
        <w:t xml:space="preserve"> ¿Qué datos públicos y propios ofrecen anotaciones suficientes para evaluar percepción, continuidad temporal y episodios, y cuáles son además aptos para adaptación paramétrica? La respuesta debe separar material de entrenamiento, validación y prueba y evitar reutilizaciones que comprometan la independencia del protocolo.</w:t>
      </w:r>
    </w:p>
    <w:p w:rsidR="00000000" w:rsidDel="00000000" w:rsidP="00000000" w:rsidRDefault="00000000" w:rsidRPr="00000000" w14:paraId="0000024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P-E1-04. Restricciones de ejecución.</w:t>
      </w:r>
      <w:r w:rsidDel="00000000" w:rsidR="00000000" w:rsidRPr="00000000">
        <w:rPr>
          <w:rFonts w:ascii="Times New Roman" w:cs="Times New Roman" w:eastAsia="Times New Roman" w:hAnsi="Times New Roman"/>
          <w:sz w:val="24"/>
          <w:szCs w:val="24"/>
          <w:rtl w:val="0"/>
        </w:rPr>
        <w:t xml:space="preserve"> ¿Qué hardware, fuentes de video, resolución, runtime y presupuesto de procesamiento condicionan las configuraciones comparables? La caracterización debe incluir memoria, ritmo efectivo, latencia sostenida y límites de los entornos de inferencia y entrenamiento, que no necesariamente coinciden.</w:t>
      </w:r>
    </w:p>
    <w:p w:rsidR="00000000" w:rsidDel="00000000" w:rsidP="00000000" w:rsidRDefault="00000000" w:rsidRPr="00000000" w14:paraId="0000024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P-E1-06. Framework de métricas.</w:t>
      </w:r>
      <w:r w:rsidDel="00000000" w:rsidR="00000000" w:rsidRPr="00000000">
        <w:rPr>
          <w:rFonts w:ascii="Times New Roman" w:cs="Times New Roman" w:eastAsia="Times New Roman" w:hAnsi="Times New Roman"/>
          <w:sz w:val="24"/>
          <w:szCs w:val="24"/>
          <w:rtl w:val="0"/>
        </w:rPr>
        <w:t xml:space="preserve"> ¿Qué métricas y niveles de análisis permiten separar calidad de detección, estado por entidad y comportamiento de la alerta temporal, y qué umbrales se fijan antes de medir? Las métricas de seguimiento sólo resultan aplicables si existen anotaciones y objetivos MOT explícitos; no deben trasladarse automáticamente a la evaluación de alertas.</w:t>
      </w:r>
    </w:p>
    <w:p w:rsidR="00000000" w:rsidDel="00000000" w:rsidP="00000000" w:rsidRDefault="00000000" w:rsidRPr="00000000" w14:paraId="0000024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P-E1-08. Adaptación paramétrica.</w:t>
      </w:r>
      <w:r w:rsidDel="00000000" w:rsidR="00000000" w:rsidRPr="00000000">
        <w:rPr>
          <w:rFonts w:ascii="Times New Roman" w:cs="Times New Roman" w:eastAsia="Times New Roman" w:hAnsi="Times New Roman"/>
          <w:sz w:val="24"/>
          <w:szCs w:val="24"/>
          <w:rtl w:val="0"/>
        </w:rPr>
        <w:t xml:space="preserve"> ¿En qué condiciones un ajuste fino ligero mejora el dominio objetivo sin degradar la capacidad open-vocabulary, y cómo se mide esa retención con categorías no vistas? La respuesta exige una receta reproducible, datos diferenciados y una comparación que mantenga separadas especialización y generalización.</w:t>
      </w:r>
    </w:p>
    <w:p w:rsidR="00000000" w:rsidDel="00000000" w:rsidP="00000000" w:rsidRDefault="00000000" w:rsidRPr="00000000" w14:paraId="0000024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preguntas se condicionan mutuamente: las condiciones evaluables determinan los datos; el hardware limita configuraciones; y las métricas deben distinguir calidad semántica, rendimiento y confirmación temporal. Su resolución corresponde al protocolo experimental y no se anticipa en esta sección.</w:t>
      </w:r>
    </w:p>
    <w:p w:rsidR="00000000" w:rsidDel="00000000" w:rsidP="00000000" w:rsidRDefault="00000000" w:rsidRPr="00000000" w14:paraId="0000024A">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9hf73ya3t3ng" w:id="58"/>
      <w:bookmarkEnd w:id="58"/>
      <w:r w:rsidDel="00000000" w:rsidR="00000000" w:rsidRPr="00000000">
        <w:rPr>
          <w:rFonts w:ascii="Times New Roman" w:cs="Times New Roman" w:eastAsia="Times New Roman" w:hAnsi="Times New Roman"/>
          <w:b w:val="1"/>
          <w:bCs w:val="1"/>
          <w:sz w:val="24"/>
          <w:szCs w:val="24"/>
          <w:rtl w:val="0"/>
        </w:rPr>
        <w:t xml:space="preserve">16.8. Conclusiones parciales de la fundamentación teórica</w:t>
      </w:r>
    </w:p>
    <w:p w:rsidR="00000000" w:rsidDel="00000000" w:rsidP="00000000" w:rsidRDefault="00000000" w:rsidRPr="00000000" w14:paraId="0000024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sostiene la factibilidad conceptual de una plataforma asistiva que interpreta observables expresados mediante lenguaje sobre video, mantiene continuidad temporal y produce alertas trazables para revisión humana. Esta factibilidad no implica superioridad de OVD frente a detectores supervisados ni habilita conclusiones de cumplimiento desde una observación visual; depende de condiciones evaluables, del comportamiento en el dominio y de restricciones temporales explícitas.</w:t>
      </w:r>
    </w:p>
    <w:p w:rsidR="00000000" w:rsidDel="00000000" w:rsidP="00000000" w:rsidRDefault="00000000" w:rsidRPr="00000000" w14:paraId="0000024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delimita también qué debe resolverse empíricamente: los benchmarks generales no predicen el rendimiento en construcción; una detección por cuadro no equivale a una alerta; un identificador de seguimiento no representa identidad personal; y una capacidad de la literatura no constituye una función implementada. En un campo en evolución, estas separaciones exigen decisiones trazables y validación reproducible.</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2" w:date="2026-09-01T04:55:47Z">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a que referencia, si a la camera o algo que dicen los vagos esos</w:t>
      </w:r>
    </w:p>
  </w:comment>
  <w:comment w:author="Matias Lautaro Carrizo" w:id="0" w:date="2026-08-29T17:50:10Z">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anexo</w:t>
      </w:r>
    </w:p>
  </w:comment>
  <w:comment w:author="Matias Lautaro Carrizo" w:id="4" w:date="2026-08-31T04:11:04Z">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me suena a que es nueva</w:t>
      </w:r>
    </w:p>
  </w:comment>
  <w:comment w:author="Simon Llamosas" w:id="3" w:date="2026-09-01T05:02:29Z">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bien ya nombrar esto aca? ni se sabe que es CR-01 y CR-02, a lo sumo referenciar la seccion donde se desarrollan</w:t>
      </w:r>
    </w:p>
  </w:comment>
  <w:comment w:author="Matias Lautaro Carrizo" w:id="7" w:date="2026-08-31T05:16:45Z">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me parece muy de más. hay que revisar esas secciones del pendiente, pero yo lo sacaría</w:t>
      </w:r>
    </w:p>
  </w:comment>
  <w:comment w:author="Simon Llamosas" w:id="8" w:date="2026-09-01T05:14:32Z">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suma para la tesis: casi nada. Lo académicamente relevante de §16.6 son las salvaguardas sustantivas (finalidad, minimización, acceso restringido, retención acotada, sin biometría) — eso queda. La inscripción ante la AAIP es un trámite administrativo, y el párrafo ni siquiera toma posición: dice "no lo decidimos ni lo descartamos". Un informe final no puede entregar un [[PENDIENTE: definir con el equipo…]] de todos modos, así que la pregunta real nunca fue "¿se queda?" sino "¿cómo se cierra?". Y un párrafo que planta una duda de cumplimiento sin responderla es peor que el silencio: le regala al jurado la pregunta "¿y al final, inscribieron la base?" con un documento que no contesta. La alternativa (afirmar "no corresponde inscribir") es un juicio legal que nadie del equipo puede respaldar. Borrar es la opción defendible; la respuesta se prepara para la defensa, no para el texto.</w:t>
      </w:r>
    </w:p>
  </w:comment>
  <w:comment w:author="Simon Llamosas" w:id="9" w:date="2026-09-01T05:14:50Z">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 cosas que verifiqué y bajan el costo de borrar:</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norma no desaparece del marco. §16.6 describe la Disposición 10/2015 con sus tres ejes, y el tercero es la obligación de inscripción (con la misma cita AAIP s. f.-b). Eso es marco puro ("la norma exige X") y queda — coherente con el criterio que firmaste el 09-01 (normativa = marco, nunca especificación). Lo que se va es solo el párrafo donde el proyecto se declara indeciso. Por lo mismo, no hay baja bibliográfica: s. f.-b sigue citada ahí (verificalo en la v1.1 de Matías, que comprimió 16.6 — si él también cortó los tres ejes, ahí sí cae la referencia).</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§17.4 está limpio (cero menciones a AAIP/inscripción — el "documentar en §17.4" del PENDIENTE nunca se materializó).</w:t>
      </w:r>
    </w:p>
  </w:comment>
  <w:comment w:author="Simon Llamosas" w:id="10" w:date="2026-09-01T05:15:29Z">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26636793"/>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El costo real es el espejo en §17.1 v1.7 (§17.1.11.1): la frase de anclaje "Ese régimen contempla, además, requisitos administrativos… la decisión y el recaudo adoptado se documentan a continuación" + el marcador (90f:983-985). Si se borra en §16 y no ahí, queda un pendiente colgando que promete una decisión que ya tomaste. Es una microedición estilo pase 6 sobre el XML (ojo: el --post del verificador tiene como invariante "1 PENDIENTE" → pasa a 0), más re-extraer 90f y regenerar el kit.</w:t>
          </w:r>
        </w:sdtContent>
      </w:sdt>
    </w:p>
  </w:comment>
  <w:comment w:author="Matias Lautaro Carrizo" w:id="5" w:date="2026-08-31T04:27:57Z">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pasar a formula</w:t>
      </w:r>
    </w:p>
  </w:comment>
  <w:comment w:author="Matias Lautaro Carrizo" w:id="6" w:date="2026-08-31T05:17:25Z">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igual que la seccion de arriba de leyes varias cosas volaron de acá. Validar que no se haya perdido nada importante (por lo que leí estaba ok)</w:t>
      </w:r>
    </w:p>
  </w:comment>
  <w:comment w:author="Matias Lautaro Carrizo" w:id="1" w:date="2026-08-29T19:19:12Z">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4E" w15:done="0"/>
  <w15:commentEx w15:paraId="0000024F" w15:done="0"/>
  <w15:commentEx w15:paraId="00000250" w15:done="0"/>
  <w15:commentEx w15:paraId="00000251" w15:done="0"/>
  <w15:commentEx w15:paraId="00000252" w15:done="0"/>
  <w15:commentEx w15:paraId="00000253" w15:paraIdParent="00000252" w15:done="0"/>
  <w15:commentEx w15:paraId="00000257" w15:paraIdParent="00000252" w15:done="0"/>
  <w15:commentEx w15:paraId="00000258" w15:paraIdParent="00000252" w15:done="0"/>
  <w15:commentEx w15:paraId="00000259" w15:done="0"/>
  <w15:commentEx w15:paraId="0000025A" w15:done="0"/>
  <w15:commentEx w15:paraId="0000025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4D">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Salvo indicación expresa, las cifras de COCO y LVIS corresponden a AP promediado entre umbrales de intersección sobre unión (IoU) de 0,50 a 0,95; en LVIS se conserva el protocolo Fixed AP cuando así lo informa la fuente. Los resultados de literatura supervisada de EPP se presentan como mAP@0,5 o AP@0,5 en una serie separada y no deben compararse numéricamente con COCO/LVIS AP.</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60.0" w:type="dxa"/>
        <w:left w:w="115.0" w:type="dxa"/>
        <w:bottom w:w="60.0" w:type="dxa"/>
        <w:right w:w="115.0" w:type="dxa"/>
      </w:tblCellMar>
    </w:tblPr>
  </w:style>
  <w:style w:type="table" w:styleId="Table2">
    <w:basedOn w:val="TableNormal"/>
    <w:tblPr>
      <w:tblStyleRowBandSize w:val="1"/>
      <w:tblStyleColBandSize w:val="1"/>
      <w:tblCellMar>
        <w:top w:w="60.0" w:type="dxa"/>
        <w:left w:w="115.0" w:type="dxa"/>
        <w:bottom w:w="60.0" w:type="dxa"/>
        <w:right w:w="115.0" w:type="dxa"/>
      </w:tblCellMar>
    </w:tblPr>
  </w:style>
  <w:style w:type="table" w:styleId="Table3">
    <w:basedOn w:val="TableNormal"/>
    <w:tblPr>
      <w:tblStyleRowBandSize w:val="1"/>
      <w:tblStyleColBandSize w:val="1"/>
      <w:tblCellMar>
        <w:top w:w="60.0" w:type="dxa"/>
        <w:left w:w="115.0" w:type="dxa"/>
        <w:bottom w:w="60.0" w:type="dxa"/>
        <w:right w:w="115.0" w:type="dxa"/>
      </w:tblCellMar>
    </w:tblPr>
  </w:style>
  <w:style w:type="table" w:styleId="Table4">
    <w:basedOn w:val="TableNormal"/>
    <w:tblPr>
      <w:tblStyleRowBandSize w:val="1"/>
      <w:tblStyleColBandSize w:val="1"/>
      <w:tblCellMar>
        <w:top w:w="60.0" w:type="dxa"/>
        <w:left w:w="115.0" w:type="dxa"/>
        <w:bottom w:w="60.0" w:type="dxa"/>
        <w:right w:w="115.0" w:type="dxa"/>
      </w:tblCellMar>
    </w:tblPr>
  </w:style>
  <w:style w:type="table" w:styleId="Table5">
    <w:basedOn w:val="TableNormal"/>
    <w:tblPr>
      <w:tblStyleRowBandSize w:val="1"/>
      <w:tblStyleColBandSize w:val="1"/>
      <w:tblCellMar>
        <w:top w:w="60.0" w:type="dxa"/>
        <w:left w:w="115.0" w:type="dxa"/>
        <w:bottom w:w="60.0" w:type="dxa"/>
        <w:right w:w="115.0" w:type="dxa"/>
      </w:tblCellMar>
    </w:tblPr>
  </w:style>
  <w:style w:type="table" w:styleId="Table6">
    <w:basedOn w:val="TableNormal"/>
    <w:tblPr>
      <w:tblStyleRowBandSize w:val="1"/>
      <w:tblStyleColBandSize w:val="1"/>
      <w:tblCellMar>
        <w:top w:w="60.0" w:type="dxa"/>
        <w:left w:w="115.0" w:type="dxa"/>
        <w:bottom w:w="60.0" w:type="dxa"/>
        <w:right w:w="115.0" w:type="dxa"/>
      </w:tblCellMar>
    </w:tblPr>
  </w:style>
  <w:style w:type="table" w:styleId="Table7">
    <w:basedOn w:val="TableNormal"/>
    <w:tblPr>
      <w:tblStyleRowBandSize w:val="1"/>
      <w:tblStyleColBandSize w:val="1"/>
      <w:tblCellMar>
        <w:top w:w="60.0" w:type="dxa"/>
        <w:left w:w="115.0" w:type="dxa"/>
        <w:bottom w:w="60.0" w:type="dxa"/>
        <w:right w:w="115.0" w:type="dxa"/>
      </w:tblCellMar>
    </w:tblPr>
  </w:style>
  <w:style w:type="table" w:styleId="Table8">
    <w:basedOn w:val="TableNormal"/>
    <w:tblPr>
      <w:tblStyleRowBandSize w:val="1"/>
      <w:tblStyleColBandSize w:val="1"/>
      <w:tblCellMar>
        <w:top w:w="60.0" w:type="dxa"/>
        <w:left w:w="100.0" w:type="dxa"/>
        <w:bottom w:w="60.0" w:type="dxa"/>
        <w:right w:w="10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60.0" w:type="dxa"/>
        <w:left w:w="100.0" w:type="dxa"/>
        <w:bottom w:w="6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6bdl21" TargetMode="External"/><Relationship Id="rId11" Type="http://schemas.openxmlformats.org/officeDocument/2006/relationships/hyperlink" Target="https://www.zotero.org/google-docs/?QCjNbB" TargetMode="External"/><Relationship Id="rId10" Type="http://schemas.openxmlformats.org/officeDocument/2006/relationships/hyperlink" Target="https://www.zotero.org/google-docs/?UnnoA1" TargetMode="External"/><Relationship Id="rId21" Type="http://schemas.openxmlformats.org/officeDocument/2006/relationships/hyperlink" Target="https://www.zotero.org/google-docs/?kiBZGp" TargetMode="External"/><Relationship Id="rId13" Type="http://schemas.openxmlformats.org/officeDocument/2006/relationships/hyperlink" Target="https://www.zotero.org/google-docs/?gm5pG6" TargetMode="External"/><Relationship Id="rId12" Type="http://schemas.openxmlformats.org/officeDocument/2006/relationships/hyperlink" Target="https://www.zotero.org/google-docs/?N8gvPh"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hyperlink" Target="https://www.zotero.org/google-docs/?b9GG8T" TargetMode="External"/><Relationship Id="rId14" Type="http://schemas.openxmlformats.org/officeDocument/2006/relationships/hyperlink" Target="https://www.zotero.org/google-docs/?b9GG8T" TargetMode="External"/><Relationship Id="rId17" Type="http://schemas.openxmlformats.org/officeDocument/2006/relationships/hyperlink" Target="https://www.zotero.org/google-docs/?EJbmoO" TargetMode="External"/><Relationship Id="rId16" Type="http://schemas.openxmlformats.org/officeDocument/2006/relationships/hyperlink" Target="https://www.zotero.org/google-docs/?b9GG8T" TargetMode="External"/><Relationship Id="rId5" Type="http://schemas.openxmlformats.org/officeDocument/2006/relationships/footnotes" Target="footnotes.xml"/><Relationship Id="rId19" Type="http://schemas.openxmlformats.org/officeDocument/2006/relationships/hyperlink" Target="https://www.zotero.org/google-docs/?A7BpnU" TargetMode="External"/><Relationship Id="rId6" Type="http://schemas.openxmlformats.org/officeDocument/2006/relationships/numbering" Target="numbering.xml"/><Relationship Id="rId18" Type="http://schemas.openxmlformats.org/officeDocument/2006/relationships/hyperlink" Target="https://www.zotero.org/google-docs/?ytG2P2" TargetMode="Externa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f41cVn4QBR/nYNJ1eIEM/kQCg==">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