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widowControl/>
      </w:pPr>
      <w:r>
        <w:t>17.5. Resultados</w:t>
      </w:r>
    </w:p>
    <w:p>
      <w:pPr>
        <w:widowControl/>
        <w:spacing w:line="480" w:lineRule="auto" w:after="0"/>
        <w:ind w:firstLine="720"/>
      </w:pPr>
      <w:r>
        <w:t>Esta sección presenta los resultados de la evaluación de la plataforma organizados por pregunta de medición. La exposición distingue la percepción por imagen, el estado por persona y la alerta temporal por episodio, y mantiene separados los materiales positivos, los negativos y el estrato de obra real. Las comprobaciones funcionales de la implementación se documentaron en la sección anterior; aquí se informa cuánto produjo cada combinación bajo las condiciones experimentales definidas, sin adelantar la interpretación que corresponde a la sección de discusión.</w:t>
      </w:r>
    </w:p>
    <w:p>
      <w:pPr>
        <w:widowControl/>
        <w:spacing w:line="480" w:lineRule="auto" w:after="0"/>
        <w:ind w:firstLine="720"/>
      </w:pPr>
      <w:r>
        <w:t>Las métricas de precisión, exhaustividad y F1 se calcularon únicamente sobre casos positivos con referencia. En los materiales negativos se informó el conteo de falsos positivos y, cuando correspondió, la tasa horaria como derivada del conteo y de la duración observada. Las re-alertas se contabilizaron de manera independiente y no se clasificaron como falsos positivos. El estrato de obra real se reportó por separado y no se utilizó para ordenar granularidades debido a su tamaño efectivo.</w:t>
      </w:r>
    </w:p>
    <w:p>
      <w:pPr>
        <w:pStyle w:val="Heading2"/>
        <w:keepNext/>
        <w:widowControl/>
      </w:pPr>
      <w:r>
        <w:t>17.5.1. D.0 — La organización de la sección</w:t>
      </w:r>
    </w:p>
    <w:p>
      <w:pPr>
        <w:widowControl/>
        <w:spacing w:line="480" w:lineRule="auto" w:after="0"/>
        <w:ind w:firstLine="720"/>
      </w:pPr>
      <w:r>
        <w:t>El banco temporal comprendió 47 clips: 32 positivos y 15 negativos. Los clips positivos contuvieron 37 episodios de referencia. Esta descomposición se mantuvo en el reporte para evitar confundir el total del banco con los 34 registros correspondientes únicamente al Bloque A del rodaje. Cada resultado cuantitativo se presentó con su combinación, material o estrato y denominador efectivo.</w:t>
      </w:r>
    </w:p>
    <w:p>
      <w:pPr>
        <w:widowControl/>
        <w:spacing w:line="480" w:lineRule="auto" w:after="0"/>
        <w:ind w:firstLine="720"/>
      </w:pPr>
      <w:r>
        <w:rPr>
          <w:b/>
        </w:rPr>
        <w:t>La sección se organiza por pregunta de medición, no por cronología.</w:t>
      </w:r>
      <w:r>
        <w:t xml:space="preserve"> El modelo estructural es el de la síntesis de resultados vigente (pregunta → niveles de medición → tiempo real → caminos → limitaciones), que ya demostró sostener el argumento sin narrar campañas. Esquema de referencia — los títulos definitivos los fija la redacción, la </w:t>
      </w:r>
      <w:r>
        <w:rPr>
          <w:b/>
        </w:rPr>
        <w:t>secuencia y el reparto</w:t>
      </w:r>
      <w:r>
        <w:t xml:space="preserve"> son lo decidido:</w:t>
      </w:r>
    </w:p>
    <w:p>
      <w:pPr>
        <w:widowControl/>
        <w:spacing w:line="480" w:lineRule="auto" w:after="0"/>
        <w:ind w:firstLine="720"/>
      </w:pPr>
      <w:r>
        <w:t>1. Encuadre y reglas de lectura. La pregunta de la sección, los tres niveles de medición (percepción por imagen · estado por sujeto · alerta por episodio), los estados de aplicabilidad, y de dónde sale cada cifra. Acá viven las reglas transversales: reportar por estrato además del agregado, no sumar percentiles entre tramos, re-alertas no son falsos positivos. 2. Percepción sobre imágenes. El banco de imágenes congelado: resultados por modelo y por familia, por estrato, con veredictos por combinación (rige : prohibida la fórmula "la combinación con el mayor valor observado para la métrica y el material considerados"; la selección del perfil operativo se enuncia como criterio pre-registrado). Cierra con el costo medido de incorporar vocabulario nuevo (el piloto de clase nueva). 3. Estado por sujeto (nivel intermedio). La comparación de estrategias de detección sobre el estado "sin protección" por persona: la indirecta adoptada, la directa y la híbrida como ramas comparativas — los resultados que fundamentan el veredicto van acá, no en la narración de campañas. 4. Alerta por episodio contra la referencia temporal humana — el resultado principal. El banco temporal completo (47 clips: 32 positivos + 15 negativos), por estrato y por condición; la granularidad por sujeto como capacidad medida; la tasa de falsos positivos por hora (se reporta, no sostiene cota); la frontera de juzgabilidad del material de obra real (sin ranking sobre n = 2). 5. Tiempo real. Qué sobrevive a la restricción del camino en vivo: el costo de la densidad de procesamiento, la cadena de latencias por tramos (con la regla de relojes), y la latencia del tramo de distribución con su denominador. 6. Caminos probados y no adoptados — con el veredicto que los descartó. Una subsección propia, no notas dispersas: la estrategia directa (vetada por precisión), la híbrida (una variante ejecutada y refutada, una no ejecutable), la familia de modelos descartada en la comparación, y la rama de ajuste fino como curva de capacidad de tres puntos (dos veredictos negativos pre-registrados + un tramo cerrado con causa técnica; rige el punto 4 de abajo). El criterio de cada descarte precede al resultado que lo aplicó. 7. Lo no ejecutado y lo no implementado — con su factor de justificación. También subsección propia: condiciones de Nivel 2/3 (evaluabilidad: sin verdad de terreno ni evaluadores validables), métricas MOT (sin anotación de identidad), preselección en el borde (implementada y medida, excluida de lo evaluativo por decisión pre-registrada — rige la enmienda a ), cota operativa de FAR (exposición insuficiente), y el ancla temporal para comparar EBE-desde-clip. Cada ítem con su justificación, nunca como lista de faltantes. 8. Síntesis de la sección. Qué queda afirmado con qué fuerza, y la remisión a las limitaciones declaradas. La interpretación (qué significa para la pregunta de la tesis) no vive acá: pertenece a las conclusiones.</w:t>
      </w:r>
    </w:p>
    <w:p>
      <w:pPr>
        <w:widowControl/>
        <w:spacing w:line="480" w:lineRule="auto" w:after="0"/>
        <w:ind w:firstLine="720"/>
      </w:pPr>
      <w:r>
        <w:rPr>
          <w:b/>
        </w:rPr>
        <w:t>Reparto con las secciones vecinas, para no volver a pisarse:</w:t>
      </w:r>
      <w:r>
        <w:t xml:space="preserve"> §17.4 acredita que las capacidades funcionan (verificación técnica); §17.5 reporta </w:t>
      </w:r>
      <w:r>
        <w:rPr>
          <w:b/>
        </w:rPr>
        <w:t>cuánto dan</w:t>
      </w:r>
      <w:r>
        <w:t xml:space="preserve"> (medición); §18 dice </w:t>
      </w:r>
      <w:r>
        <w:rPr>
          <w:b/>
        </w:rPr>
        <w:t>qué significa</w:t>
      </w:r>
      <w:r>
        <w:t xml:space="preserve"> (interpretación y conclusiones). Un contenido que acredite funcionamiento no se repite en §17.5; un juicio de valor no se adelanta desde §18.</w:t>
      </w:r>
    </w:p>
    <w:p>
      <w:pPr>
        <w:pStyle w:val="Heading2"/>
        <w:keepNext/>
        <w:widowControl/>
      </w:pPr>
      <w:r>
        <w:t>17.5.2. Percepción por imagen</w:t>
      </w:r>
    </w:p>
    <w:p>
      <w:pPr>
        <w:widowControl/>
        <w:spacing w:line="480" w:lineRule="auto" w:after="0"/>
        <w:ind w:firstLine="720"/>
      </w:pPr>
      <w:r>
        <w:t>La primera pregunta examinó la salida perceptiva por imagen para CR-01 y CR-02. Los resultados se desagregaron por combinación y material, sin convertir el desempeño observado en una afirmación general sobre la superioridad de la detección open-vocabulary frente a detectores supervisados.</w:t>
      </w:r>
    </w:p>
    <w:p>
      <w:pPr>
        <w:widowControl/>
        <w:spacing w:line="480" w:lineRule="auto" w:after="0"/>
        <w:ind w:firstLine="720"/>
      </w:pPr>
      <w:r>
        <w:t>[[PENDIENTE: integrar las cifras y tablas cerradas correspondientes a “Percepción por imagen” desde el índice canónico de resultados]]</w:t>
      </w:r>
    </w:p>
    <w:p>
      <w:pPr>
        <w:pStyle w:val="Heading2"/>
        <w:keepNext/>
        <w:widowControl/>
      </w:pPr>
      <w:r>
        <w:t>17.5.3. Estado por persona</w:t>
      </w:r>
    </w:p>
    <w:p>
      <w:pPr>
        <w:widowControl/>
        <w:spacing w:line="480" w:lineRule="auto" w:after="0"/>
        <w:ind w:firstLine="720"/>
      </w:pPr>
      <w:r>
        <w:t>La segunda pregunta evaluó la consolidación de evidencia en un estado por persona. La identidad de sujeto se utilizó como capacidad implementada y medida para asociar observaciones sucesivas; no se calcularon métricas de seguimiento multiobjeto ni se infirió identidad personal.</w:t>
      </w:r>
    </w:p>
    <w:p>
      <w:pPr>
        <w:widowControl/>
        <w:spacing w:line="480" w:lineRule="auto" w:after="0"/>
        <w:ind w:firstLine="720"/>
      </w:pPr>
      <w:r>
        <w:t>[[PENDIENTE: integrar las cifras y tablas cerradas correspondientes a “Estado por persona” desde el índice canónico de resultados]]</w:t>
      </w:r>
    </w:p>
    <w:p>
      <w:pPr>
        <w:pStyle w:val="Heading2"/>
        <w:keepNext/>
        <w:widowControl/>
      </w:pPr>
      <w:r>
        <w:t>17.5.4. Alerta temporal por episodio</w:t>
      </w:r>
    </w:p>
    <w:p>
      <w:pPr>
        <w:widowControl/>
        <w:spacing w:line="480" w:lineRule="auto" w:after="0"/>
        <w:ind w:firstLine="720"/>
      </w:pPr>
      <w:r>
        <w:t>La tercera pregunta consideró a la alerta temporal por episodio como salida representativa de la plataforma completa. El análisis separó detección del episodio, latencia hasta la primera alerta, re-alertas y demás eventos temporales definidos, sin reasignar las re-alertas a la categoría de falsos positivos.</w:t>
      </w:r>
    </w:p>
    <w:p>
      <w:pPr>
        <w:widowControl/>
        <w:spacing w:line="480" w:lineRule="auto" w:after="0"/>
        <w:ind w:firstLine="720"/>
      </w:pPr>
      <w:r>
        <w:t>[[PENDIENTE: integrar las cifras y tablas cerradas correspondientes a “Alerta temporal por episodio” desde el índice canónico de resultados]]</w:t>
      </w:r>
    </w:p>
    <w:p>
      <w:pPr>
        <w:pStyle w:val="Heading2"/>
        <w:keepNext/>
        <w:widowControl/>
      </w:pPr>
      <w:r>
        <w:t>17.5.5. Comportamiento sobre material negativo</w:t>
      </w:r>
    </w:p>
    <w:p>
      <w:pPr>
        <w:widowControl/>
        <w:spacing w:line="480" w:lineRule="auto" w:after="0"/>
        <w:ind w:firstLine="720"/>
      </w:pPr>
      <w:r>
        <w:t>El material negativo se analizó mediante el conteo de falsos positivos y la duración efectivamente observada. La tasa FAR/hora se informó solo como magnitud derivada y no se utilizó para sostener una cota poblacional. Estos clips no ingresaron en los cálculos de precisión, exhaustividad ni F1.</w:t>
      </w:r>
    </w:p>
    <w:p>
      <w:pPr>
        <w:widowControl/>
        <w:spacing w:line="480" w:lineRule="auto" w:after="0"/>
        <w:ind w:firstLine="720"/>
      </w:pPr>
      <w:r>
        <w:t>[[PENDIENTE: integrar las cifras y tablas cerradas correspondientes a “Comportamiento sobre material negativo” desde el índice canónico de resultados]]</w:t>
      </w:r>
    </w:p>
    <w:p>
      <w:pPr>
        <w:pStyle w:val="Heading2"/>
        <w:keepNext/>
        <w:widowControl/>
      </w:pPr>
      <w:r>
        <w:t>17.5.6. Rendimiento y latencia de ejecución</w:t>
      </w:r>
    </w:p>
    <w:p>
      <w:pPr>
        <w:widowControl/>
        <w:spacing w:line="480" w:lineRule="auto" w:after="0"/>
        <w:ind w:firstLine="720"/>
      </w:pPr>
      <w:r>
        <w:t>La pregunta de rendimiento caracterizó el costo temporal y computacional de las configuraciones ejecutadas en los recursos experimentales declarados. El reporte distinguió la latencia de los componentes, la latencia extremo a extremo y la capacidad de sostener el flujo de video, con sus respectivos denominadores.</w:t>
      </w:r>
    </w:p>
    <w:p>
      <w:pPr>
        <w:widowControl/>
        <w:spacing w:line="480" w:lineRule="auto" w:after="0"/>
        <w:ind w:firstLine="720"/>
      </w:pPr>
      <w:r>
        <w:t>[[PENDIENTE: integrar las cifras y tablas cerradas correspondientes a “Rendimiento y latencia de ejecución” desde el índice canónico de resultados]]</w:t>
      </w:r>
    </w:p>
    <w:p>
      <w:pPr>
        <w:pStyle w:val="Heading2"/>
        <w:keepNext/>
        <w:widowControl/>
      </w:pPr>
      <w:r>
        <w:t>17.5.7. Extensibilidad y curva de capacidad</w:t>
      </w:r>
    </w:p>
    <w:p>
      <w:pPr>
        <w:widowControl/>
        <w:spacing w:line="480" w:lineRule="auto" w:after="0"/>
        <w:ind w:firstLine="720"/>
      </w:pPr>
      <w:r>
        <w:t>La extensibilidad se examinó mediante configuraciones expresadas en lenguaje natural y mediante la curva de capacidad del ajuste fino. La jornada de fine-tuning quedó cerrada en tres puntos: dos veredictos negativos pre-registrados y un tercer tramo cerrado por una causa técnica documentada; no se atribuyó ese resultado a falta de tiempo.</w:t>
      </w:r>
    </w:p>
    <w:p>
      <w:pPr>
        <w:widowControl/>
        <w:spacing w:line="480" w:lineRule="auto" w:after="0"/>
        <w:ind w:firstLine="720"/>
      </w:pPr>
      <w:r>
        <w:t>[[PENDIENTE: integrar las cifras y tablas cerradas correspondientes a “Extensibilidad y curva de capacidad” desde el índice canónico de resultados]]</w:t>
      </w:r>
    </w:p>
    <w:p>
      <w:pPr>
        <w:pStyle w:val="Heading2"/>
        <w:keepNext/>
        <w:widowControl/>
      </w:pPr>
      <w:r>
        <w:t>17.5.8. Reproducibilidad, equivalencia operativa y distribución</w:t>
      </w:r>
    </w:p>
    <w:p>
      <w:pPr>
        <w:widowControl/>
        <w:spacing w:line="480" w:lineRule="auto" w:after="0"/>
        <w:ind w:firstLine="720"/>
      </w:pPr>
      <w:r>
        <w:t>La última pregunta reunió la repetibilidad del escenario diferido, el comportamiento del escenario en vivo y la distribución de alertas. La comparación se limitó a las propiedades efectivamente medidas y conservó la separación entre transporte transitorio, persistencia de hechos y relectura reproducible.</w:t>
      </w:r>
    </w:p>
    <w:p>
      <w:pPr>
        <w:widowControl/>
        <w:spacing w:line="480" w:lineRule="auto" w:after="0"/>
        <w:ind w:firstLine="720"/>
      </w:pPr>
      <w:r>
        <w:t>[[PENDIENTE: integrar las cifras y tablas cerradas correspondientes a “Reproducibilidad, equivalencia operativa y distribución” desde el índice canónico de resultados]]</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DetAUhk8hdISEf6GI/gsYdGzA==">CgMxLjAaJwoBMBIiCiAIBCocCgtBQUFDRjJfNl9lURAIGgtBQUFDRjJfNl9lURonCgExEiIKIAgEKhwKC0FBQUNGMl82X2ZBEAgaC0FBQUNGMl82X2ZBGhIKATISDQoLCAdCBxIFQ2FyZG8aEgoBMxINCgsIB0IHEgVDYXJkbxonCgE0EiIKIAgEKhwKC0FBQUNGMl82X2ZFEAgaC0FBQUNGMl82X2ZFIooFCgtBQUFDRjJfNl9mQRLaBAoLQUFBQ0YyXzZfZkESC0FBQUNGMl82X2ZBGpABCgl0ZXh0L2h0bWwSggFlbiBlc3RlIGRvY3VtZW50byB0aWVuZSBxdWUgZXN0YXIgYmllbiBjbGFybyBlbCBwcm9wb3NpdG8geSBqdXN0aWZpY2FjaW9uIGRlIGNhZGEgdW5vIGRlIGVzdG9zIGVuZHBvaW50cyByZWxldmFudGVzIGNhZGEgc2VydmljaW8uIpEBCgp0ZXh0L3BsYWluEoIBZW4gZXN0ZSBkb2N1bWVudG8gdGllbmUgcXVlIGVzdGFyIGJpZW4gY2xhcm8gZWwgcHJvcG9zaXRvIHkganVzdGlmaWNhY2lvbiBkZSBjYWRhIHVubyBkZSBlc3RvcyBlbmRwb2ludHMgcmVsZXZhbnRlcyBjYWRhIHNlcnZpY2lvLiobIhUxMTcwODQwMTg0NTAyNTQwMzIxMzUoADgAMKLT99uCNDii0/fbgjRKRgoKdGV4dC9wbGFpbhI4SW50ZXJmYWNlcyBwcmluY2lwYWxlcyBkZSBsb3Mgc2VydmljaW9zIGRlIGxhIHBsYXRhZm9ybWFaDHU1dXdodXdnM3hzZHICIAB4AJoBBggAEAAYAKoBhQESggFlbiBlc3RlIGRvY3VtZW50byB0aWVuZSBxdWUgZXN0YXIgYmllbiBjbGFybyBlbCBwcm9wb3NpdG8geSBqdXN0aWZpY2FjaW9uIGRlIGNhZGEgdW5vIGRlIGVzdG9zIGVuZHBvaW50cyByZWxldmFudGVzIGNhZGEgc2VydmljaW8uGKLT99uCNCCi0/fbgjRCEGtpeC43YnN3MnVzcmxsMDAiowsKC0FBQUNGMl82X2VREvMKCgtBQUFDRjJfNl9lURILQUFBQ0YyXzZfZVEaXQoJdGV4dC9odG1sElBkaWZpY2lsIGRlIGxlZXIsIGhheSBxdWUgbWVqb3JhciBsYSBvcmdhbml6YWNpb24gZGVsIGRlc2Fycm9sbG8gZGUgZXN0YSBzZWNjaW9uLiJeCgp0ZXh0L3BsYWluElBkaWZpY2lsIGRlIGxlZXIsIGhheSBxdWUgbWVqb3JhciBsYSBvcmdhbml6YWNpb24gZGVsIGRlc2Fycm9sbG8gZGUgZXN0YSBzZWNjaW9uLiobIhUxMTcwODQwMTg0NTAyNTQwMzIxMzUoADgAMI/swNuCNDiP7MDbgjRK+gcKCnRleHQvcGxhaW4S6wdDaW5jbyBjb250cmF0b3MgY29uY2VudHJhbiBsb3MgaGVjaG9zIHByaW5jaXBhbGVzIGRlIGxhIGVqZWN1Y2nDs24uIEVsIGV2ZW50byBkZSBwZXJjZXBjacOzbiwgbWVkaWEuZGV0ZWN0aW9uLnYxLCBub3JtYWxpemEgbGEgc2FsaWRhIGRlbCBkZXRlY3RvciBlIGluY2x1eWUgaWRlbnRpZmljYWNpw7NuIGRlIGNvcnJpZGEgeSB1bmlkYWQgdmlzdWFsLCBkZXNjcmlwY2nDs24gZGUgbGEgZnVlbnRlLCBwZXJmaWwgZGUgbW9kZWxvLCBjb25qdW50byBkZSBwcm9tcHRzLCBkZXRlY2Npb25lcyBjb24gY29vcmRlbmFkYXMgZW4gcMOteGVsZXMgeSBub3JtYWxpemFkYXMsIHkgdGllbXBvcyBwb3IgdW5pZGFkLiBFbCBlbnZvbHRvcmlvIGJ1cy5lbnZlbG9wZS52MSBlbmNhcHN1bGEgZWwgbWlzbW8gcGF5bG9hZCBwYXJhIHN1IHRyYW5zbWlzacOzbiBlIGluY29ycG9yYSB1biBuw7ptZXJvIGRlIHNlY3VlbmNpYSBtb27Ds3Rvbm8gcXVlIHZ1ZWx2ZSBkZXRlY3RhYmxlIGN1YWxxdWllciBodWVjby4KRWwgY29udHJhdG8gcnVuLmxpZmVjeWNsZS52MSBkZWxpbWl0YSBlbCBjaWNsbyBkZSB2aWRhIGRlIGxhIGNvcnJpZGEgeSBsYSBjaWVycmEgbWVkaWFudGUgdW4gZXZlbnRvIGRlIGZpbmFsaXphY2nDs24uIEVsIGNvbnRyYXRvIGNvbnRyb2wucGF0dGVybl9zdGF0ZS52MSByZWdpc3RyYSBsYXMgdHJhbnNpY2lvbmVzIGVudHJlIGxvcyBlc3RhZG9zIGluYWN0aXZlLCBjYW5kaWRhdGUsIGNvbmZpcm1lZCwgc3VzdGFpbmVkIHkgcmVzb2x2ZWQgKGZpZ3VyYSBkZSBsYSBzZWNjacOzbiAxNy4zLjguMiksIGp1bnRvIGNvbiBsYSBldmlkZW5jaWEgeSBsb3MgaGl0b3MgdGVtcG9yYWxlcyBxdWUgbGFzIG1vdGl2YXJvbi4gRWwgY29udHJhdG8gY29udHJvbC5hbGVydC52MSByZWdpc3RyYSBsYSBjb25maXJtYWNpw7NuIGRlIHVuIGVwaXNvZGlvIG1lZGlhbnRlIHVuIGlkZW50aWZpY2Fkb3IgZGV0ZXJtaW5pc3RhLCBkZSBtb2RvIHF1ZSByZXByb2Nlc2FyIGxhIG1pc21h4oCmWgwxb3Z3dmY3M2Y4Zm9yAiAAeACaAQYIABAAGACqAVISUGRpZmljaWwgZGUgbGVlciwgaGF5IHF1ZSBtZWpvcmFyIGxhIG9yZ2FuaXphY2lvbiBkZWwgZGVzYXJyb2xsbyBkZSBlc3RhIHNlY2Npb24uGI/swNuCNCCP7MDbgjRCEGtpeC56M3V6N2JnYjA4dXIihw4KC0FBQUNGMl82X2ZFEtcNCgtBQUFDRjJfNl9mRRILQUFBQ0YyXzZfZkUa3AIKCXRleHQvaHRtbB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i0wIKCnRleHQvcGxhaW4SxAJhZ3JlZ2FyIGVsIG1vZHVsbyBkZSBkaXN0cmlidWNpb24uwqAgZXMgY29ycmVjdG8gZGVjaXIgcXVlICJjdWFuZG8gZWwgdHJhbW8gZGUgZGlzdHJpYnVjaW9uIGVzdGEgaGFiaWxpdGFkby4uLiI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qGyIVMTE3MDg0MDE4NDUwMjU0MDMyMTM1KAA4ADD4nK/cgjQ4+Jyv3II0SugECgp0ZXh0L3BsYWluEtkEcnVucy88ZXhwZXJpbWVudF9pZD4vICAgICAgICAgICAgICAgIChyZXBvc2l0b3JpbyBkZWwgc29wb3J0ZSBleHBlcmltZW50YWwpCyAgbWFuaWZlc3QuZWZmZWN0aXZlLnlhbWwLICBtZWRpYS8gICAgICBzdW1tYXJ5Lmpzb24gwrcgbWV0cmljcy5qc29ubCDCtyBlZmZlY3RpdmVfY29uZmlnLnlhbWwgwrcLICAgICAgICAgICAgICBkZXRlY3Rpb25zLnJlZi5qc29uICAgKHJlZmVyZW5jaWEgYWwgZGV0ZWN0aW9ucy5qc29ubCBkZWwgcGxhbm8gZGUgbWVkaW9zKQsgIGNvbnRyb2wvICAgIGFsZXJ0cy5qc29ubCDCtyBwYXR0ZXJuX2V2ZW50cy5qc29ubCDCtyBtZXRyaWNzLmpzb25sIMK3CyAgICAgICAgICAgICAgc3VtbWFyeS5qc29uIMK3IGVmZmVjdGl2ZV9jb25maWcueWFtbAsgICAgICAgICAgICAgICh5IGxhIGV2YWx1YWNpw7NuIHRlbXBvcmFsLCBjdWFuZG8gbGEgY29ycmlkYSBsYSBoYWJpbGl0YSkLICByZXBvcnQvICAgICByZXBvcnQuanNvbiDCtyByZXBvcnQubWQKQ3VhbmRvIGVsIHRyYW1vIGRlIGRpc3RyaWJ1Y2nDs24gZXN0w6EgaGFiaWxpdGFkbywgc3UgbGVkZ2VyIHkgc3UgcmVwb3J0ZSBzZSBjb25zb2xpZGFuIGRlbCBtaXNtbyBtb2RvLloMcWV1Znc5cGtiNnhocgIgAHgAmgEGCAAQABgAqgHRAh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Y+Jyv3II0IPicr9yCNEIQa2l4Lnc0cDR5a2ZwbjI5djgAciExMTh3WXVQei1WbWk3WkhpZTR4SWFPYTBFNVR4LXF6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