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 Función metodológica dentro del trabajo</w:t>
      </w:r>
      <w:r w:rsidDel="00000000" w:rsidR="00000000" w:rsidRPr="00000000">
        <w:rPr>
          <w:rtl w:val="0"/>
        </w:rPr>
      </w:r>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17.1.1.2. Articulación entre los desarrollos metodológicos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21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18</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19</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20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t>La presente sección responde a la pregunta rectora P-E1-02 definida en la fundamentación teórica,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Sobre esa base, la sección define la taxonomía de condiciones de riesgo del prototipo experimental, establece los patrones de riesgo asociados con severidad y persistencia orientativa, y fija un protocolo sistemático para el diseño y la evaluación de prompts OVD. En articulación con el framework de métricas, delimita además cómo esas definiciones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r>
        <w:rPr>
          <w:rFonts w:ascii="Times New Roman" w:cs="Times New Roman" w:eastAsia="Times New Roman" w:hAnsi="Times New Roman"/>
          <w:sz w:val="24"/>
          <w:szCs w:val="24"/>
          <w:rtl w:val="0"/>
        </w:rPr>
        <w:t xml:space="preserve">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22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21), el catálogo de patrones con severidad y persistencia temporal orientativa (Tabla 22),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21)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sidDel="00000000" w:rsidR="00000000" w:rsidRPr="00000000">
        <w:rPr>
          <w:rFonts w:ascii="Times New Roman" w:cs="Times New Roman" w:eastAsia="Times New Roman" w:hAnsi="Times New Roman"/>
          <w:sz w:val="24"/>
          <w:szCs w:val="24"/>
          <w:rtl w:val="0"/>
        </w:rPr>
        <w: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27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25,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La partición de datos se rige por las condiciones metodológicas obligatorias de la Tabla 26.</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Condición de aplicación de métricas temporales</w:t>
      </w:r>
      <w:r w:rsidDel="00000000" w:rsidR="00000000" w:rsidRPr="00000000">
        <w:rPr>
          <w:rtl w:val="0"/>
        </w:rPr>
      </w:r>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17.1.7.5.5.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Los umbrales orientativos consolidados se presentan en la Tabla 33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36</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