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xmlns:w14="http://schemas.microsoft.com/office/word/2010/wordml">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 Función metodológica dentro del trabajo</w:t>
      </w:r>
      <w:r w:rsidDel="00000000" w:rsidR="00000000" w:rsidRPr="00000000">
        <w:rPr>
          <w:rtl w:val="0"/>
        </w:rPr>
      </w:r>
    </w:p>
    <w:p w:rsidR="00000000" w:rsidDel="00000000" w:rsidP="00000000" w:rsidRDefault="00000000" w:rsidRPr="00000000" w14:paraId="000004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principal de esta parte del trabajo es ordenar la transición entre la fundamentación teórica y las instancias de diseño, implementación y validación. Para ello, la consolidación metodológica no se limita a enumerar componentes técnicos, sino que define el modo en que esos componentes serán evaluados, comparados e interpretados dentro del alcance experimental declarado.</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t>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es un marco de trabajo que ordena el diseño, la implementación y la validación del prototipo, y que permite comparar variantes, medir desempeño e interpretar la evidencia bajo criterios consistentes.</w:t>
      </w:r>
    </w:p>
    <w:p w:rsidR="00000000" w:rsidDel="00000000" w:rsidP="00000000" w:rsidRDefault="00000000" w:rsidRPr="00000000" w14:paraId="0000000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17.1.1.2. Articulación entre los desarrollos metodológicos</w:t>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Articulación entre las dimensiones metodológicas de la consolidación experimental</w:t>
      </w:r>
      <w:r w:rsidDel="00000000" w:rsidR="00000000" w:rsidRPr="00000000">
        <w:rPr>
          <w:rtl w:val="0"/>
        </w:rPr>
      </w:r>
    </w:p>
    <w:tbl>
      <w:tblPr>
        <w:tblStyle w:val="Table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740"/>
        <w:gridCol w:w="432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metodológica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 principal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consolidada</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experimental</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CPN, EN, TN, escenarios DBE y EBE, y restricciones de hardware y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 la viabilidad operativa en el CPN, separa entrenamiento de inferencia y formaliza el rol metodológico de cada escenario.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 riesgo y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 las condiciones de riesgo por niveles de complejidad y fija el protocolo de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 el núcleo obligatorio del prototipo en condiciones de detección directa de Nivel 1 y ordena el resto del catálogo como extensión condicionada.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y benchmarks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 un inventario de datasets, benchmarks, cobertura por condición y reglas de partición.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qué condiciones tienen soporte suficiente para evaluación directa, qué módulos requieren benchmarks externos y qué brechas exigen prudencia metodológica.</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métricas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Jerarquiza métricas, define latencia de alerta, fija niveles de compromiso y establece criterios de ejecutabilidad experimental.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 la evidencia mínima del prototipo y separa métricas obligatorias, deseables y conceptuales según el alcance implementado.</w:t>
            </w:r>
          </w:p>
        </w:tc>
      </w:tr>
    </w:tbl>
    <w:p w:rsidR="00000000" w:rsidDel="00000000" w:rsidP="00000000" w:rsidRDefault="00000000" w:rsidRPr="00000000" w14:paraId="000000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resume cómo cada dimensión metodológica aporta una parte del protocolo experimental integrado y qué decisión transversal queda consolidada para la continuidad del proyecto.</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r w:rsidDel="00000000" w:rsidR="00000000" w:rsidRPr="00000000">
        <w:rPr>
          <w:rtl w:val="0"/>
        </w:rPr>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17.1.2.1. Delimitación del catálogo de condiciones de riesgo</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17.1.2.2. Núcleo obligatorio y extensiones condicionadas</w:t>
      </w: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4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r>
        <w:rPr>
          <w:rFonts w:ascii="Times New Roman" w:cs="Times New Roman" w:eastAsia="Times New Roman" w:hAnsi="Times New Roman"/>
          <w:sz w:val="24"/>
          <w:szCs w:val="24"/>
          <w:rtl w:val="0"/>
        </w:rPr>
        <w:t xml:space="preserve"> El catálogo completo, con su categoría normativa, componente evaluador y dificultad estimada, se presenta en la Tabla 21 (Sección 17.1.5.2.3).</w:t>
      </w:r>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17.1.3.1. Patrón de riesgo como unidad de análisis</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17.1.3.2. Cadena operativa mínima y motor de patrones</w:t>
      </w: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423">
      <w:pPr>
        <w:spacing w:line="480" w:lineRule="auto"/>
        <w:ind w:firstLine="720"/>
        <w:rPr>
          <w:rFonts w:ascii="Times New Roman" w:cs="Times New Roman" w:eastAsia="Times New Roman" w:hAnsi="Times New Roman"/>
          <w:sz w:val="24"/>
          <w:szCs w:val="24"/>
        </w:rPr>
      </w:pPr>
      <w:r>
        <w:t>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17.1.5.3.4.</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17.1.3.3. Escenarios de evaluación</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17.1.4.1. Introducción y alcance</w:t>
      </w:r>
      <w:r w:rsidDel="00000000" w:rsidR="00000000" w:rsidRPr="00000000">
        <w:rPr>
          <w:rtl w:val="0"/>
        </w:rPr>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entorno experimental comprende la infraestructura de cómputo disponible para inferencia y entrenamiento, el stack de software asociado, los escenarios de evaluación definidos para el proyecto y las condiciones operativas propias de cada escenario. Su caracterización responde a la pregunta rectora P-E1-04 de la fundamentación teórica: las restricciones del entorno de ejecución —capacidad computacional, protocolos de transmisión y presupuesto de procesamiento— que condicionan las decisiones arquitectónicas del prototipo. Los escenarios de evaluación establecen, además, las condiciones concretas bajo las cuales se ejercita el prototipo.</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 Infraestructura de evaluación</w:t>
      </w: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r>
        <w:rPr>
          <w:rFonts w:ascii="Times New Roman" w:cs="Times New Roman" w:eastAsia="Times New Roman" w:hAnsi="Times New Roman"/>
          <w:sz w:val="24"/>
          <w:szCs w:val="24"/>
          <w:rtl w:val="0"/>
        </w:rPr>
        <w:t xml:space="preserve"> Las conclusiones sobre viabilidad operativa —tiempo real, latencia y uso de recursos— se anclan en el CPN.</w:t>
      </w:r>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17.1.4.2.1. Central Processing Node (CPN)</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materializa sobre una laptop HP Victus 15 Gaming 15-FB2024LA con GPU NVIDIA GeForce RTX 4060 Laptop y </w:t>
      </w:r>
      <w:r w:rsidDel="00000000" w:rsidR="00000000" w:rsidRPr="00000000">
        <w:rPr>
          <w:rFonts w:ascii="Times New Roman" w:cs="Times New Roman" w:eastAsia="Times New Roman" w:hAnsi="Times New Roman"/>
          <w:sz w:val="24"/>
          <w:szCs w:val="24"/>
          <w:rtl w:val="0"/>
        </w:rPr>
        <w:t xml:space="preserve">8 GB de VRAM</w:t>
      </w:r>
      <w:r w:rsidDel="00000000" w:rsidR="00000000" w:rsidRPr="00000000">
        <w:rPr>
          <w:rFonts w:ascii="Times New Roman" w:cs="Times New Roman" w:eastAsia="Times New Roman" w:hAnsi="Times New Roman"/>
          <w:sz w:val="24"/>
          <w:szCs w:val="24"/>
          <w:rtl w:val="0"/>
        </w:rPr>
        <w:t xml:space="preserve">,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completas del CPN y del entorno de software se presentan en las </w:t>
      </w:r>
      <w:sdt>
        <w:sdtPr>
          <w:id w:val="-165786387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Tablas B.1 y B.3 del Anexo B</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stack del CPN debe ser compatible con los frameworks oficiales de Grounding DINO y YOLOE, con aceleración sobre GPU NVIDIA y con rutas reproducibles de inferencia. </w:t>
      </w:r>
      <w:sdt>
        <w:sdtPr>
          <w:id w:val="-1572146577"/>
          <w:tag w:val="goog_rdk_2"/>
        </w:sdtPr>
        <w:sdtContent/>
      </w:sdt>
      <w:r w:rsidDel="00000000" w:rsidR="00000000" w:rsidRPr="00000000">
        <w:rPr>
          <w:rFonts w:ascii="Times New Roman" w:cs="Times New Roman" w:eastAsia="Times New Roman" w:hAnsi="Times New Roman"/>
          <w:sz w:val="24"/>
          <w:szCs w:val="24"/>
          <w:rtl w:val="0"/>
        </w:rPr>
        <w:t xml:space="preserve">Las librerías, versiones y runtimes candidatos se documentan en la Tabla B.3 del Anexo B (Liu et al., 2023; Wang et al., 2025).</w:t>
      </w:r>
      <w:r w:rsidDel="00000000" w:rsidR="00000000" w:rsidRPr="00000000">
        <w:rPr>
          <w:rtl w:val="0"/>
        </w:rPr>
      </w:r>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17.1.4.2.2. Implicancias del NVDEC para el pipeline de medios</w:t>
      </w: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17.1.4.2.3. Edge Node (EN) y dispositivo de captura candidato</w:t>
      </w: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especificaciones del dispositivo de captura y su conectividad se detallan en la </w:t>
      </w:r>
      <w:sdt>
        <w:sdtPr>
          <w:id w:val="157434616"/>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B.2 del Anexo B.</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A">
      <w:pPr>
        <w:pStyle w:val="Heading4"/>
        <w:spacing w:after="0" w:before="0" w:line="480" w:lineRule="auto"/>
        <w:rPr>
          <w:rFonts w:ascii="Times New Roman" w:cs="Times New Roman" w:eastAsia="Times New Roman" w:hAnsi="Times New Roman"/>
          <w:b w:val="1"/>
          <w:bCs w:val="1"/>
          <w:color w:val="000000"/>
        </w:rPr>
      </w:pPr>
      <w:sdt>
        <w:sdtPr>
          <w:id w:val="-1572146577"/>
          <w:tag w:val="goog_rdk_2"/>
        </w:sdtPr>
        <w:sdtContent>
          <w:commentRangeStart w:id="2"/>
        </w:sdtContent>
      </w:sdt>
      <w:commentRangeEnd w:id="2"/>
      <w:r w:rsidDel="00000000" w:rsidR="00000000" w:rsidRPr="00000000">
        <w:commentReference w:id="2"/>
      </w:r>
      <w:r w:rsidDel="00000000" w:rsidR="00000000" w:rsidRPr="00000000">
        <w:rPr>
          <w:rFonts w:ascii="Times New Roman" w:cs="Times New Roman" w:eastAsia="Times New Roman" w:hAnsi="Times New Roman"/>
          <w:b w:val="1"/>
          <w:bCs w:val="1"/>
          <w:i w:val="0"/>
          <w:iCs w:val="0"/>
          <w:color w:val="000000"/>
          <w:sz w:val="24"/>
          <w:szCs w:val="24"/>
          <w:rtl w:val="0"/>
        </w:rPr>
        <w:t xml:space="preserve">17.1.4.3. Adaptación de modelos al dominio</w:t>
      </w: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TN se materializa mediante el clúster institucional Mendieta del CCAD-UNC, reservado para preparación y ajuste de variantes. Su capacidad no sustituye la evaluación operativa sobre el CPN;</w:t>
      </w:r>
      <w:sdt>
        <w:sdtPr>
          <w:id w:val="-146718022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 las especificaciones del recurso se presentan en la Tabla B.4 del Anexo B (Centro de Computación de Alto Desempeño, 2026).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del TN debe permitir preparación de datos, entrenamiento reproducible, conservación de checkpoints y exportación hacia el runtime del CPN.</w:t>
      </w:r>
      <w:sdt>
        <w:sdtPr>
          <w:id w:val="214413342"/>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 La configuración candidata se resume en la Tabla B.5 del Anexo 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 Escenarios de evaluación</w:t>
      </w:r>
      <w:r w:rsidDel="00000000" w:rsidR="00000000" w:rsidRPr="00000000">
        <w:rPr>
          <w:rtl w:val="0"/>
        </w:rPr>
      </w:r>
    </w:p>
    <w:p w:rsidR="00000000" w:rsidDel="00000000" w:rsidP="00000000" w:rsidRDefault="00000000" w:rsidRPr="00000000" w14:paraId="000004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de los modelos preentrenados (baseline) y, cuando una variante ajustada haya sido adoptada conforme a las condiciones de la Sección 17.1.9, de los modelos ajustados mediante fine-tuning en el TN, permitiendo una comparación directa del impacto de la adaptación al dominio.</w:t>
      </w:r>
    </w:p>
    <w:p w:rsidR="00000000" w:rsidDel="00000000" w:rsidP="00000000" w:rsidRDefault="00000000" w:rsidRPr="00000000" w14:paraId="00000095">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17.1.4.4.1. Escenario A - Dataset-Based Evaluation (DBE)</w:t>
      </w: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18</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A - Dataset-Based Evaluation (DBE)</w:t>
      </w:r>
      <w:r w:rsidDel="00000000" w:rsidR="00000000" w:rsidRPr="00000000">
        <w:rPr>
          <w:rtl w:val="0"/>
        </w:rPr>
      </w:r>
    </w:p>
    <w:tbl>
      <w:tblPr>
        <w:tblStyle w:val="Table4"/>
        <w:tblW w:w="11670.0" w:type="dxa"/>
        <w:jc w:val="center"/>
        <w:tblLayout w:type="fixed"/>
        <w:tblLook w:val="0400"/>
      </w:tblPr>
      <w:tblGrid>
        <w:gridCol w:w="3015"/>
        <w:gridCol w:w="8655"/>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A">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17.1.4.4.2. Escenario B - Environment-Based Evaluation (EBE)</w:t>
      </w:r>
      <w:r w:rsidDel="00000000" w:rsidR="00000000" w:rsidRPr="00000000">
        <w:rPr>
          <w:rtl w:val="0"/>
        </w:rPr>
      </w:r>
    </w:p>
    <w:p w:rsidR="00000000" w:rsidDel="00000000" w:rsidP="00000000" w:rsidRDefault="00000000" w:rsidRPr="00000000" w14:paraId="0000043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925149438"/>
          <w:tag w:val="goog_rdk_5"/>
        </w:sdtPr>
        <w:sdtContent>
          <w:commentRangeStart w:id="5"/>
        </w:sdtContent>
      </w:sdt>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t>
      </w:r>
      <w:sdt>
        <w:sdtPr>
          <w:id w:val="-925149438"/>
          <w:tag w:val="goog_rdk_5"/>
        </w:sdtPr>
        <w:sdtContent/>
      </w:sdt>
      <w:r w:rsidDel="00000000" w:rsidR="00000000" w:rsidRPr="00000000">
        <w:rPr>
          <w:rFonts w:ascii="Times New Roman" w:cs="Times New Roman" w:eastAsia="Times New Roman" w:hAnsi="Times New Roman"/>
          <w:sz w:val="24"/>
          <w:szCs w:val="24"/>
          <w:rtl w:val="0"/>
        </w:rPr>
        <w:t xml:space="preserve">Al igual que en el Escenario A, se ejecuta la variante preentrenada y, cuando haya sido adoptada conforme a la Sección 17.1.9, la variante fine-tuned del modelo candidato seleccionado tras la evaluación del Escenario A.</w:t>
      </w:r>
      <w:r w:rsidDel="00000000" w:rsidR="00000000" w:rsidRPr="00000000">
        <w:rPr>
          <w:rtl w:val="0"/>
        </w:rPr>
      </w:r>
      <w:r>
        <w:rPr>
          <w:rFonts w:ascii="Times New Roman" w:cs="Times New Roman" w:eastAsia="Times New Roman" w:hAnsi="Times New Roman"/>
          <w:sz w:val="24"/>
          <w:szCs w:val="24"/>
          <w:rtl w:val="0"/>
        </w:rPr>
        <w:t xml:space="preserve"> Las variables de sensibilidad candidatas para este escenario se catalogan en la Tabla C.2 del Anexo C.</w:t>
      </w:r>
    </w:p>
    <w:p w:rsidR="00000000" w:rsidDel="00000000" w:rsidP="00000000" w:rsidRDefault="00000000" w:rsidRPr="00000000" w14:paraId="0000044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19</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B - Environment-Based Evaluation (EBE)</w:t>
      </w:r>
      <w:r w:rsidDel="00000000" w:rsidR="00000000" w:rsidRPr="00000000">
        <w:rPr>
          <w:rtl w:val="0"/>
        </w:rPr>
      </w:r>
    </w:p>
    <w:tbl>
      <w:tblPr>
        <w:tblStyle w:val="Table5"/>
        <w:tblW w:w="10460.0" w:type="dxa"/>
        <w:jc w:val="center"/>
        <w:tblLayout w:type="fixed"/>
        <w:tblLook w:val="0400"/>
      </w:tblPr>
      <w:tblGrid>
        <w:gridCol w:w="1980"/>
        <w:gridCol w:w="84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cámara IP por RTSP o captura directa con OAK-D Pro PoE. La fuente RTSP sintética se reserva para desarrollo y reproducibilidad.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infracción deliberada.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central; EN para captura y, sólo como variante condicionada, preprocesamiento liviano.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cuando corresponda conforme a la Sección 17.1.9, variante fine-tuned, sobre el modelo o combinación seleccionada tras el Escenario 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0C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 Parámetros operativos de referencia</w:t>
      </w:r>
      <w:r w:rsidDel="00000000" w:rsidR="00000000" w:rsidRPr="00000000">
        <w:rPr>
          <w:rtl w:val="0"/>
        </w:rPr>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se documentan por perfil. En particular, la resolución de inferencia es un parámetro del perfil de modelo y debe fijarse junto con los umbrales recalibrados para ese perfil; no se adopta una resolución única para todas las familias.</w:t>
      </w:r>
      <w:sdt>
        <w:sdtPr>
          <w:id w:val="1339383839"/>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 Los restantes valores orientativos se presentan en la Tabla B.6 del Anexo 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el EBE, la captura y el procesamiento pueden ubicarse en nodos distintos. El protocolo exige declarar fuente, transporte, buffering y anclas temporales para distinguir la latencia de adquisición de la latencia algorítmica. </w:t>
      </w:r>
      <w:sdt>
        <w:sdtPr>
          <w:id w:val="-1084105532"/>
          <w:tag w:val="goog_rdk_7"/>
        </w:sdtPr>
        <w:sdtContent>
          <w:commentRangeStart w:id="7"/>
        </w:sdtContent>
      </w:sdt>
      <w:sdt>
        <w:sdtPr>
          <w:id w:val="1748944837"/>
          <w:tag w:val="goog_rdk_8"/>
        </w:sdtPr>
        <w:sdtContent>
          <w:commentRangeStart w:id="8"/>
        </w:sdtContent>
      </w:sdt>
      <w:sdt>
        <w:sdtPr>
          <w:id w:val="-599940628"/>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La topología de referencia se presenta en la Tabla B.7 del Anexo B.</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17.1.4.6. Restricciones y condicionantes del entorno experimental</w:t>
      </w:r>
      <w:r w:rsidDel="00000000" w:rsidR="00000000" w:rsidRPr="00000000">
        <w:rPr>
          <w:rtl w:val="0"/>
        </w:rPr>
      </w:r>
    </w:p>
    <w:p w:rsidR="00000000" w:rsidDel="00000000" w:rsidP="00000000" w:rsidRDefault="00000000" w:rsidRPr="00000000" w14:paraId="000004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restricciones detalladas en la Tabla 20 condicionan las decisiones del diseño arquitectónico y de la implementación, y deben tenerse presentes al interpretar los resultados experimentales.</w:t>
      </w:r>
    </w:p>
    <w:p w:rsidR="00000000" w:rsidDel="00000000" w:rsidP="00000000" w:rsidRDefault="00000000" w:rsidRPr="00000000" w14:paraId="0000044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Restricciones y condicionantes del entorno experimental</w:t>
      </w:r>
      <w:r w:rsidDel="00000000" w:rsidR="00000000" w:rsidRPr="00000000">
        <w:rPr>
          <w:rtl w:val="0"/>
        </w:rPr>
      </w:r>
    </w:p>
    <w:tbl>
      <w:tblPr>
        <w:tblStyle w:val="Table6"/>
        <w:tblW w:w="10480.0" w:type="dxa"/>
        <w:jc w:val="center"/>
        <w:tblLayout w:type="fixed"/>
        <w:tblLook w:val="0400"/>
      </w:tblPr>
      <w:tblGrid>
        <w:gridCol w:w="3020"/>
        <w:gridCol w:w="2680"/>
        <w:gridCol w:w="47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mediante WSL2 y contenedores Linux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ejecución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versiones de CUDA, bibliotecas, runtimes y bus deben ser compatibles con el entorno Linux adoptado y quedar congeladas por corrida.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sdt>
              <w:sdtPr>
                <w:id w:val="-1029631465"/>
                <w:tag w:val="goog_rdk_10"/>
              </w:sdtPr>
              <w:sdtContent>
                <w:commentRangeStart w:id="10"/>
              </w:sdtContent>
            </w:sdt>
            <w:commentRangeEnd w:id="10"/>
            <w:r w:rsidDel="00000000" w:rsidR="00000000" w:rsidRPr="00000000">
              <w:commentReference w:id="10"/>
            </w:r>
            <w:sdt>
              <w:sdtPr>
                <w:id w:val="-1029631465"/>
                <w:tag w:val="goog_rdk_10"/>
              </w:sdtPr>
              <w:sdtContent/>
            </w:sdt>
            <w:r w:rsidDel="00000000" w:rsidR="00000000" w:rsidRPr="00000000">
              <w:rPr>
                <w:rFonts w:ascii="Times New Roman" w:cs="Times New Roman" w:eastAsia="Times New Roman" w:hAnsi="Times New Roman"/>
                <w:sz w:val="24"/>
                <w:szCs w:val="24"/>
                <w:rtl w:val="0"/>
              </w:rPr>
              <w:t xml:space="preserve">Presupuesto de latencia por cuadro, desde la captura hasta la evidencia utilizable para alerta, del orden de 35–250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 (Sección 17.1.7.7)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ajuste debe contemplar la cola institucional, sin convertir la disponibilidad de cómputo en criterio metodológico de aceptación o descarte.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0E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 basada en las especificaciones del hardware disponible, la caracterización del TN y del EN en la presente sección, los criterios metodológicos fijados en la estrategia de datos, benchmarks y partición y el marco normativo argentino aplicable a protección de datos personales y videovigilancia.</w:t>
      </w:r>
    </w:p>
    <w:p w:rsidR="00000000" w:rsidDel="00000000" w:rsidP="00000000" w:rsidRDefault="00000000" w:rsidRPr="00000000" w14:paraId="00000100">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98542299"/>
          <w:tag w:val="goog_rdk_11"/>
        </w:sdtPr>
        <w:sdtContent>
          <w:commentRangeStart w:id="11"/>
        </w:sdtContent>
      </w:sdt>
      <w:commentRangeEnd w:id="11"/>
      <w:r w:rsidDel="00000000" w:rsidR="00000000" w:rsidRPr="00000000">
        <w:commentReference w:id="11"/>
      </w: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10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17.1.5.1. Introducción y alcance</w:t>
      </w:r>
      <w:r w:rsidDel="00000000" w:rsidR="00000000" w:rsidRPr="00000000">
        <w:rPr>
          <w:rtl w:val="0"/>
        </w:rPr>
      </w:r>
    </w:p>
    <w:p w:rsidR="00000000" w:rsidDel="00000000" w:rsidP="00000000" w:rsidRDefault="00000000" w:rsidRPr="00000000" w14:paraId="0000042E">
      <w:pPr>
        <w:spacing w:line="480" w:lineRule="auto"/>
        <w:ind w:firstLine="720"/>
        <w:rPr>
          <w:rFonts w:ascii="Times New Roman" w:cs="Times New Roman" w:eastAsia="Times New Roman" w:hAnsi="Times New Roman"/>
          <w:sz w:val="24"/>
          <w:szCs w:val="24"/>
        </w:rPr>
      </w:pPr>
      <w:sdt>
        <w:sdtPr>
          <w:id w:val="317302559"/>
          <w:tag w:val="goog_rdk_12"/>
        </w:sdtPr>
        <w:sdtContent>
          <w:commentRangeStart w:id="12"/>
        </w:sdtContent>
      </w:sdt>
      <w:r>
        <w:t>La taxonomía de condiciones de riesgo, los patrones asociados y el protocolo de prompts responden a la pregunta rectora P-E1-02, que dejó abierta la brecha entre la identificación normativa de condiciones de riesgo y su traducción en consultas textuales evaluables por modelos de detección open-vocabulary, y señaló que la formulación del prompt no es un detalle accesorio sino una variable capaz de alterar significativamente el desempeño del detector en dominios especializados. En articulación con el framework de métricas, se delimita además cómo estas definiciones deben leerse respecto de la latencia de alerta, las métricas operativas y los criterios de aplicación del framework evaluativo.</w:t>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establece qué condiciones</w:t>
      </w:r>
      <w:r>
        <w:rPr>
          <w:rFonts w:ascii="Times New Roman" w:cs="Times New Roman" w:eastAsia="Times New Roman" w:hAnsi="Times New Roman"/>
          <w:sz w:val="24"/>
          <w:szCs w:val="24"/>
          <w:rtl w:val="0"/>
        </w:rPr>
        <w:t xml:space="preserve">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 En consecuencia, las condiciones de Nivel 2 representan un escalón intermedio de complejidad, en el que la evaluabilidad depende tanto de la calidad de la detección de entidades como de la solidez de las reglas espaciales definidas para interpretar su relación contextual.</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44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p>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8"/>
        <w:tblW w:w="10460.0" w:type="dxa"/>
        <w:jc w:val="center"/>
        <w:tblLayout w:type="fixed"/>
        <w:tblLook w:val="0400"/>
      </w:tblPr>
      <w:tblGrid>
        <w:gridCol w:w="820"/>
        <w:gridCol w:w="640"/>
        <w:gridCol w:w="1700"/>
        <w:gridCol w:w="2380"/>
        <w:gridCol w:w="2240"/>
        <w:gridCol w:w="1620"/>
        <w:gridCol w:w="106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“Componente evaluador” indica qué módulos del sistema participan en la evaluación de cada condición. “OVD cuadro a cuadro” significa que la condición es resoluble con una o más consultas al detector por cuadro. “OVD + contexto espacial intracuadro” indica que se requiere evaluar relaciones geométricas entre detecciones dentro del mismo cuadro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r>
        <w:rPr>
          <w:rFonts w:ascii="Times New Roman" w:cs="Times New Roman" w:eastAsia="Times New Roman" w:hAnsi="Times New Roman"/>
          <w:sz w:val="24"/>
          <w:szCs w:val="24"/>
          <w:rtl w:val="0"/>
        </w:rPr>
        <w:t xml:space="preserve"> CR-01 y CR-02 constituyen el núcleo obligatorio del prototipo experimental; las restantes condiciones operan como extensiones condicionadas que no bloquean la aceptación del núcleo.</w:t>
      </w:r>
    </w:p>
    <w:p w:rsidR="00000000" w:rsidDel="00000000" w:rsidP="00000000" w:rsidRDefault="00000000" w:rsidRPr="00000000" w14:paraId="000001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 Definición conceptual de patrones de riesgo</w:t>
      </w:r>
      <w:r w:rsidDel="00000000" w:rsidR="00000000" w:rsidRPr="00000000">
        <w:rPr>
          <w:rtl w:val="0"/>
        </w:rPr>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Los patrones de riesgo constituyen la unidad operativa de análisis del sistema E-OVRT-VDP. Su definición conceptual articula tres componentes:</w:t>
      </w:r>
      <w:r>
        <w:rPr>
          <w:rFonts w:ascii="Times New Roman" w:cs="Times New Roman" w:eastAsia="Times New Roman" w:hAnsi="Times New Roman"/>
          <w:sz w:val="24"/>
          <w:szCs w:val="24"/>
          <w:rtl w:val="0"/>
        </w:rPr>
        <w:t xml:space="preserve">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4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424">
      <w:pPr>
        <w:spacing w:line="480" w:lineRule="auto"/>
        <w:ind w:firstLine="720"/>
        <w:rPr>
          <w:rFonts w:ascii="Times New Roman" w:cs="Times New Roman" w:eastAsia="Times New Roman" w:hAnsi="Times New Roman"/>
          <w:sz w:val="24"/>
          <w:szCs w:val="24"/>
        </w:rPr>
      </w:pPr>
      <w:r>
        <w:t xml:space="preserve">El </w:t>
      </w:r>
      <w:r>
        <w:t>nivel crítico</w:t>
      </w:r>
      <w:r>
        <w:t xml:space="preserve"> corresponde a condiciones con potencial de escalada rápida hacia daño grave o fatal. El Decreto 911/96 establece las medidas de prevención frente al riesgo de caída de personas y los trabajos con riesgo de caída a distinto nivel (arts. 52 a 57), y regula la operación de vehículos y maquinaria automotriz junto con la protección frente a la circulación vehicular —señalización, vallado, equipos de alta visibilidad, vigías— (arts. 246 a 249). En ambos casos,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425">
      <w:pPr>
        <w:spacing w:line="480" w:lineRule="auto"/>
        <w:ind w:firstLine="720"/>
        <w:rPr>
          <w:rFonts w:ascii="Times New Roman" w:cs="Times New Roman" w:eastAsia="Times New Roman" w:hAnsi="Times New Roman"/>
          <w:sz w:val="24"/>
          <w:szCs w:val="24"/>
        </w:rPr>
      </w:pPr>
      <w:r>
        <w:t xml:space="preserve">El </w:t>
      </w:r>
      <w:r>
        <w:t>nivel alto</w:t>
      </w:r>
      <w:r>
        <w:t xml:space="preserve"> corresponde a condiciones cuya exposición sostenida incrementa de forma significativa el riesgo, aunque con mayor margen de intervención que en el nivel crítico. El Decreto 911/96 regula la provisión, uso, condiciones y vida útil de los equipos de protección personal y la vestimenta de trabajo (arts. 98 a 106), y la provisión de casco de seguridad para tareas con riesgos específicos (art. 107).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426">
      <w:pPr>
        <w:spacing w:line="480" w:lineRule="auto"/>
        <w:ind w:firstLine="720"/>
        <w:rPr>
          <w:rFonts w:ascii="Times New Roman" w:cs="Times New Roman" w:eastAsia="Times New Roman" w:hAnsi="Times New Roman"/>
          <w:sz w:val="24"/>
          <w:szCs w:val="24"/>
        </w:rPr>
      </w:pPr>
      <w:r>
        <w:t xml:space="preserve">El </w:t>
      </w:r>
      <w:r>
        <w:t>nivel medio</w:t>
      </w:r>
      <w:r>
        <w:t xml:space="preserve"> corresponde a condiciones con riesgo latente o de escalada relativamente más lenta, donde puede exigirse mayor evidencia antes de confirmar la alerta. La obligación de emplear elementos reflectivos o de alta visibilidad se vincula con los trabajos nocturnos y con la construcción de carreteras en uso (Decreto 911/96, arts. 63 y 70), y puede complementarse con la Resolución SRT 299/2011 sobre registración y constancia de entrega de ropa de trabajo y EPP.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9">
      <w:pPr>
        <w:pStyle w:val="Heading5"/>
        <w:spacing w:after="0" w:before="0" w:line="480" w:lineRule="auto"/>
        <w:rPr>
          <w:rFonts w:ascii="Times New Roman" w:cs="Times New Roman" w:eastAsia="Times New Roman" w:hAnsi="Times New Roman"/>
          <w:b w:val="1"/>
          <w:bCs w:val="1"/>
          <w:color w:val="000000"/>
          <w:sz w:val="24"/>
          <w:szCs w:val="24"/>
        </w:rPr>
      </w:pPr>
      <w:sdt>
        <w:sdtPr>
          <w:id w:val="1800442358"/>
          <w:tag w:val="goog_rdk_13"/>
        </w:sdtPr>
        <w:sdtContent>
          <w:commentRangeStart w:id="13"/>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430">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w:t>
      </w:r>
      <w:r>
        <w:rPr>
          <w:rFonts w:ascii="Times New Roman" w:cs="Times New Roman" w:eastAsia="Times New Roman" w:hAnsi="Times New Roman"/>
          <w:sz w:val="24"/>
          <w:szCs w:val="24"/>
          <w:rtl w:val="0"/>
        </w:rPr>
        <w:t>Estos criterios se definen en términos de duración temporal</w:t>
      </w:r>
      <w:r>
        <w:rPr>
          <w:rFonts w:ascii="Times New Roman" w:cs="Times New Roman" w:eastAsia="Times New Roman" w:hAnsi="Times New Roman"/>
          <w:sz w:val="24"/>
          <w:szCs w:val="24"/>
          <w:rtl w:val="0"/>
        </w:rPr>
        <w:t xml:space="preserve">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conocida la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42A">
      <w:pPr>
        <w:spacing w:line="480" w:lineRule="auto"/>
        <w:ind w:firstLine="720"/>
        <w:rPr>
          <w:rFonts w:ascii="Times New Roman" w:cs="Times New Roman" w:eastAsia="Times New Roman" w:hAnsi="Times New Roman"/>
          <w:sz w:val="24"/>
          <w:szCs w:val="24"/>
        </w:rPr>
      </w:pPr>
      <w:r>
        <w:t>Estos rangos tienen carácter analítico; los valores definitivos se calibran empíricamente durante la validación experimental, una vez conocido el throughput efectivo.</w:t>
      </w:r>
    </w:p>
    <w:p w:rsidR="00000000" w:rsidDel="00000000" w:rsidP="00000000" w:rsidRDefault="00000000" w:rsidRPr="00000000" w14:paraId="000004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se retoma en la instancia de análisis y diseño arquitectónico,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1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traduce esta definición en componentes, contratos, eventos y configuraciones concretas; la implementación del prototipo la materializa; y la validación experimental calibra empíricamente sus umbrales, ventanas e histéresis. Con esta delimitación se cierra la brecha entre el patrón conceptual y su evaluación en runtime.</w:t>
      </w:r>
    </w:p>
    <w:p w:rsidR="00000000" w:rsidDel="00000000" w:rsidP="00000000" w:rsidRDefault="00000000" w:rsidRPr="00000000" w14:paraId="0000016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4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22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p>
    <w:p w:rsidR="00000000" w:rsidDel="00000000" w:rsidP="00000000" w:rsidRDefault="00000000" w:rsidRPr="00000000" w14:paraId="000004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9"/>
        <w:tblW w:w="10440.0" w:type="dxa"/>
        <w:jc w:val="center"/>
        <w:tblLayout w:type="fixed"/>
        <w:tblLook w:val="0400"/>
      </w:tblPr>
      <w:tblGrid>
        <w:gridCol w:w="1060"/>
        <w:gridCol w:w="840"/>
        <w:gridCol w:w="1040"/>
        <w:gridCol w:w="1200"/>
        <w:gridCol w:w="2140"/>
        <w:gridCol w:w="2840"/>
        <w:gridCol w:w="132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del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43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del Decreto 911/96 y la Ley 19.587.</w:t>
      </w:r>
    </w:p>
    <w:p w:rsidR="00000000" w:rsidDel="00000000" w:rsidP="00000000" w:rsidRDefault="00000000" w:rsidRPr="00000000" w14:paraId="0000019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1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42C">
      <w:pPr>
        <w:spacing w:line="480" w:lineRule="auto"/>
        <w:ind w:firstLine="720"/>
        <w:rPr>
          <w:rFonts w:ascii="Times New Roman" w:cs="Times New Roman" w:eastAsia="Times New Roman" w:hAnsi="Times New Roman"/>
          <w:sz w:val="24"/>
          <w:szCs w:val="24"/>
        </w:rPr>
      </w:pPr>
      <w:r>
        <w:t>PR-05 — maquinaria en proximidad a peatones. La activación requiere la detección simultánea de al menos una entidad clasificable como maquinaria de obra —por ejemplo, excavadora, retroexcavadora, camión volquete o grúa— y al menos una persona, cuyas detecciones presenten una relación de proximidad inferior a un umbral configurable. Toda métrica de proximidad calculada en coordenadas de imagen debe interpretarse como una medida geométrica 2D aproximada y no como una distancia física real, dado que la perspectiva de cámara altera las distancias aparentes. La evaluación debe sostenerse durante el intervalo de persistencia definido para el patrón, lo que exige trayectorias suficientemente estables de las entidades involucradas. La selección de puntos representativos de las detecciones y de la métrica geométrica concreta corresponde a la instancia de análisis y diseño arquitectónico.</w:t>
      </w:r>
    </w:p>
    <w:p w:rsidR="00000000" w:rsidDel="00000000" w:rsidP="00000000" w:rsidRDefault="00000000" w:rsidRPr="00000000" w14:paraId="0000042D">
      <w:pPr>
        <w:spacing w:line="480" w:lineRule="auto"/>
        <w:ind w:firstLine="720"/>
        <w:rPr>
          <w:rFonts w:ascii="Times New Roman" w:cs="Times New Roman" w:eastAsia="Times New Roman" w:hAnsi="Times New Roman"/>
          <w:sz w:val="24"/>
          <w:szCs w:val="24"/>
        </w:rPr>
      </w:pPr>
      <w:r>
        <w:t>PR-06 — persona en zona restringida. La activación requiere la detección de al menos una persona cuya posición representativa se encuentre contenida dentro de un polígono predefinido que representa la zona restringida. El polígono forma parte de la parametrización del sistema —configurable por el operador, externo al prompt OVD— y presupone una cámara fija, supuesto adoptado para el alcance del prototipo experimental. La permanencia debe sostenerse durante el intervalo de persistencia, lo que implica seguimiento temporal cuando la persistencia se compute por entidad individual. El mecanismo de definición de polígonos y la lógica de contención corresponden a la instancia de análisis y diseño arquitectónico.</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45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Quedan tres insumos directos para la instancia</w:t>
      </w:r>
      <w:r>
        <w:rPr>
          <w:rFonts w:ascii="Times New Roman" w:cs="Times New Roman" w:eastAsia="Times New Roman" w:hAnsi="Times New Roman"/>
          <w:sz w:val="24"/>
          <w:szCs w:val="24"/>
          <w:rtl w:val="0"/>
        </w:rPr>
        <w:t xml:space="preserve"> de análisis y diseño arquitectónico: el catálogo de condiciones de riesgo clasificado por niveles de complejidad (Tabla 21), el catálogo de patrones con severidad y persistencia temporal orientativa (Tabla 22),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p>
    <w:p w:rsidR="00000000" w:rsidDel="00000000" w:rsidP="00000000" w:rsidRDefault="00000000" w:rsidRPr="00000000" w14:paraId="000004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materializa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allí se define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 Protocolo de diseño y evaluación de prompts OVD</w:t>
      </w:r>
      <w:r w:rsidDel="00000000" w:rsidR="00000000" w:rsidRPr="00000000">
        <w:rPr>
          <w:rtl w:val="0"/>
        </w:rPr>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protocolo de prompts establece el marco para el diseño, la variación sistemática y la evaluación empírica de las consultas textuales que operan como interfaz del modelo OVD.</w:t>
      </w:r>
      <w:r>
        <w:rPr>
          <w:rFonts w:ascii="Times New Roman" w:cs="Times New Roman" w:eastAsia="Times New Roman" w:hAnsi="Times New Roman"/>
          <w:sz w:val="24"/>
          <w:szCs w:val="24"/>
          <w:rtl w:val="0"/>
        </w:rPr>
        <w:t xml:space="preserve">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w:t>
      </w:r>
      <w:r>
        <w:rPr>
          <w:rFonts w:ascii="Times New Roman" w:cs="Times New Roman" w:eastAsia="Times New Roman" w:hAnsi="Times New Roman"/>
          <w:sz w:val="24"/>
          <w:szCs w:val="24"/>
          <w:rtl w:val="0"/>
        </w:rPr>
        <w:t>El protocolo se articula con el framework de métricas, del cual toma las métricas</w:t>
      </w:r>
      <w:r>
        <w:rPr>
          <w:rFonts w:ascii="Times New Roman" w:cs="Times New Roman" w:eastAsia="Times New Roman" w:hAnsi="Times New Roman"/>
          <w:sz w:val="24"/>
          <w:szCs w:val="24"/>
          <w:rtl w:val="0"/>
        </w:rPr>
        <w:t xml:space="preserve"> de evaluación y los criterios operativos aplicables al componente OVD.</w:t>
      </w:r>
    </w:p>
    <w:p w:rsidR="00000000" w:rsidDel="00000000" w:rsidP="00000000" w:rsidRDefault="00000000" w:rsidRPr="00000000" w14:paraId="000001A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t>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t>
      </w:r>
    </w:p>
    <w:p w:rsidR="00000000" w:rsidDel="00000000" w:rsidP="00000000" w:rsidRDefault="00000000" w:rsidRPr="00000000" w14:paraId="000001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 riesgo del catálogo (Tabla 21)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w:t>
      </w:r>
      <w:r w:rsidDel="00000000" w:rsidR="00000000" w:rsidRPr="00000000">
        <w:rPr>
          <w:rFonts w:ascii="Courier New" w:cs="Courier New" w:eastAsia="Courier New" w:hAnsi="Courier New"/>
          <w:sz w:val="24"/>
          <w:szCs w:val="24"/>
          <w:rtl w:val="0"/>
        </w:rPr>
        <w:t xml:space="preserve">E-DIR</w:t>
      </w:r>
      <w:r w:rsidDel="00000000" w:rsidR="00000000" w:rsidRPr="00000000">
        <w:rPr>
          <w:rFonts w:ascii="Times New Roman" w:cs="Times New Roman" w:eastAsia="Times New Roman" w:hAnsi="Times New Roman"/>
          <w:sz w:val="24"/>
          <w:szCs w:val="24"/>
          <w:rtl w:val="0"/>
        </w:rPr>
        <w:t xml:space="preserve">), cuando el prompt intenta describir la condición de riesgo completa; estrategia indirecta (</w:t>
      </w:r>
      <w:r w:rsidDel="00000000" w:rsidR="00000000" w:rsidRPr="00000000">
        <w:rPr>
          <w:rFonts w:ascii="Courier New" w:cs="Courier New" w:eastAsia="Courier New" w:hAnsi="Courier New"/>
          <w:sz w:val="24"/>
          <w:szCs w:val="24"/>
          <w:rtl w:val="0"/>
        </w:rPr>
        <w:t xml:space="preserve">E-IND</w:t>
      </w:r>
      <w:r w:rsidDel="00000000" w:rsidR="00000000" w:rsidRPr="00000000">
        <w:rPr>
          <w:rFonts w:ascii="Times New Roman" w:cs="Times New Roman" w:eastAsia="Times New Roman" w:hAnsi="Times New Roman"/>
          <w:sz w:val="24"/>
          <w:szCs w:val="24"/>
          <w:rtl w:val="0"/>
        </w:rPr>
        <w:t xml:space="preserve">), cuando el detector identifica entidades visibles por separado y la condición se reconstruye mediante lógica externa al modelo; y estrategia híbrida (</w:t>
      </w:r>
      <w:r w:rsidDel="00000000" w:rsidR="00000000" w:rsidRPr="00000000">
        <w:rPr>
          <w:rFonts w:ascii="Courier New" w:cs="Courier New" w:eastAsia="Courier New" w:hAnsi="Courier New"/>
          <w:sz w:val="24"/>
          <w:szCs w:val="24"/>
          <w:rtl w:val="0"/>
        </w:rPr>
        <w:t xml:space="preserve">E-HYB</w:t>
      </w:r>
      <w:r w:rsidDel="00000000" w:rsidR="00000000" w:rsidRPr="00000000">
        <w:rPr>
          <w:rFonts w:ascii="Times New Roman" w:cs="Times New Roman" w:eastAsia="Times New Roman" w:hAnsi="Times New Roman"/>
          <w:sz w:val="24"/>
          <w:szCs w:val="24"/>
          <w:rtl w:val="0"/>
        </w:rPr>
        <w:t xml:space="preserve">),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4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materializa la lógica de asociación espacial requerida por la estrategia indirecta y determina si su costo computacional adicional es compatible con las restricciones operativas del sistema.</w:t>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Implicancias del tamaño del vocabulario activo.</w:t>
      </w:r>
      <w:r>
        <w:rPr>
          <w:rFonts w:ascii="Times New Roman" w:cs="Times New Roman" w:eastAsia="Times New Roman" w:hAnsi="Times New Roman"/>
          <w:sz w:val="24"/>
          <w:szCs w:val="24"/>
          <w:rtl w:val="0"/>
        </w:rPr>
        <w: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cuadro, lo que resulta particularmente pertinente para un sistema orientado a tiempo real.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t>
      </w:r>
    </w:p>
    <w:p w:rsidR="00000000" w:rsidDel="00000000" w:rsidP="00000000" w:rsidRDefault="00000000" w:rsidRPr="00000000" w14:paraId="000001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sdt>
        <w:sdtPr>
          <w:id w:val="-960675388"/>
          <w:tag w:val="goog_rdk_14"/>
        </w:sdtPr>
        <w:sdtContent>
          <w:commentRangeStart w:id="14"/>
        </w:sdtContent>
      </w:sdt>
      <w:r w:rsidDel="00000000" w:rsidR="00000000" w:rsidRPr="00000000">
        <w:rPr>
          <w:rFonts w:ascii="Times New Roman" w:cs="Times New Roman" w:eastAsia="Times New Roman" w:hAnsi="Times New Roman"/>
          <w:sz w:val="24"/>
          <w:szCs w:val="24"/>
          <w:rtl w:val="0"/>
        </w:rPr>
        <w:t xml:space="preserve">Anexo C (Tabla C.1)</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Ejecución sistemática.</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4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el contraste entre familias de prompts precede al congelamiento de la configuración comparativa final en la instancia de análisis y diseño arquitectónico.</w:t>
      </w:r>
    </w:p>
    <w:p w:rsidR="00000000" w:rsidDel="00000000" w:rsidP="00000000" w:rsidRDefault="00000000" w:rsidRPr="00000000" w14:paraId="0000043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evitar ambigüedades terminológicas se adoptan dos definiciones operativas.</w:t>
      </w:r>
      <w:r>
        <w:rPr>
          <w:rFonts w:ascii="Times New Roman" w:cs="Times New Roman" w:eastAsia="Times New Roman" w:hAnsi="Times New Roman"/>
          <w:sz w:val="24"/>
          <w:szCs w:val="24"/>
          <w:rtl w:val="0"/>
        </w:rPr>
        <w:t xml:space="preserve">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deja explícito qué variable se mide cuando se habla del “tamaño” o de la “composición” del vocabulario.</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sdt>
        <w:sdtPr>
          <w:id w:val="-1787055459"/>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w:t>
      </w:r>
      <w:r w:rsidDel="00000000" w:rsidR="00000000" w:rsidRPr="00000000">
        <w:rPr>
          <w:rFonts w:ascii="Times New Roman" w:cs="Times New Roman" w:eastAsia="Times New Roman" w:hAnsi="Times New Roman"/>
          <w:sz w:val="24"/>
          <w:szCs w:val="24"/>
          <w:rtl w:val="0"/>
        </w:rPr>
        <w:t xml:space="preserve"> Anexo C.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 Introducción y alcance</w:t>
      </w:r>
      <w:r w:rsidDel="00000000" w:rsidR="00000000" w:rsidRPr="00000000">
        <w:rPr>
          <w:rtl w:val="0"/>
        </w:rPr>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estrategia de datos responde a las preguntas rectoras P-E1-03 y P-E1-08 formuladas en la sección 16.7.3 de la fundamentación teórica. En relación con P-E1-03, construye</w:t>
      </w:r>
      <w:r>
        <w:rPr>
          <w:rFonts w:ascii="Times New Roman" w:cs="Times New Roman" w:eastAsia="Times New Roman" w:hAnsi="Times New Roman"/>
          <w:sz w:val="24"/>
          <w:szCs w:val="24"/>
          <w:rtl w:val="0"/>
        </w:rPr>
        <w:t xml:space="preserv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Ese propósito se completa con un mapeo explícito entre cada dataset candidato y las condiciones de riesgo CR-01 a CR-06 de la taxonomía, y con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elabora un inventario</w:t>
      </w:r>
      <w:r>
        <w:rPr>
          <w:rFonts w:ascii="Times New Roman" w:cs="Times New Roman" w:eastAsia="Times New Roman" w:hAnsi="Times New Roman"/>
          <w:sz w:val="24"/>
          <w:szCs w:val="24"/>
          <w:rtl w:val="0"/>
        </w:rPr>
        <w:t xml:space="preserve">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inventario se organiza en dos categorías</w:t>
      </w:r>
      <w:r>
        <w:rPr>
          <w:rFonts w:ascii="Times New Roman" w:cs="Times New Roman" w:eastAsia="Times New Roman" w:hAnsi="Times New Roman"/>
          <w:sz w:val="24"/>
          <w:szCs w:val="24"/>
          <w:rtl w:val="0"/>
        </w:rPr>
        <w:t xml:space="preserve">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4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rtl w:val="0"/>
        </w:rPr>
        <w:t>Quedan fuera del inventario las colecciones generalistas</w:t>
      </w:r>
      <w:r>
        <w:rPr>
          <w:rFonts w:ascii="Times New Roman" w:cs="Times New Roman" w:eastAsia="Times New Roman" w:hAnsi="Times New Roman"/>
          <w:sz w:val="24"/>
          <w:szCs w:val="24"/>
          <w:rtl w:val="0"/>
        </w:rPr>
        <w:t xml:space="preserve">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4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fuera del alcance de esta instancia y sólo correspondería si se ampliara el conjunto de condiciones evaluadas.</w:t>
      </w:r>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10"/>
        <w:tblW w:w="10460.0" w:type="dxa"/>
        <w:jc w:val="center"/>
        <w:tblLayout w:type="fixed"/>
        <w:tblLook w:val="0400"/>
      </w:tblPr>
      <w:tblGrid>
        <w:gridCol w:w="900"/>
        <w:gridCol w:w="2420"/>
        <w:gridCol w:w="71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sdt>
        <w:sdtPr>
          <w:id w:val="284795292"/>
          <w:tag w:val="goog_rdk_16"/>
        </w:sdtPr>
        <w:sdtContent>
          <w:commentRangeStart w:id="16"/>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 Datasets de gestión directa (categoría 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456">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11"/>
        <w:tblW w:w="13920.0" w:type="dxa"/>
        <w:jc w:val="center"/>
        <w:tblLayout w:type="fixed"/>
        <w:tblLook w:val="0400"/>
      </w:tblPr>
      <w:tblGrid>
        <w:gridCol w:w="2500"/>
        <w:gridCol w:w="1400"/>
        <w:gridCol w:w="2500"/>
        <w:gridCol w:w="1600"/>
        <w:gridCol w:w="1650"/>
        <w:gridCol w:w="1550"/>
        <w:gridCol w:w="27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2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26">
      <w:pPr>
        <w:pStyle w:val="Heading5"/>
        <w:spacing w:after="0" w:before="0" w:line="480" w:lineRule="auto"/>
        <w:rPr>
          <w:rFonts w:ascii="Times New Roman" w:cs="Times New Roman" w:eastAsia="Times New Roman" w:hAnsi="Times New Roman"/>
          <w:b w:val="1"/>
          <w:bCs w:val="1"/>
          <w:color w:val="000000"/>
          <w:sz w:val="24"/>
          <w:szCs w:val="24"/>
        </w:rPr>
      </w:pPr>
      <w:sdt>
        <w:sdtPr>
          <w:id w:val="622771075"/>
          <w:tag w:val="goog_rdk_17"/>
        </w:sdtPr>
        <w:sdtContent>
          <w:commentRangeStart w:id="17"/>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457">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12"/>
        <w:tblW w:w="10460.0" w:type="dxa"/>
        <w:jc w:val="center"/>
        <w:tblLayout w:type="fixed"/>
        <w:tblLook w:val="0400"/>
      </w:tblPr>
      <w:tblGrid>
        <w:gridCol w:w="2500"/>
        <w:gridCol w:w="2540"/>
        <w:gridCol w:w="2260"/>
        <w:gridCol w:w="3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2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4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consentimiento y minimización. La ampliación sólo se justifica si aporta evidencia interpretable sin desplazar la evaluación del núcleo.</w:t>
      </w:r>
    </w:p>
    <w:p w:rsidR="00000000" w:rsidDel="00000000" w:rsidP="00000000" w:rsidRDefault="00000000" w:rsidRPr="00000000" w14:paraId="0000025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w:t>
      </w:r>
      <w:r>
        <w:rPr>
          <w:rFonts w:ascii="Times New Roman" w:cs="Times New Roman" w:eastAsia="Times New Roman" w:hAnsi="Times New Roman"/>
          <w:sz w:val="24"/>
          <w:szCs w:val="24"/>
          <w:rtl w:val="0"/>
        </w:rPr>
        <w:t>El protocolo fija sólo las condiciones metodológicas que cualquier esquema de partición deberá satisfacer.</w:t>
      </w:r>
      <w:r>
        <w:rPr>
          <w:rFonts w:ascii="Times New Roman" w:cs="Times New Roman" w:eastAsia="Times New Roman" w:hAnsi="Times New Roman"/>
          <w:sz w:val="24"/>
          <w:szCs w:val="24"/>
          <w:rtl w:val="0"/>
        </w:rPr>
        <w:t xml:space="preserve">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4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13"/>
        <w:tblW w:w="10460.0" w:type="dxa"/>
        <w:jc w:val="center"/>
        <w:tblLayout w:type="fixed"/>
        <w:tblLook w:val="0400"/>
      </w:tblPr>
      <w:tblGrid>
        <w:gridCol w:w="2060"/>
        <w:gridCol w:w="840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6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4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27 sintetiza la aptitud metodológica de las cuatro fuentes retenidas para ajuste y evaluación, sin asignar todavía un rol efectivo.</w:t>
      </w:r>
    </w:p>
    <w:p w:rsidR="00000000" w:rsidDel="00000000" w:rsidP="00000000" w:rsidRDefault="00000000" w:rsidRPr="00000000" w14:paraId="000002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4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14"/>
        <w:tblW w:w="12960.0" w:type="dxa"/>
        <w:jc w:val="center"/>
        <w:tblLayout w:type="fixed"/>
        <w:tblLook w:val="0400"/>
      </w:tblPr>
      <w:tblGrid>
        <w:gridCol w:w="3312"/>
        <w:gridCol w:w="1872"/>
        <w:gridCol w:w="2160"/>
        <w:gridCol w:w="5616"/>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A">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27E">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27F">
      <w:pPr>
        <w:pStyle w:val="Heading4"/>
        <w:spacing w:after="0" w:before="0" w:line="480" w:lineRule="auto"/>
        <w:rPr>
          <w:rFonts w:ascii="Times New Roman" w:cs="Times New Roman" w:eastAsia="Times New Roman" w:hAnsi="Times New Roman"/>
          <w:b w:val="1"/>
          <w:bCs w:val="1"/>
          <w:color w:val="000000"/>
        </w:rPr>
      </w:pPr>
      <w:sdt>
        <w:sdtPr>
          <w:id w:val="-206209159"/>
          <w:tag w:val="goog_rdk_18"/>
        </w:sdtPr>
        <w:sdtContent>
          <w:commentRangeStart w:id="18"/>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17.1.6.3. Benchmarks de evaluación de referencia (categoría 2)</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4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5"/>
        <w:tblW w:w="10480.0" w:type="dxa"/>
        <w:jc w:val="center"/>
        <w:tblLayout w:type="fixed"/>
        <w:tblLook w:val="0400"/>
      </w:tblPr>
      <w:tblGrid>
        <w:gridCol w:w="1180"/>
        <w:gridCol w:w="3340"/>
        <w:gridCol w:w="1160"/>
        <w:gridCol w:w="1060"/>
        <w:gridCol w:w="2060"/>
        <w:gridCol w:w="168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9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9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2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9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2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se realiza sobre los datos del proyecto o sobre el escenario complementario que se defina en la instancia de análisis y diseño arquitectónico.</w:t>
      </w:r>
    </w:p>
    <w:p w:rsidR="00000000" w:rsidDel="00000000" w:rsidP="00000000" w:rsidRDefault="00000000" w:rsidRPr="00000000" w14:paraId="0000029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 Consideraciones transversales</w:t>
      </w:r>
      <w:r w:rsidDel="00000000" w:rsidR="00000000" w:rsidRPr="00000000">
        <w:rPr>
          <w:rtl w:val="0"/>
        </w:rPr>
      </w:r>
    </w:p>
    <w:p w:rsidR="00000000" w:rsidDel="00000000" w:rsidP="00000000" w:rsidRDefault="00000000" w:rsidRPr="00000000" w14:paraId="0000029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Dos dimensiones atraviesan el inventario completo</w:t>
      </w:r>
      <w:r>
        <w:rPr>
          <w:rFonts w:ascii="Times New Roman" w:cs="Times New Roman" w:eastAsia="Times New Roman" w:hAnsi="Times New Roman"/>
          <w:sz w:val="24"/>
          <w:szCs w:val="24"/>
          <w:rtl w:val="0"/>
        </w:rPr>
        <w:t xml:space="preserve">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2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rsidR="00000000" w:rsidDel="00000000" w:rsidP="00000000" w:rsidRDefault="00000000" w:rsidRPr="00000000" w14:paraId="000004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25, sin atribuirles licencias no verificadas.</w:t>
      </w:r>
    </w:p>
    <w:p w:rsidR="00000000" w:rsidDel="00000000" w:rsidP="00000000" w:rsidRDefault="00000000" w:rsidRPr="00000000" w14:paraId="000004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2A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441">
      <w:pPr>
        <w:spacing w:line="480" w:lineRule="auto"/>
        <w:ind w:firstLine="720"/>
        <w:rPr>
          <w:rFonts w:ascii="Times New Roman" w:cs="Times New Roman" w:eastAsia="Times New Roman" w:hAnsi="Times New Roman"/>
          <w:sz w:val="24"/>
          <w:szCs w:val="24"/>
        </w:rPr>
      </w:pPr>
      <w:sdt>
        <w:sdtPr>
          <w:id w:val="-1708085815"/>
          <w:tag w:val="goog_rdk_19"/>
        </w:sdtPr>
        <w:sdtContent>
          <w:commentRangeStart w:id="19"/>
        </w:sdtContent>
      </w:sdt>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sdt>
        <w:sdtPr>
          <w:id w:val="-1708085815"/>
          <w:tag w:val="goog_rdk_19"/>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A3">
      <w:pPr>
        <w:pStyle w:val="Heading4"/>
        <w:spacing w:after="0" w:before="0" w:line="480" w:lineRule="auto"/>
        <w:rPr>
          <w:rFonts w:ascii="Times New Roman" w:cs="Times New Roman" w:eastAsia="Times New Roman" w:hAnsi="Times New Roman"/>
          <w:b w:val="1"/>
          <w:bCs w:val="1"/>
          <w:color w:val="000000"/>
        </w:rPr>
      </w:pPr>
      <w:sdt>
        <w:sdtPr>
          <w:id w:val="775464907"/>
          <w:tag w:val="goog_rdk_20"/>
        </w:sdtPr>
        <w:sdtContent>
          <w:commentRangeStart w:id="20"/>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17.1.6.5. Síntesis parcial de la estrategia de datos, benchmarks y partición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45D">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6"/>
        <w:tblW w:w="10480.0" w:type="dxa"/>
        <w:jc w:val="center"/>
        <w:tblLayout w:type="fixed"/>
        <w:tblLook w:val="0400"/>
      </w:tblPr>
      <w:tblGrid>
        <w:gridCol w:w="2920"/>
        <w:gridCol w:w="1600"/>
        <w:gridCol w:w="2620"/>
        <w:gridCol w:w="33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428">
      <w:pPr>
        <w:spacing w:line="480" w:lineRule="auto"/>
        <w:ind w:firstLine="720"/>
        <w:rPr>
          <w:rFonts w:ascii="Times New Roman" w:cs="Times New Roman" w:eastAsia="Times New Roman" w:hAnsi="Times New Roman"/>
          <w:sz w:val="24"/>
          <w:szCs w:val="24"/>
        </w:rPr>
      </w:pPr>
      <w:r>
        <w:t>La partición de datos se rige por las condiciones metodológicas obligatorias de la Tabla 26.</w:t>
      </w:r>
    </w:p>
    <w:p w:rsidR="00000000" w:rsidDel="00000000" w:rsidP="00000000" w:rsidRDefault="00000000" w:rsidRPr="00000000" w14:paraId="000002C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 Introducción y alcance</w:t>
      </w:r>
      <w:r w:rsidDel="00000000" w:rsidR="00000000" w:rsidRPr="00000000">
        <w:rPr>
          <w:rtl w:val="0"/>
        </w:rPr>
      </w:r>
    </w:p>
    <w:p w:rsidR="00000000" w:rsidDel="00000000" w:rsidP="00000000" w:rsidRDefault="00000000" w:rsidRPr="00000000" w14:paraId="000002C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ese marco, el framework responde a dos preguntas rectoras de la fundamentación teórica. En relación con P-E1-06, define las métricas para evaluar</w:t>
      </w:r>
      <w:r>
        <w:rPr>
          <w:rFonts w:ascii="Times New Roman" w:cs="Times New Roman" w:eastAsia="Times New Roman" w:hAnsi="Times New Roman"/>
          <w:sz w:val="24"/>
          <w:szCs w:val="24"/>
          <w:rtl w:val="0"/>
        </w:rPr>
        <w:t xml:space="preserve">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define métricas</w:t>
      </w:r>
      <w:r>
        <w:rPr>
          <w:rFonts w:ascii="Times New Roman" w:cs="Times New Roman" w:eastAsia="Times New Roman" w:hAnsi="Times New Roman"/>
          <w:sz w:val="24"/>
          <w:szCs w:val="24"/>
          <w:rtl w:val="0"/>
        </w:rPr>
        <w:t>,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C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w:t>
      </w:r>
      <w:r w:rsidDel="00000000" w:rsidR="00000000" w:rsidRPr="00000000">
        <w:rPr>
          <w:rFonts w:ascii="Courier New" w:cs="Courier New" w:eastAsia="Courier New" w:hAnsi="Courier New"/>
          <w:sz w:val="24"/>
          <w:szCs w:val="24"/>
          <w:rtl w:val="0"/>
        </w:rPr>
        <w:t xml:space="preserve">t_alert-system</w:t>
      </w:r>
      <w:r w:rsidDel="00000000" w:rsidR="00000000" w:rsidRPr="00000000">
        <w:rPr>
          <w:rFonts w:ascii="Times New Roman" w:cs="Times New Roman" w:eastAsia="Times New Roman" w:hAnsi="Times New Roman"/>
          <w:sz w:val="24"/>
          <w:szCs w:val="24"/>
          <w:rtl w:val="0"/>
        </w:rPr>
        <w:t xml:space="preserve">; la extensión hasta un canal instrumentado se identifica como </w:t>
      </w:r>
      <w:r w:rsidDel="00000000" w:rsidR="00000000" w:rsidRPr="00000000">
        <w:rPr>
          <w:rFonts w:ascii="Courier New" w:cs="Courier New" w:eastAsia="Courier New" w:hAnsi="Courier New"/>
          <w:sz w:val="24"/>
          <w:szCs w:val="24"/>
          <w:rtl w:val="0"/>
        </w:rPr>
        <w:t xml:space="preserve">t_alert-notification</w:t>
      </w:r>
      <w:r w:rsidDel="00000000" w:rsidR="00000000" w:rsidRPr="00000000">
        <w:rPr>
          <w:rFonts w:ascii="Times New Roman" w:cs="Times New Roman" w:eastAsia="Times New Roman" w:hAnsi="Times New Roman"/>
          <w:sz w:val="24"/>
          <w:szCs w:val="24"/>
          <w:rtl w:val="0"/>
        </w:rPr>
        <w:t xml:space="preserve">. Ambas denominaciones deben conservarse sin intercambiar sus hitos de inicio y cierre.</w:t>
      </w:r>
    </w:p>
    <w:p w:rsidR="00000000" w:rsidDel="00000000" w:rsidP="00000000" w:rsidRDefault="00000000" w:rsidRPr="00000000" w14:paraId="000002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D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D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D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todas las métricas del framework asumen el mismo nivel de compromiso.</w:t>
      </w:r>
      <w:r>
        <w:rPr>
          <w:rFonts w:ascii="Times New Roman" w:cs="Times New Roman" w:eastAsia="Times New Roman" w:hAnsi="Times New Roman"/>
          <w:sz w:val="24"/>
          <w:szCs w:val="24"/>
          <w:rtl w:val="0"/>
        </w:rPr>
        <w:t xml:space="preserve">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D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 Métricas adoptadas</w:t>
      </w:r>
      <w:r w:rsidDel="00000000" w:rsidR="00000000" w:rsidRPr="00000000">
        <w:rPr>
          <w:rtl w:val="0"/>
        </w:rPr>
      </w:r>
    </w:p>
    <w:p w:rsidR="00000000" w:rsidDel="00000000" w:rsidP="00000000" w:rsidRDefault="00000000" w:rsidRPr="00000000" w14:paraId="000002E2">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Las métricas adoptadas cubren los tres planos del sistema evaluable: detección OVD, seguimiento multiobjeto (MOT) y rendimiento del pipeline.</w:t>
      </w:r>
      <w:r>
        <w:rPr>
          <w:rFonts w:ascii="Times New Roman" w:cs="Times New Roman" w:eastAsia="Times New Roman" w:hAnsi="Times New Roman"/>
          <w:sz w:val="24"/>
          <w:szCs w:val="24"/>
          <w:rtl w:val="0"/>
        </w:rPr>
        <w:t xml:space="preserv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E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43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1309936628"/>
          <w:tag w:val="goog_rdk_21"/>
        </w:sdtPr>
        <w:sdtContent>
          <w:commentRangeStart w:id="21"/>
        </w:sdtContent>
      </w:sdt>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sdt>
        <w:sdtPr>
          <w:id w:val="-1309936628"/>
          <w:tag w:val="goog_rdk_21"/>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4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2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sdt>
        <w:sdtPr>
          <w:id w:val="-1214226104"/>
          <w:tag w:val="goog_rdk_22"/>
        </w:sdtPr>
        <w:sdtContent>
          <w:commentRangeStart w:id="22"/>
        </w:sdtContent>
      </w:sdt>
      <w:commentRangeEnd w:id="22"/>
      <w:r w:rsidDel="00000000" w:rsidR="00000000" w:rsidRPr="00000000">
        <w:commentReference w:id="22"/>
      </w: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43E">
      <w:pPr>
        <w:spacing w:line="480" w:lineRule="auto"/>
        <w:ind w:firstLine="720"/>
        <w:rPr>
          <w:rFonts w:ascii="Times New Roman" w:cs="Times New Roman" w:eastAsia="Times New Roman" w:hAnsi="Times New Roman"/>
          <w:sz w:val="24"/>
          <w:szCs w:val="24"/>
        </w:rPr>
      </w:pPr>
      <w:sdt>
        <w:sdtPr>
          <w:id w:val="1571767557"/>
          <w:tag w:val="goog_rdk_23"/>
        </w:sdtPr>
        <w:sdtContent>
          <w:commentRangeStart w:id="23"/>
        </w:sdtContent>
      </w:sdt>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sdt>
        <w:sdtPr>
          <w:id w:val="1571767557"/>
          <w:tag w:val="goog_rdk_23"/>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 Métricas operativas específicas del dominio</w:t>
      </w:r>
      <w:r w:rsidDel="00000000" w:rsidR="00000000" w:rsidRPr="00000000">
        <w:rPr>
          <w:rtl w:val="0"/>
        </w:rPr>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E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 ello, el framework incorpora métricas operativas específicas del dominio:</w:t>
      </w:r>
      <w:r>
        <w:rPr>
          <w:rFonts w:ascii="Times New Roman" w:cs="Times New Roman" w:eastAsia="Times New Roman" w:hAnsi="Times New Roman"/>
          <w:sz w:val="24"/>
          <w:szCs w:val="24"/>
          <w:rtl w:val="0"/>
        </w:rPr>
        <w:t xml:space="preserve">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E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0"/>
      <w:bookmarkEnd w:id="0"/>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pruebas puramente cuadro a cuadro, donde sólo se evalúa la salida del detector OVD sin evaluación de patrón ni alerta registrada,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 esos casos, el análisis debe limitarse a métricas de detección, rendimiento del pipeline o latencia Glass-to-Algorithm (G2A), declarando explícitamente la no aplicación de métricas de alerta.</w:t>
      </w:r>
    </w:p>
    <w:p w:rsidR="00000000" w:rsidDel="00000000" w:rsidP="00000000" w:rsidRDefault="00000000" w:rsidRPr="00000000" w14:paraId="000002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F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t>
      </w:r>
    </w:p>
    <w:p w:rsidR="00000000" w:rsidDel="00000000" w:rsidP="00000000" w:rsidRDefault="00000000" w:rsidRPr="00000000" w14:paraId="000002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t>
      </w:r>
    </w:p>
    <w:p w:rsidR="00000000" w:rsidDel="00000000" w:rsidP="00000000" w:rsidRDefault="00000000" w:rsidRPr="00000000" w14:paraId="000002F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17.1.7.5.4. Condición de aplicación de métricas temporales</w:t>
      </w:r>
      <w:r w:rsidDel="00000000" w:rsidR="00000000" w:rsidRPr="00000000">
        <w:rPr>
          <w:rtl w:val="0"/>
        </w:rPr>
      </w:r>
    </w:p>
    <w:p w:rsidR="00000000" w:rsidDel="00000000" w:rsidP="00000000" w:rsidRDefault="00000000" w:rsidRPr="00000000" w14:paraId="000002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rsidR="00000000" w:rsidDel="00000000" w:rsidP="00000000" w:rsidRDefault="00000000" w:rsidRPr="00000000" w14:paraId="000002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esos casos, la evaluación debe limitarse a métricas de detección por imagen o por cuadro, como AP@0.5 y Precision/Recall, además de métricas de rendimiento del pipeline cuando exista instrumentación suficiente. Las métricas temporales quedan reservadas para clips, secuencias anotadas o corridas EBE con eventos definidos.</w:t>
      </w:r>
    </w:p>
    <w:p w:rsidR="00000000" w:rsidDel="00000000" w:rsidP="00000000" w:rsidRDefault="00000000" w:rsidRPr="00000000" w14:paraId="000002F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17.1.7.5.5. Evaluación diferenciada por severidad</w:t>
      </w:r>
      <w:r w:rsidDel="00000000" w:rsidR="00000000" w:rsidRPr="00000000">
        <w:rPr>
          <w:rtl w:val="0"/>
        </w:rPr>
      </w:r>
    </w:p>
    <w:p w:rsidR="00000000" w:rsidDel="00000000" w:rsidP="00000000" w:rsidRDefault="00000000" w:rsidRPr="00000000" w14:paraId="000002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30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0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4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7"/>
        <w:tblW w:w="10480.0" w:type="dxa"/>
        <w:jc w:val="center"/>
        <w:tblLayout w:type="fixed"/>
        <w:tblLook w:val="0400"/>
      </w:tblPr>
      <w:tblGrid>
        <w:gridCol w:w="2520"/>
        <w:gridCol w:w="3560"/>
        <w:gridCol w:w="1760"/>
        <w:gridCol w:w="132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2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 Presupuesto de latencia y componentes medibles</w:t>
      </w:r>
      <w:r w:rsidDel="00000000" w:rsidR="00000000" w:rsidRPr="00000000">
        <w:rPr>
          <w:rtl w:val="0"/>
        </w:rPr>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3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2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2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2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2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32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31</w:t>
      </w:r>
      <w:r w:rsidDel="00000000" w:rsidR="00000000" w:rsidRPr="00000000">
        <w:rPr>
          <w:rtl w:val="0"/>
        </w:rPr>
      </w:r>
    </w:p>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bl>
      <w:tblPr>
        <w:tblStyle w:val="Table18"/>
        <w:tblW w:w="10460.0" w:type="dxa"/>
        <w:jc w:val="center"/>
        <w:tblLayout w:type="fixed"/>
        <w:tblLook w:val="0400"/>
      </w:tblPr>
      <w:tblGrid>
        <w:gridCol w:w="1440"/>
        <w:gridCol w:w="4320"/>
        <w:gridCol w:w="2600"/>
        <w:gridCol w:w="78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5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p>
    <w:p w:rsidR="00000000" w:rsidDel="00000000" w:rsidP="00000000" w:rsidRDefault="00000000" w:rsidRPr="00000000" w14:paraId="0000042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r w:rsidDel="00000000" w:rsidR="00000000" w:rsidRPr="00000000">
        <w:rPr>
          <w:rtl w:val="0"/>
        </w:rPr>
      </w:r>
    </w:p>
    <w:p w:rsidR="00000000" w:rsidDel="00000000" w:rsidP="00000000" w:rsidRDefault="00000000" w:rsidRPr="00000000" w14:paraId="000003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421">
      <w:pPr>
        <w:pStyle w:val="Heading5"/>
        <w:spacing w:after="0" w:before="0" w:line="480" w:lineRule="auto"/>
        <w:rPr>
          <w:rFonts w:ascii="Times New Roman" w:cs="Times New Roman" w:eastAsia="Times New Roman" w:hAnsi="Times New Roman"/>
          <w:b w:val="1"/>
          <w:bCs w:val="1"/>
          <w:color w:val="000000"/>
          <w:sz w:val="24"/>
          <w:szCs w:val="24"/>
        </w:rPr>
      </w:pPr>
      <w:sdt>
        <w:sdtPr>
          <w:id w:val="58883949"/>
          <w:tag w:val="goog_rdk_24"/>
        </w:sdtPr>
        <w:sdtContent>
          <w:commentRangeStart w:id="24"/>
        </w:sdtContent>
      </w:sdt>
      <w:commentRangeEnd w:id="24"/>
      <w:r w:rsidDel="00000000" w:rsidR="00000000" w:rsidRPr="00000000">
        <w:commentReference w:id="24"/>
      </w:r>
      <w:sdt>
        <w:sdtPr>
          <w:id w:val="58883949"/>
          <w:tag w:val="goog_rdk_24"/>
        </w:sdtPr>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r w:rsidDel="00000000" w:rsidR="00000000" w:rsidRPr="00000000">
        <w:rPr>
          <w:rtl w:val="0"/>
        </w:rPr>
      </w:r>
    </w:p>
    <w:p w:rsidR="00000000" w:rsidDel="00000000" w:rsidP="00000000" w:rsidRDefault="00000000" w:rsidRPr="00000000" w14:paraId="000003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w:t>
      </w:r>
      <w:r>
        <w:rPr>
          <w:rFonts w:ascii="Times New Roman" w:cs="Times New Roman" w:eastAsia="Times New Roman" w:hAnsi="Times New Roman"/>
          <w:sz w:val="24"/>
          <w:szCs w:val="24"/>
          <w:rtl w:val="0"/>
        </w:rPr>
        <w:t>interpretar los umbrales de la Sección 17.1.7.7.5</w:t>
      </w:r>
      <w:r>
        <w:rPr>
          <w:rFonts w:ascii="Times New Roman" w:cs="Times New Roman" w:eastAsia="Times New Roman" w:hAnsi="Times New Roman"/>
          <w:sz w:val="24"/>
          <w:szCs w:val="24"/>
          <w:rtl w:val="0"/>
        </w:rPr>
        <w:t xml:space="preserve">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43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43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w:t>
      </w:r>
      <w:r>
        <w:rPr>
          <w:rFonts w:ascii="Times New Roman" w:cs="Times New Roman" w:eastAsia="Times New Roman" w:hAnsi="Times New Roman"/>
          <w:sz w:val="24"/>
          <w:szCs w:val="24"/>
          <w:rtl w:val="0"/>
        </w:rPr>
        <w:t>Por un lado, el análisis de operación en tiempo real identifica</w:t>
      </w:r>
      <w:r>
        <w:rPr>
          <w:rFonts w:ascii="Times New Roman" w:cs="Times New Roman" w:eastAsia="Times New Roman" w:hAnsi="Times New Roman"/>
          <w:sz w:val="24"/>
          <w:szCs w:val="24"/>
          <w:rtl w:val="0"/>
        </w:rPr>
        <w:t xml:space="preserve"> un rango de 10–30 ms por cuadro asociado a modelos ligeros optimizados y otro de 50–150 ms característico de arquitecturas transformer sin optimización específica para edge; </w:t>
      </w:r>
      <w:r>
        <w:rPr>
          <w:rFonts w:ascii="Times New Roman" w:cs="Times New Roman" w:eastAsia="Times New Roman" w:hAnsi="Times New Roman"/>
          <w:sz w:val="24"/>
          <w:szCs w:val="24"/>
          <w:rtl w:val="0"/>
        </w:rPr>
        <w:t>por otro, el análisis de modelos OVD documenta</w:t>
      </w:r>
      <w:r>
        <w:rPr>
          <w:rFonts w:ascii="Times New Roman" w:cs="Times New Roman" w:eastAsia="Times New Roman" w:hAnsi="Times New Roman"/>
          <w:sz w:val="24"/>
          <w:szCs w:val="24"/>
          <w:rtl w:val="0"/>
        </w:rPr>
        <w:t xml:space="preserve">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43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42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r w:rsidDel="00000000" w:rsidR="00000000" w:rsidRPr="00000000">
        <w:rPr>
          <w:rtl w:val="0"/>
        </w:rPr>
      </w:r>
    </w:p>
    <w:p w:rsidR="00000000" w:rsidDel="00000000" w:rsidP="00000000" w:rsidRDefault="00000000" w:rsidRPr="00000000" w14:paraId="000003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43F">
      <w:pPr>
        <w:spacing w:line="480" w:lineRule="auto"/>
        <w:ind w:firstLine="720"/>
        <w:rPr>
          <w:rFonts w:ascii="Times New Roman" w:cs="Times New Roman" w:eastAsia="Times New Roman" w:hAnsi="Times New Roman"/>
          <w:sz w:val="24"/>
          <w:szCs w:val="24"/>
        </w:rPr>
      </w:pPr>
      <w:sdt>
        <w:sdtPr>
          <w:id w:val="-568164419"/>
          <w:tag w:val="goog_rdk_25"/>
        </w:sdtPr>
        <w:sdtContent>
          <w:commentRangeStart w:id="25"/>
        </w:sdtContent>
      </w:sdt>
      <w:commentRangeEnd w:id="25"/>
      <w:r w:rsidDel="00000000" w:rsidR="00000000" w:rsidRPr="00000000">
        <w:commentReference w:id="25"/>
      </w:r>
      <w:r>
        <w:t>Los umbrales orientativos consolidados se presentan en la Tabla 33 (Sección 17.1.7.9).</w:t>
      </w:r>
    </w:p>
    <w:p w:rsidR="00000000" w:rsidDel="00000000" w:rsidP="00000000" w:rsidRDefault="00000000" w:rsidRPr="00000000" w14:paraId="0000036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que el framework sea ejecutable y no meramente declarativo, las métricas anteriores se traducen a requisitos mínimos de instrumentación, preparación y registro. No se redefinen las métricas: se fijan las condiciones bajo las cuales su medición resulta metodológicamente defendible.</w:t>
      </w:r>
    </w:p>
    <w:p w:rsidR="00000000" w:rsidDel="00000000" w:rsidP="00000000" w:rsidRDefault="00000000" w:rsidRPr="00000000" w14:paraId="0000036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3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440">
      <w:pPr>
        <w:spacing w:line="480" w:lineRule="auto"/>
        <w:ind w:firstLine="720"/>
        <w:rPr>
          <w:rFonts w:ascii="Times New Roman" w:cs="Times New Roman" w:eastAsia="Times New Roman" w:hAnsi="Times New Roman"/>
          <w:sz w:val="24"/>
          <w:szCs w:val="24"/>
        </w:rPr>
      </w:pPr>
      <w:sdt>
        <w:sdtPr>
          <w:id w:val="-433862958"/>
          <w:tag w:val="goog_rdk_26"/>
        </w:sdtPr>
        <w:sdtContent>
          <w:commentRangeStart w:id="26"/>
        </w:sdtContent>
      </w:sdt>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sdt>
        <w:sdtPr>
          <w:id w:val="-433862958"/>
          <w:tag w:val="goog_rdk_26"/>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37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3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3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3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7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3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r>
        <w:rPr>
          <w:rFonts w:ascii="Times New Roman" w:cs="Times New Roman" w:eastAsia="Times New Roman" w:hAnsi="Times New Roman"/>
          <w:sz w:val="24"/>
          <w:szCs w:val="24"/>
          <w:rtl w:val="0"/>
        </w:rPr>
        <w:t xml:space="preserve"> El detalle de campos recomendados se consolida en la Tabla D.3 del Anexo D.</w:t>
      </w:r>
    </w:p>
    <w:p w:rsidR="00000000" w:rsidDel="00000000" w:rsidP="00000000" w:rsidRDefault="00000000" w:rsidRPr="00000000" w14:paraId="000003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8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17.1.7.9. Síntesis parcial del framework de métricas</w:t>
      </w:r>
      <w:r w:rsidDel="00000000" w:rsidR="00000000" w:rsidRPr="00000000">
        <w:rPr>
          <w:rtl w:val="0"/>
        </w:rPr>
      </w:r>
    </w:p>
    <w:p w:rsidR="00000000" w:rsidDel="00000000" w:rsidP="00000000" w:rsidRDefault="00000000" w:rsidRPr="00000000" w14:paraId="000003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t>La jerarquía no implica ejecución universal: cada métrica queda subordinada a los criterios de ejecutabilidad de la Sección 17.1.7.3.3, por lo que el protocolo distingue entre métricas definidas, métricas efectivamente medibles y métricas no aplicables.</w:t>
      </w:r>
    </w:p>
    <w:p w:rsidR="00000000" w:rsidDel="00000000" w:rsidP="00000000" w:rsidRDefault="00000000" w:rsidRPr="00000000" w14:paraId="0000046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32</w:t>
      </w:r>
      <w:r w:rsidDel="00000000" w:rsidR="00000000" w:rsidRPr="00000000">
        <w:rPr>
          <w:rtl w:val="0"/>
        </w:rPr>
      </w:r>
    </w:p>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9"/>
        <w:tblW w:w="10480.0" w:type="dxa"/>
        <w:jc w:val="center"/>
        <w:tblLayout w:type="fixed"/>
        <w:tblLook w:val="0400"/>
      </w:tblPr>
      <w:tblGrid>
        <w:gridCol w:w="1020"/>
        <w:gridCol w:w="3140"/>
        <w:gridCol w:w="3060"/>
        <w:gridCol w:w="32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definida como el intervalo entre el inicio anotado de la condición de riesgo y la generación de una alerta confirmada y registrada dentro del sistema.</w:t>
      </w:r>
    </w:p>
    <w:p w:rsidR="00000000" w:rsidDel="00000000" w:rsidP="00000000" w:rsidRDefault="00000000" w:rsidRPr="00000000" w14:paraId="0000046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20"/>
        <w:tblW w:w="10480.0" w:type="dxa"/>
        <w:jc w:val="center"/>
        <w:tblLayout w:type="fixed"/>
        <w:tblLook w:val="0400"/>
      </w:tblPr>
      <w:tblGrid>
        <w:gridCol w:w="1300"/>
        <w:gridCol w:w="2040"/>
        <w:gridCol w:w="1480"/>
        <w:gridCol w:w="1440"/>
        <w:gridCol w:w="42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B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B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17.1.8.1. Secuencia general del protocolo</w:t>
      </w:r>
      <w:r w:rsidDel="00000000" w:rsidR="00000000" w:rsidRPr="00000000">
        <w:rPr>
          <w:rtl w:val="0"/>
        </w:rPr>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B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462">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r w:rsidDel="00000000" w:rsidR="00000000" w:rsidRPr="00000000">
        <w:rPr>
          <w:rtl w:val="0"/>
        </w:rPr>
      </w:r>
    </w:p>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D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D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D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17.1.9.1. Criterio metodológico general</w:t>
      </w:r>
      <w:r w:rsidDel="00000000" w:rsidR="00000000" w:rsidRPr="00000000">
        <w:rPr>
          <w:rtl w:val="0"/>
        </w:rPr>
      </w:r>
    </w:p>
    <w:p w:rsidR="00000000" w:rsidDel="00000000" w:rsidP="00000000" w:rsidRDefault="00000000" w:rsidRPr="00000000" w14:paraId="000003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E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46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F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F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F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17.1.10.1. Política de minimización y uso asistivo</w:t>
      </w:r>
      <w:r w:rsidDel="00000000" w:rsidR="00000000" w:rsidRPr="00000000">
        <w:rPr>
          <w:rtl w:val="0"/>
        </w:rPr>
      </w:r>
    </w:p>
    <w:p w:rsidR="00000000" w:rsidDel="00000000" w:rsidP="00000000" w:rsidRDefault="00000000" w:rsidRPr="00000000" w14:paraId="000003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 Ese régimen prevé, además, la inscripción de las bases de datos con datos personales ante la autoridad de aplicación (AAIP); su aplicabilidad al material experimental del proyecto y el recaudo adoptado se documentan a continuación.</w:t>
      </w:r>
    </w:p>
    <w:p w:rsidR="00000000" w:rsidDel="00000000" w:rsidP="00000000" w:rsidRDefault="00000000" w:rsidRPr="00000000" w14:paraId="000003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3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17.1.10.2. Supuestos de interpretación</w:t>
      </w:r>
      <w:r w:rsidDel="00000000" w:rsidR="00000000" w:rsidRPr="00000000">
        <w:rPr>
          <w:rtl w:val="0"/>
        </w:rPr>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46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36</w:t>
      </w:r>
    </w:p>
    <w:p w:rsidR="00000000" w:rsidDel="00000000" w:rsidP="00000000" w:rsidRDefault="00000000" w:rsidRPr="00000000" w14:paraId="000004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minimización, acceso restringido y registro explícito de finalidad y condiciones de captura.</w:t>
            </w:r>
          </w:p>
        </w:tc>
      </w:tr>
    </w:tbl>
    <w:p w:rsidR="00000000" w:rsidDel="00000000" w:rsidP="00000000" w:rsidRDefault="00000000" w:rsidRPr="00000000" w14:paraId="000004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1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41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17.1.11.1. Cierre del alcance metodológico</w:t>
      </w:r>
      <w:r w:rsidDel="00000000" w:rsidR="00000000" w:rsidRPr="00000000">
        <w:rPr>
          <w:rtl w:val="0"/>
        </w:rPr>
      </w:r>
    </w:p>
    <w:p w:rsidR="00000000" w:rsidDel="00000000" w:rsidP="00000000" w:rsidRDefault="00000000" w:rsidRPr="00000000" w14:paraId="000004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4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427">
      <w:pPr>
        <w:spacing w:line="480" w:lineRule="auto"/>
        <w:ind w:firstLine="720"/>
        <w:rPr/>
      </w:pPr>
      <w:r>
        <w:t>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465">
      <w:pPr>
        <w:pStyle w:val="Heading2"/>
        <w:spacing w:after="0" w:before="0" w:line="480" w:lineRule="auto"/>
        <w:rPr>
          <w:rFonts w:ascii="Times New Roman" w:cs="Times New Roman" w:eastAsia="Times New Roman" w:hAnsi="Times New Roman"/>
          <w:b w:val="1"/>
          <w:bCs w:val="1"/>
          <w:sz w:val="24"/>
          <w:szCs w:val="24"/>
        </w:rPr>
      </w:pPr>
      <w:r>
        <w:rPr>
          <w:rtl w:val="0"/>
        </w:rPr>
        <w:t>Anexo C — Prompts, datos, datasets, benchmarks y logística</w:t>
      </w:r>
    </w:p>
    <w:p w:rsidR="00000000" w:rsidDel="00000000" w:rsidP="00000000" w:rsidRDefault="00000000" w:rsidRPr="00000000" w14:paraId="00000466">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C.1</w:t>
      </w:r>
    </w:p>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Catálogo de prompts candidatos por condición de riesgo</w:t>
      </w:r>
    </w:p>
    <w:tbl>
      <w:tblPr>
        <w:tblStyle w:val="Table12"/>
        <w:tblW w:w="10460" w:type="dxa"/>
        <w:jc w:val="center"/>
        <w:tblLayout w:type="fixed"/>
        <w:tblLook w:val="0400"/>
      </w:tblPr>
      <w:tblGrid>
        <w:gridCol w:w="1800"/>
        <w:gridCol w:w="1900"/>
        <w:gridCol w:w="3250"/>
        <w:gridCol w:w="351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Código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Eje de variación</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Prompt candidato (inglés)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Estrategia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delimitadores de referencia visual</w:t>
            </w:r>
          </w:p>
        </w:tc>
      </w:tr>
    </w:tbl>
    <w:p w:rsidR="00000000" w:rsidDel="00000000" w:rsidP="00000000" w:rsidRDefault="00000000" w:rsidRPr="00000000" w14:paraId="000004C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p>
    <w:p w:rsidR="00000000" w:rsidDel="00000000" w:rsidP="00000000" w:rsidRDefault="00000000" w:rsidRPr="00000000" w14:paraId="000004C1">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C.2</w:t>
      </w:r>
    </w:p>
    <w:p w:rsidR="00000000" w:rsidDel="00000000" w:rsidP="00000000" w:rsidRDefault="00000000" w:rsidRPr="00000000" w14:paraId="000004C2">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Variables de sensibilidad candidatas para el Environment-Based Evaluation</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Variable</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Niveles o condiciones retenidas</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dentro del protocolo</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si la cantidad y tipo de consultas activas impacta precisión, latencia o ambas.</w:t>
            </w:r>
          </w:p>
        </w:tc>
      </w:tr>
    </w:tbl>
    <w:p w:rsidR="00000000" w:rsidDel="00000000" w:rsidP="00000000" w:rsidRDefault="00000000" w:rsidRPr="00000000" w14:paraId="000004D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4DC">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C.3</w:t>
      </w:r>
    </w:p>
    <w:p w:rsidR="00000000" w:rsidDel="00000000" w:rsidP="00000000" w:rsidRDefault="00000000" w:rsidRPr="00000000" w14:paraId="000004DD">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Logística de conversión y acceso de los datasets retenidos</w:t>
      </w:r>
    </w:p>
    <w:tbl>
      <w:tblPr>
        <w:tblStyle w:val="Table17"/>
        <w:tblW w:w="10460" w:type="dxa"/>
        <w:jc w:val="center"/>
        <w:tblLayout w:type="fixed"/>
        <w:tblLook w:val="0400"/>
      </w:tblPr>
      <w:tblGrid>
        <w:gridCol w:w="1500"/>
        <w:gridCol w:w="1700"/>
        <w:gridCol w:w="1900"/>
        <w:gridCol w:w="1700"/>
        <w:gridCol w:w="36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nativo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trabajo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Vía de acceso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Observación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Conversión directa VOC→YOLO; para el pipeline de Grounding DINO, VOC→COCO→ODVG.</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bl>
    <w:p w:rsidR="00000000" w:rsidDel="00000000" w:rsidP="00000000" w:rsidRDefault="00000000" w:rsidRPr="00000000" w14:paraId="000004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4F8">
      <w:pPr>
        <w:pStyle w:val="Heading2"/>
        <w:spacing w:after="0" w:before="0" w:line="480" w:lineRule="auto"/>
        <w:rPr>
          <w:rFonts w:ascii="Times New Roman" w:cs="Times New Roman" w:eastAsia="Times New Roman" w:hAnsi="Times New Roman"/>
          <w:b w:val="1"/>
          <w:bCs w:val="1"/>
          <w:sz w:val="24"/>
          <w:szCs w:val="24"/>
        </w:rPr>
      </w:pPr>
      <w:r>
        <w:rPr>
          <w:rtl w:val="0"/>
        </w:rPr>
        <w:t>Anexo D — Métricas, instrumentación y bitácora experimental</w:t>
      </w:r>
    </w:p>
    <w:p w:rsidR="00000000" w:rsidDel="00000000" w:rsidP="00000000" w:rsidRDefault="00000000" w:rsidRPr="00000000" w14:paraId="000004F9">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D.1</w:t>
      </w:r>
    </w:p>
    <w:p w:rsidR="00000000" w:rsidDel="00000000" w:rsidP="00000000" w:rsidRDefault="00000000" w:rsidRPr="00000000" w14:paraId="000004FA">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Métricas de rendimiento del pipeline y uso de recursos</w:t>
      </w:r>
    </w:p>
    <w:tbl>
      <w:tblPr>
        <w:tblStyle w:val="Table17"/>
        <w:tblW w:w="10460" w:type="dxa"/>
        <w:jc w:val="center"/>
        <w:tblLayout w:type="fixed"/>
        <w:tblLook w:val="0400"/>
      </w:tblPr>
      <w:tblGrid>
        <w:gridCol w:w="1450"/>
        <w:gridCol w:w="2850"/>
        <w:gridCol w:w="1700"/>
        <w:gridCol w:w="2000"/>
        <w:gridCol w:w="24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Métrica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C">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Definición operativa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D">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reporte</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Compromiso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Criterio de estabilidad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Intervalo entre captura o lectura del cuadro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serie temporal</w:t>
            </w:r>
          </w:p>
        </w:tc>
      </w:tr>
    </w:tbl>
    <w:p w:rsidR="00000000" w:rsidDel="00000000" w:rsidP="00000000" w:rsidRDefault="00000000" w:rsidRPr="00000000" w14:paraId="0000051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51F">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D.2</w:t>
      </w:r>
    </w:p>
    <w:p w:rsidR="00000000" w:rsidDel="00000000" w:rsidP="00000000" w:rsidRDefault="00000000" w:rsidRPr="00000000" w14:paraId="00000520">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Insumos mínimos requeridos antes de iniciar una campaña de medición</w:t>
      </w:r>
    </w:p>
    <w:tbl>
      <w:tblPr>
        <w:tblStyle w:val="Table17"/>
        <w:tblW w:w="10460" w:type="dxa"/>
        <w:jc w:val="center"/>
        <w:tblLayout w:type="fixed"/>
        <w:tblLook w:val="0400"/>
      </w:tblPr>
      <w:tblGrid>
        <w:gridCol w:w="1700"/>
        <w:gridCol w:w="2400"/>
        <w:gridCol w:w="2000"/>
        <w:gridCol w:w="2200"/>
        <w:gridCol w:w="2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Familia de métricas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Ground truth o insumo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Instrumentación mínima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Herramientas o artefactos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Salida mínima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Deltas y costo de entrenamiento, cuando aplique.</w:t>
            </w:r>
          </w:p>
        </w:tc>
      </w:tr>
    </w:tbl>
    <w:p w:rsidR="00000000" w:rsidDel="00000000" w:rsidP="00000000" w:rsidRDefault="00000000" w:rsidRPr="00000000" w14:paraId="0000054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545">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D.3</w:t>
      </w:r>
    </w:p>
    <w:p w:rsidR="00000000" w:rsidDel="00000000" w:rsidP="00000000" w:rsidRDefault="00000000" w:rsidRPr="00000000" w14:paraId="00000546">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Campos mínimos recomendados para la bitácora experimental</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7">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Campo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Contenido mínimo recomendado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en la interpretación</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Evita lecturas descontextualizadas.</w:t>
            </w:r>
          </w:p>
        </w:tc>
      </w:tr>
    </w:tbl>
    <w:p w:rsidR="00000000" w:rsidDel="00000000" w:rsidP="00000000" w:rsidRDefault="00000000" w:rsidRPr="00000000" w14:paraId="0000056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Una métrica sin contexto de corrida pierde interpretabilidad y trazabilidad.</w:t>
      </w:r>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30T22:50:2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2" w:date="2026-08-31T01:05:5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4" w:date="2026-08-30T22:57:46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3" w:date="2026-08-30T22:57:22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1" w:date="2026-08-31T01:05:40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 w:date="2026-08-30T22:55:27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4" w:date="2026-08-31T01:01:51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analizar y determinar si es valido de acuerdo a lo que se implemento. esta bien plantearlo asi?</w:t>
      </w:r>
    </w:p>
  </w:comment>
  <w:comment w:author="Simon Llamosas" w:id="19" w:date="2026-08-31T01:05:3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0" w:date="2026-08-31T00:52:45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si vale la pena y suma. es muy redundante?</w:t>
      </w:r>
    </w:p>
  </w:comment>
  <w:comment w:author="Simon Llamosas" w:id="15" w:date="2026-08-31T01:05:25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6" w:date="2026-08-31T01:04:1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2" w:date="2026-08-30T23:25:19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mas breve esta introduccion y no ser redundante. mandar a leer la seccion donde se desarrollo esto.</w:t>
      </w:r>
    </w:p>
  </w:comment>
  <w:comment w:author="Simon Llamosas" w:id="10" w:date="2026-08-30T23:16:3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presupuesto de lantecia con respecto a lo que se implemento</w:t>
      </w:r>
    </w:p>
  </w:comment>
  <w:comment w:author="Simon Llamosas" w:id="18" w:date="2026-08-31T00:51:41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7" w:date="2026-08-30T23:11:3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8" w:date="2026-08-30T23:12:2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como que quedaron subsecciones chicas que no aportan nada y estamos mandando a que vayan a ver el anexo todo el tiempo.</w:t>
      </w:r>
    </w:p>
  </w:comment>
  <w:comment w:author="Simon Llamosas" w:id="9" w:date="2026-08-30T23:12:4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que es lo que vale la pena que este en el anexo y que es lo que se puede volver aca al desarrollo</w:t>
      </w:r>
    </w:p>
  </w:comment>
  <w:comment w:author="Simon Llamosas" w:id="11" w:date="2026-08-30T23:22:4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como que se me hizo muy repetitivo, antes de llegar a esta seccion ya lei mucho sobre esto. no tenemos que ser tan redundantes en el desarrollo. esto va para todo.</w:t>
      </w:r>
    </w:p>
  </w:comment>
  <w:comment w:author="Simon Llamosas" w:id="17" w:date="2026-08-31T00:51:04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25" w:date="2026-08-31T01:06:11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6" w:date="2026-08-30T23:11:07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6" w:date="2026-08-31T00:50:57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14" w:date="2026-08-31T00:47:52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3" w:date="2026-08-31T01:06:01Z">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3" w:date="2026-08-31T00:40:14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hacer mas breve sin perder la calidad del desarrollo</w:t>
      </w:r>
    </w:p>
  </w:comment>
  <w:comment w:author="Simon Llamosas" w:id="5" w:date="2026-08-30T23:09:41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limitar variable finetuning solo a esecenario de datasets.</w:t>
      </w:r>
    </w:p>
  </w:comment>
  <w:comment w:author="Simon Llamosas" w:id="1" w:date="2026-08-30T22:52:20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0" w15:done="1"/>
  <w15:commentEx w15:paraId="00000421" w15:done="1"/>
  <w15:commentEx w15:paraId="00000422" w15:done="1"/>
  <w15:commentEx w15:paraId="00000423" w15:done="1"/>
  <w15:commentEx w15:paraId="00000424" w15:done="1"/>
  <w15:commentEx w15:paraId="00000425" w15:done="1"/>
  <w15:commentEx w15:paraId="00000426" w15:done="1"/>
  <w15:commentEx w15:paraId="00000427" w15:done="1"/>
  <w15:commentEx w15:paraId="00000428" w15:done="1"/>
  <w15:commentEx w15:paraId="00000429" w15:done="1"/>
  <w15:commentEx w15:paraId="0000042A" w15:done="1"/>
  <w15:commentEx w15:paraId="0000042B" w15:done="1"/>
  <w15:commentEx w15:paraId="0000042C" w15:done="1"/>
  <w15:commentEx w15:paraId="0000042D" w15:done="1"/>
  <w15:commentEx w15:paraId="0000042E" w15:done="1"/>
  <w15:commentEx w15:paraId="0000042F" w15:paraIdParent="0000042E" w15:done="1"/>
  <w15:commentEx w15:paraId="00000430" w15:paraIdParent="0000042E" w15:done="1"/>
  <w15:commentEx w15:paraId="00000431" w15:done="1"/>
  <w15:commentEx w15:paraId="00000432" w15:done="1"/>
  <w15:commentEx w15:paraId="00000433" w15:done="1"/>
  <w15:commentEx w15:paraId="00000434" w15:done="1"/>
  <w15:commentEx w15:paraId="00000435" w15:done="1"/>
  <w15:commentEx w15:paraId="00000436" w15:done="1"/>
  <w15:commentEx w15:paraId="00000437" w15:done="1"/>
  <w15:commentEx w15:paraId="00000438" w15:done="1"/>
  <w15:commentEx w15:paraId="00000439" w15:done="1"/>
  <w15:commentEx w15:paraId="0000043A" w15:done="1"/>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rackRevis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yFFkgUiZY8Ob2eouZQ+jCZtQ==">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vOOzqoU0OLzjs6qFNEpOCgp0ZXh0L3BsYWluEkAxNy4xLjYuMy4gQmVuY2htYXJrcyBkZSBldmFsdWFjacOzbiBkZSByZWZlcmVuY2lhIChjYXRlZ29yw61hIDIpWgwzbXR1amFrdG1lbzNyAiAAeACaAQYIABAAGACqAeoB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