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xmlns:w14="http://schemas.microsoft.com/office/word/2010/wordml">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4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r>
        <w:rPr>
          <w:rFonts w:ascii="Times New Roman" w:cs="Times New Roman" w:eastAsia="Times New Roman" w:hAnsi="Times New Roman"/>
          <w:sz w:val="24"/>
          <w:szCs w:val="24"/>
          <w:rtl w:val="0"/>
        </w:rPr>
        <w:t xml:space="preserve"> El catálogo completo, con su categoría normativa, componente evaluador y dificultad estimada, se presenta en la </w:t>
      </w:r>
      <w:r>
        <w:rPr>
          <w:rFonts w:ascii="Times New Roman" w:cs="Times New Roman" w:eastAsia="Times New Roman" w:hAnsi="Times New Roman"/>
          <w:sz w:val="24"/>
          <w:szCs w:val="24"/>
          <w:rtl w:val="0"/>
        </w:rPr>
        <w:t>Tabla 20</w:t>
      </w:r>
      <w:r>
        <w:rPr>
          <w:rFonts w:ascii="Times New Roman" w:cs="Times New Roman" w:eastAsia="Times New Roman" w:hAnsi="Times New Roman"/>
          <w:sz w:val="24"/>
          <w:szCs w:val="24"/>
          <w:rtl w:val="0"/>
        </w:rPr>
        <w:t xml:space="preserve"> (Sección 17.1.5.2.3).</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423">
      <w:pPr>
        <w:spacing w:line="480" w:lineRule="auto"/>
        <w:ind w:firstLine="720"/>
        <w:rPr>
          <w:rFonts w:ascii="Times New Roman" w:cs="Times New Roman" w:eastAsia="Times New Roman" w:hAnsi="Times New Roman"/>
          <w:sz w:val="24"/>
          <w:szCs w:val="24"/>
        </w:rPr>
      </w:pPr>
      <w:r>
        <w:t>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17.1.4.4.</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16</w:t>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entorno experimental comprende la infraestructura de cómputo disponible para inferencia y entrenamiento, el stack de software asociado, los escenarios de evaluación definidos para el proyecto y las condiciones operativas propias de cada escenario. Su caracterización responde a la pregunta rectora P-E1-04 de la fundamentación teórica: las restricciones del entorno de ejecución —capacidad computacional, protocolos de transmisión y presupuesto de procesamiento— que condicionan las decisiones arquitectónicas del prototipo. Los escenarios de evaluación establecen, además, las condiciones concretas bajo las cuales se ejercita el prototipo.</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r>
        <w:rPr>
          <w:rFonts w:ascii="Times New Roman" w:cs="Times New Roman" w:eastAsia="Times New Roman" w:hAnsi="Times New Roman"/>
          <w:sz w:val="24"/>
          <w:szCs w:val="24"/>
          <w:rtl w:val="0"/>
        </w:rPr>
        <w:t xml:space="preserve"> Las conclusiones sobre viabilidad operativa —tiempo real, latencia y uso de recursos— se anclan en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sdt>
        <w:sdtPr>
          <w:id w:val="-1572146577"/>
          <w:tag w:val="goog_rdk_2"/>
        </w:sdtPr>
        <w:sdtContent/>
      </w:sdt>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r w:rsidDel="00000000" w:rsidR="00000000" w:rsidRPr="00000000">
        <w:rPr>
          <w:rtl w:val="0"/>
        </w:rPr>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sdt>
        <w:sdtPr>
          <w:id w:val="-1572146577"/>
          <w:tag w:val="goog_rdk_2"/>
        </w:sdtPr>
        <w:sdtContent>
          <w:commentRangeStart w:id="2"/>
        </w:sdtContent>
      </w:sdt>
      <w:commentRangeEnd w:id="2"/>
      <w:r w:rsidDel="00000000" w:rsidR="00000000" w:rsidRPr="00000000">
        <w:commentReference w:id="2"/>
      </w: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4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de los modelos preentrenados (baseline) y, cuando una variante ajustada haya sido adoptada conforme a las condiciones de la Sección 17.1.9, de los modelos ajustados mediante fine-tuning en el TN, permitiendo una comparación directa del impacto de la adaptación al dominio.</w:t>
      </w:r>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17</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43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925149438"/>
          <w:tag w:val="goog_rdk_5"/>
        </w:sdtPr>
        <w:sdtContent>
          <w:commentRangeStart w:id="5"/>
        </w:sdtContent>
      </w:sdt>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sdt>
        <w:sdtPr>
          <w:id w:val="-925149438"/>
          <w:tag w:val="goog_rdk_5"/>
        </w:sdtPr>
        <w:sdtContent/>
      </w:sdt>
      <w:r w:rsidDel="00000000" w:rsidR="00000000" w:rsidRPr="00000000">
        <w:rPr>
          <w:rFonts w:ascii="Times New Roman" w:cs="Times New Roman" w:eastAsia="Times New Roman" w:hAnsi="Times New Roman"/>
          <w:sz w:val="24"/>
          <w:szCs w:val="24"/>
          <w:rtl w:val="0"/>
        </w:rPr>
        <w:t xml:space="preserve">Al igual que en el Escenario A, se ejecuta la variante preentrenada y, cuando haya sido adoptada conforme a la Sección 17.1.9, la variante fine-tuned del modelo candidato seleccionado tras la evaluación del Escenario A.</w:t>
      </w:r>
      <w:r w:rsidDel="00000000" w:rsidR="00000000" w:rsidRPr="00000000">
        <w:rPr>
          <w:rtl w:val="0"/>
        </w:rPr>
      </w:r>
      <w:r>
        <w:rPr>
          <w:rFonts w:ascii="Times New Roman" w:cs="Times New Roman" w:eastAsia="Times New Roman" w:hAnsi="Times New Roman"/>
          <w:sz w:val="24"/>
          <w:szCs w:val="24"/>
          <w:rtl w:val="0"/>
        </w:rPr>
        <w:t xml:space="preserve"> Las variables de sensibilidad candidatas para este escenario se catalogan en la Tabla C.2 del Anexo C.</w:t>
      </w:r>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18</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cuando corresponda conforme a la Sección 17.1.9,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44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 restricciones detalladas en la </w:t>
      </w:r>
      <w:r>
        <w:rPr>
          <w:rFonts w:ascii="Times New Roman" w:cs="Times New Roman" w:eastAsia="Times New Roman" w:hAnsi="Times New Roman"/>
          <w:sz w:val="24"/>
          <w:szCs w:val="24"/>
          <w:rtl w:val="0"/>
        </w:rPr>
        <w:t>Tabla 19</w:t>
      </w:r>
      <w:r>
        <w:rPr>
          <w:rFonts w:ascii="Times New Roman" w:cs="Times New Roman" w:eastAsia="Times New Roman" w:hAnsi="Times New Roman"/>
          <w:sz w:val="24"/>
          <w:szCs w:val="24"/>
          <w:rtl w:val="0"/>
        </w:rPr>
        <w:t xml:space="preserve"> condicionan las decisiones del diseño arquitectónico y de la implementación, y deben tenerse presentes al interpretar los resultados experimentales.</w:t>
      </w:r>
    </w:p>
    <w:p w:rsidR="00000000" w:rsidDel="00000000" w:rsidP="00000000" w:rsidRDefault="00000000" w:rsidRPr="00000000" w14:paraId="0000044E">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19</w:t>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sdt>
              <w:sdtPr>
                <w:id w:val="-1029631465"/>
                <w:tag w:val="goog_rdk_10"/>
              </w:sdtPr>
              <w:sdtContent>
                <w:commentRangeStart w:id="10"/>
              </w:sdtContent>
            </w:sdt>
            <w:commentRangeEnd w:id="10"/>
            <w:r w:rsidDel="00000000" w:rsidR="00000000" w:rsidRPr="00000000">
              <w:commentReference w:id="10"/>
            </w:r>
            <w:sdt>
              <w:sdtPr>
                <w:id w:val="-1029631465"/>
                <w:tag w:val="goog_rdk_10"/>
              </w:sdtPr>
              <w:sdtContent/>
            </w:sdt>
            <w:r w:rsidDel="00000000" w:rsidR="00000000" w:rsidRPr="00000000">
              <w:rPr>
                <w:rFonts w:ascii="Times New Roman" w:cs="Times New Roman" w:eastAsia="Times New Roman" w:hAnsi="Times New Roman"/>
                <w:sz w:val="24"/>
                <w:szCs w:val="24"/>
                <w:rtl w:val="0"/>
              </w:rPr>
              <w:t xml:space="preserve">Presupuesto de latencia por cuadro, desde la captura hasta la evidencia utilizable para alerta, del orden de 35–250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 (Sección 17.1.7.7)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98542299"/>
          <w:tag w:val="goog_rdk_11"/>
        </w:sdtPr>
        <w:sdtContent>
          <w:commentRangeStart w:id="11"/>
        </w:sdtContent>
      </w:sdt>
      <w:commentRangeEnd w:id="11"/>
      <w:r w:rsidDel="00000000" w:rsidR="00000000" w:rsidRPr="00000000">
        <w:commentReference w:id="11"/>
      </w: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42E">
      <w:pPr>
        <w:spacing w:line="480" w:lineRule="auto"/>
        <w:ind w:firstLine="720"/>
        <w:rPr>
          <w:rFonts w:ascii="Times New Roman" w:cs="Times New Roman" w:eastAsia="Times New Roman" w:hAnsi="Times New Roman"/>
          <w:sz w:val="24"/>
          <w:szCs w:val="24"/>
        </w:rPr>
      </w:pPr>
      <w:sdt>
        <w:sdtPr>
          <w:id w:val="317302559"/>
          <w:tag w:val="goog_rdk_12"/>
        </w:sdtPr>
        <w:sdtContent>
          <w:commentRangeStart w:id="12"/>
        </w:sdtContent>
      </w:sdt>
      <w:r>
        <w:t>La taxonomía de condiciones de riesgo, los patrones asociados y el protocolo de prompts responden a la pregunta rectora P-E1-02, que dejó abierta la brecha entre la identificación normativa de condiciones de riesgo y su traducción en consultas textuales evaluables por modelos de detección open-vocabulary, y señaló que la formulación del prompt no es un detalle accesorio sino una variable capaz de alterar significativamente el desempeño del detector en dominios especializados. En articulación con el framework de métricas, se delimita además cómo estas definiciones deben leerse respecto de la latencia de alerta, las métricas operativas y los criterios de aplicación del framework evaluativo.</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establece qué condiciones</w:t>
      </w:r>
      <w:r>
        <w:rPr>
          <w:rFonts w:ascii="Times New Roman" w:cs="Times New Roman" w:eastAsia="Times New Roman" w:hAnsi="Times New Roman"/>
          <w:sz w:val="24"/>
          <w:szCs w:val="24"/>
          <w:rtl w:val="0"/>
        </w:rPr>
        <w:t xml:space="preserve">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w:t>
      </w:r>
      <w:r>
        <w:rPr>
          <w:rFonts w:ascii="Times New Roman" w:cs="Times New Roman" w:eastAsia="Times New Roman" w:hAnsi="Times New Roman"/>
          <w:sz w:val="24"/>
          <w:szCs w:val="24"/>
          <w:rtl w:val="0"/>
        </w:rPr>
        <w:t>Tabla 20</w:t>
      </w:r>
      <w:r>
        <w:rPr>
          <w:rFonts w:ascii="Times New Roman" w:cs="Times New Roman" w:eastAsia="Times New Roman" w:hAnsi="Times New Roman"/>
          <w:sz w:val="24"/>
          <w:szCs w:val="24"/>
          <w:rtl w:val="0"/>
        </w:rPr>
        <w:t xml:space="preserve">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20</w:t>
      </w: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columna “Componente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cuyo diseño corresponde a la instancia de análisis y diseño arquitectónico). La columna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pondera la dificultad del razonamiento contextual. CR-01 y CR-02 constituyen el núcleo obligatorio del prototipo experimental; las restantes condiciones operan como extensiones condicionadas que no bloquean la aceptación del núcleo.</w:t>
      </w:r>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Los patrones de riesgo constituyen la unidad operativa de análisis del sistema E-OVRT-VDP. Su definición conceptual articula tres componentes:</w:t>
      </w:r>
      <w:r>
        <w:rPr>
          <w:rFonts w:ascii="Times New Roman" w:cs="Times New Roman" w:eastAsia="Times New Roman" w:hAnsi="Times New Roman"/>
          <w:sz w:val="24"/>
          <w:szCs w:val="24"/>
          <w:rtl w:val="0"/>
        </w:rPr>
        <w:t xml:space="preserve">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424">
      <w:pPr>
        <w:spacing w:line="480" w:lineRule="auto"/>
        <w:ind w:firstLine="720"/>
        <w:rPr>
          <w:rFonts w:ascii="Times New Roman" w:cs="Times New Roman" w:eastAsia="Times New Roman" w:hAnsi="Times New Roman"/>
          <w:sz w:val="24"/>
          <w:szCs w:val="24"/>
        </w:rPr>
      </w:pPr>
      <w:r>
        <w:t xml:space="preserve">El </w:t>
      </w:r>
      <w:r>
        <w:t>nivel crítico</w:t>
      </w:r>
      <w:r>
        <w:t xml:space="preserve"> corresponde a condiciones con potencial de escalada rápida hacia daño grave o fatal. El Decreto 911/96 establece las medidas de prevención frente al riesgo de caída de personas y los trabajos con riesgo de caída a distinto nivel (arts. 52 a 57), y regula la operación de vehículos y maquinaria automotriz junto con la protección frente a la circulación vehicular —señalización, vallado, equipos de alta visibilidad, vigías— (arts. 246 a 249).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425">
      <w:pPr>
        <w:spacing w:line="480" w:lineRule="auto"/>
        <w:ind w:firstLine="720"/>
        <w:rPr>
          <w:rFonts w:ascii="Times New Roman" w:cs="Times New Roman" w:eastAsia="Times New Roman" w:hAnsi="Times New Roman"/>
          <w:sz w:val="24"/>
          <w:szCs w:val="24"/>
        </w:rPr>
      </w:pPr>
      <w:r>
        <w:t xml:space="preserve">El </w:t>
      </w:r>
      <w:r>
        <w:t>nivel alto</w:t>
      </w:r>
      <w:r>
        <w:t xml:space="preserve"> corresponde a condiciones cuya exposición sostenida incrementa de forma significativa el riesgo, aunque con mayor margen de intervención que en el nivel crítico. El Decreto 911/96 regula la provisión, uso, condiciones y vida útil de los equipos de protección personal y la vestimenta de trabajo (arts. 98 a 106), y la provisión de casco de seguridad para tareas con riesgos específicos (art. 107).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426">
      <w:pPr>
        <w:spacing w:line="480" w:lineRule="auto"/>
        <w:ind w:firstLine="720"/>
        <w:rPr>
          <w:rFonts w:ascii="Times New Roman" w:cs="Times New Roman" w:eastAsia="Times New Roman" w:hAnsi="Times New Roman"/>
          <w:sz w:val="24"/>
          <w:szCs w:val="24"/>
        </w:rPr>
      </w:pPr>
      <w:r>
        <w:t xml:space="preserve">El </w:t>
      </w:r>
      <w:r>
        <w:t>nivel medio</w:t>
      </w:r>
      <w:r>
        <w:t xml:space="preserve"> corresponde a condiciones con riesgo latente o de escalada relativamente más lenta, donde puede exigirse mayor evidencia antes de confirmar la alerta. La obligación de emplear elementos reflectivos o de alta visibilidad se vincula con los trabajos nocturnos y con la construcción de carreteras en uso (Decreto 911/96, arts. 63 y 70), y puede complementarse con la Resolución SRT 299/2011 sobre registración y constancia de entrega de ropa de trabajo y EPP.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430">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w:t>
      </w:r>
      <w:r>
        <w:rPr>
          <w:rFonts w:ascii="Times New Roman" w:cs="Times New Roman" w:eastAsia="Times New Roman" w:hAnsi="Times New Roman"/>
          <w:sz w:val="24"/>
          <w:szCs w:val="24"/>
          <w:rtl w:val="0"/>
        </w:rPr>
        <w:t>Estos criterios se definen en términos de duración temporal</w:t>
      </w:r>
      <w:r>
        <w:rPr>
          <w:rFonts w:ascii="Times New Roman" w:cs="Times New Roman" w:eastAsia="Times New Roman" w:hAnsi="Times New Roman"/>
          <w:sz w:val="24"/>
          <w:szCs w:val="24"/>
          <w:rtl w:val="0"/>
        </w:rPr>
        <w:t xml:space="preserve">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42A">
      <w:pPr>
        <w:spacing w:line="480" w:lineRule="auto"/>
        <w:ind w:firstLine="720"/>
        <w:rPr>
          <w:rFonts w:ascii="Times New Roman" w:cs="Times New Roman" w:eastAsia="Times New Roman" w:hAnsi="Times New Roman"/>
          <w:sz w:val="24"/>
          <w:szCs w:val="24"/>
        </w:rPr>
      </w:pPr>
      <w:r>
        <w:t>Estos rangos tienen carácter analítico; los valores definitivos se calibran empíricamente durante la validación experimental, una vez conocido el throughput efectivo.</w:t>
      </w:r>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4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w:t>
      </w:r>
      <w:r>
        <w:rPr>
          <w:rFonts w:ascii="Times New Roman" w:cs="Times New Roman" w:eastAsia="Times New Roman" w:hAnsi="Times New Roman"/>
          <w:sz w:val="24"/>
          <w:szCs w:val="24"/>
          <w:rtl w:val="0"/>
        </w:rPr>
        <w:t>Tabla 21</w:t>
      </w:r>
      <w:r>
        <w:rPr>
          <w:rFonts w:ascii="Times New Roman" w:cs="Times New Roman" w:eastAsia="Times New Roman" w:hAnsi="Times New Roman"/>
          <w:sz w:val="24"/>
          <w:szCs w:val="24"/>
          <w:rtl w:val="0"/>
        </w:rPr>
        <w:t xml:space="preserve">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21</w:t>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4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del Decreto 911/96 y la Ley 19.587.</w:t>
      </w:r>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42C">
      <w:pPr>
        <w:spacing w:line="480" w:lineRule="auto"/>
        <w:ind w:firstLine="720"/>
        <w:rPr>
          <w:rFonts w:ascii="Times New Roman" w:cs="Times New Roman" w:eastAsia="Times New Roman" w:hAnsi="Times New Roman"/>
          <w:sz w:val="24"/>
          <w:szCs w:val="24"/>
        </w:rPr>
      </w:pPr>
      <w:r>
        <w:t>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p>
    <w:p w:rsidR="00000000" w:rsidDel="00000000" w:rsidP="00000000" w:rsidRDefault="00000000" w:rsidRPr="00000000" w14:paraId="0000042D">
      <w:pPr>
        <w:spacing w:line="480" w:lineRule="auto"/>
        <w:ind w:firstLine="720"/>
        <w:rPr>
          <w:rFonts w:ascii="Times New Roman" w:cs="Times New Roman" w:eastAsia="Times New Roman" w:hAnsi="Times New Roman"/>
          <w:sz w:val="24"/>
          <w:szCs w:val="24"/>
        </w:rPr>
      </w:pPr>
      <w:r>
        <w:t>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45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Quedan tres insumos directos para la instancia de análisis y diseño arquitectónico: el catálogo de condiciones de riesgo clasificado por niveles de complejidad (Tabla 20), el catálogo de patrones con severidad y persistencia temporal orientativa (Tabla 21), y los criterios conceptuales de activación combinada para PR-05 y PR-06 —con el supuesto de cámara fija, las métricas de proximidad y contención espacial por definir, y la histéresis como criterio de diseño.</w:t>
      </w:r>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protocolo de prompts establece el marco para el diseño, la variación sistemática y la evaluación empírica de las consultas textuales que operan como interfaz del modelo OVD.</w:t>
      </w:r>
      <w:r>
        <w:rPr>
          <w:rFonts w:ascii="Times New Roman" w:cs="Times New Roman" w:eastAsia="Times New Roman" w:hAnsi="Times New Roman"/>
          <w:sz w:val="24"/>
          <w:szCs w:val="24"/>
          <w:rtl w:val="0"/>
        </w:rPr>
        <w:t xml:space="preserve">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w:t>
      </w:r>
      <w:r>
        <w:rPr>
          <w:rFonts w:ascii="Times New Roman" w:cs="Times New Roman" w:eastAsia="Times New Roman" w:hAnsi="Times New Roman"/>
          <w:sz w:val="24"/>
          <w:szCs w:val="24"/>
          <w:rtl w:val="0"/>
        </w:rPr>
        <w:t>El protocolo se articula con el framework de métricas, del cual toma las métricas</w:t>
      </w:r>
      <w:r>
        <w:rPr>
          <w:rFonts w:ascii="Times New Roman" w:cs="Times New Roman" w:eastAsia="Times New Roman" w:hAnsi="Times New Roman"/>
          <w:sz w:val="24"/>
          <w:szCs w:val="24"/>
          <w:rtl w:val="0"/>
        </w:rPr>
        <w:t xml:space="preserve">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análisis de modelos OVD documentó que los detectores open-vocabulary presentan sensibilidad a variaciones en la formulación de las consultas textuales: cambios leves de redacción pueden alterar significativamente el desempeño de los modelos visión-lenguaje (Zhou et al., 2022); el embedding textual de clase se genera a partir de los prompts ingresados al encoder y su alineación con las representaciones visuales requiere ajuste específico para la tarea de detección (Gu et al., 2021; Du et al., 2022); y la evaluación se vuelve especialmente exigente ante atributos de granularidad fina, vocabularios dinámicos y clases negativas semánticamente cercanas (Bianchi et al., 2024; Yao et al., 2024). De manera complementaria, la incorporación de negativos semánticamente relacionados durante el entrenamiento mejora la discriminación del detector, lo que refuerza —aunque esa técnica exceda el alcance del proyecto— que la composición semántica del vocabulario influye sobre el desempeño (Kim et al., 2024).</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conjunto, estas evidencias justifican tratar el diseño de prompts como una variable de ingeniería del sistema, gestionada con un rigor comparable al de las decisiones de arquitectura, selección de modelos o definición de métricas. El protocolo siguiente ordena ese proceso para el dominio de detección de condiciones de riesgo en construcción civil.</w:t>
      </w:r>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cada condición de riesgo del catálogo (</w:t>
      </w:r>
      <w:r>
        <w:rPr>
          <w:rFonts w:ascii="Times New Roman" w:cs="Times New Roman" w:eastAsia="Times New Roman" w:hAnsi="Times New Roman"/>
          <w:sz w:val="24"/>
          <w:szCs w:val="24"/>
          <w:rtl w:val="0"/>
        </w:rPr>
        <w:t>Tabla 20</w:t>
      </w:r>
      <w:r>
        <w:rPr>
          <w:rFonts w:ascii="Times New Roman" w:cs="Times New Roman" w:eastAsia="Times New Roman" w:hAnsi="Times New Roman"/>
          <w:sz w:val="24"/>
          <w:szCs w:val="24"/>
          <w:rtl w:val="0"/>
        </w:rPr>
        <w:t>)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Implicancias del tamaño del vocabulario activo.</w:t>
      </w:r>
      <w:r>
        <w:rPr>
          <w:rFonts w:ascii="Times New Roman" w:cs="Times New Roman" w:eastAsia="Times New Roman" w:hAnsi="Times New Roman"/>
          <w:sz w:val="24"/>
          <w:szCs w:val="24"/>
          <w:rtl w:val="0"/>
        </w:rPr>
        <w:t xml:space="preserve"> El número de prompts simultáneamente activos puede afectar tanto la latencia de inferencia como la precisión, y su impacto no es uniforme entre arquitecturas: las familias YOLO orientadas a open-vocabulary precomputan o reparametrizan los embeddings textuales fuera del ciclo de inferencia —el paradigma prompt-then-detect de YOLO-World y la alineación reparametrizable RepRTA de YOLOE (Cheng et al., 2024; Wang et al., 2025)—, mientras que Grounding DINO procesa el par imagen-texto en cada consulta, de modo que un vocabulario mayor incrementa la longitud de la entrada textual y el costo de fusión cross-modal (Liu et al., 2024). El detalle arquitectónico se desarrolla en el análisis de modelos OVD; la consecuencia de diseño es que la cantidad de prompts sostenibles dentro del presupuesto de latencia depende del modelo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Los modelos OVD candidatos —Grounding DINO, YOLO-World, YOLOE, OWL-ViT y Florence-2— se apoyan en arquitecturas visión-lenguaje donde la entrada textual cumple un rol central, con encoders derivados de BERT, CLIP o MobileCLIP según la familia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w:t>
      </w:r>
      <w:r>
        <w:rPr>
          <w:rFonts w:ascii="Times New Roman" w:cs="Times New Roman" w:eastAsia="Times New Roman" w:hAnsi="Times New Roman"/>
          <w:sz w:val="24"/>
          <w:szCs w:val="24"/>
          <w:rtl w:val="0"/>
        </w:rPr>
        <w:t>CLIP, Conceptual Captions y CC12M —los corpus de la línea de preentrenamiento de base— se construyeron sobre material predominantemente en inglés (Radford et al., 2021; Sharma et al., 2018; Changpinyo et al., 2021).</w:t>
      </w:r>
      <w:r>
        <w:rPr>
          <w:rFonts w:ascii="Times New Roman" w:cs="Times New Roman" w:eastAsia="Times New Roman" w:hAnsi="Times New Roman"/>
          <w:sz w:val="24"/>
          <w:szCs w:val="24"/>
          <w:rtl w:val="0"/>
        </w:rPr>
        <w:t xml:space="preserve">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Fase 3 - Ejecución sistemática.</w:t>
      </w:r>
      <w:r>
        <w:rPr>
          <w:rFonts w:ascii="Times New Roman" w:cs="Times New Roman" w:eastAsia="Times New Roman" w:hAnsi="Times New Roman"/>
          <w:sz w:val="24"/>
          <w:szCs w:val="24"/>
          <w:rtl w:val="0"/>
        </w:rPr>
        <w:t xml:space="preserve"> Para cada combinación de la matriz se ejecuta la inferencia sobre el dataset correspondiente en condiciones controladas —hardware, resolución de entrada y preprocesamiento constantes—, registrando por imagen las detecciones con sus coordenadas, puntaje de confianza y etiqueta,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p>
    <w:p w:rsidR="00000000" w:rsidDel="00000000" w:rsidP="00000000" w:rsidRDefault="00000000" w:rsidRPr="00000000" w14:paraId="0000043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evitar ambigüedades terminológicas se adoptan dos definiciones operativas.</w:t>
      </w:r>
      <w:r>
        <w:rPr>
          <w:rFonts w:ascii="Times New Roman" w:cs="Times New Roman" w:eastAsia="Times New Roman" w:hAnsi="Times New Roman"/>
          <w:sz w:val="24"/>
          <w:szCs w:val="24"/>
          <w:rtl w:val="0"/>
        </w:rPr>
        <w:t xml:space="preserve">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estrategia de datos responde a las preguntas rectoras P-E1-03 y P-E1-08 formuladas en la sección 16.7.3 de la fundamentación teórica. En relación con P-E1-03, construye</w:t>
      </w:r>
      <w:r>
        <w:rPr>
          <w:rFonts w:ascii="Times New Roman" w:cs="Times New Roman" w:eastAsia="Times New Roman" w:hAnsi="Times New Roman"/>
          <w:sz w:val="24"/>
          <w:szCs w:val="24"/>
          <w:rtl w:val="0"/>
        </w:rPr>
        <w:t xml:space="preserv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Ese propósito se completa con un mapeo explícito entre cada dataset candidato y las condiciones de riesgo CR-01 a CR-06 de la taxonomía, y con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elabora un inventario</w:t>
      </w:r>
      <w:r>
        <w:rPr>
          <w:rFonts w:ascii="Times New Roman" w:cs="Times New Roman" w:eastAsia="Times New Roman" w:hAnsi="Times New Roman"/>
          <w:sz w:val="24"/>
          <w:szCs w:val="24"/>
          <w:rtl w:val="0"/>
        </w:rPr>
        <w:t xml:space="preserve">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inventario se organiza en dos categorías</w:t>
      </w:r>
      <w:r>
        <w:rPr>
          <w:rFonts w:ascii="Times New Roman" w:cs="Times New Roman" w:eastAsia="Times New Roman" w:hAnsi="Times New Roman"/>
          <w:sz w:val="24"/>
          <w:szCs w:val="24"/>
          <w:rtl w:val="0"/>
        </w:rPr>
        <w:t xml:space="preserve">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4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rtl w:val="0"/>
        </w:rPr>
        <w:t>Quedan fuera del inventario las colecciones generalistas</w:t>
      </w:r>
      <w:r>
        <w:rPr>
          <w:rFonts w:ascii="Times New Roman" w:cs="Times New Roman" w:eastAsia="Times New Roman" w:hAnsi="Times New Roman"/>
          <w:sz w:val="24"/>
          <w:szCs w:val="24"/>
          <w:rtl w:val="0"/>
        </w:rPr>
        <w:t xml:space="preserve">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22</w:t>
      </w: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456">
      <w:pPr>
        <w:spacing w:line="360" w:lineRule="auto"/>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sz w:val="24"/>
          <w:szCs w:val="24"/>
          <w:rtl w:val="0"/>
        </w:rPr>
        <w:t>Tabla 23</w:t>
      </w: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457">
      <w:pPr>
        <w:spacing w:line="360" w:lineRule="auto"/>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sz w:val="24"/>
          <w:szCs w:val="24"/>
          <w:rtl w:val="0"/>
        </w:rPr>
        <w:t>Tabla 24</w:t>
      </w:r>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w:t>
      </w:r>
      <w:r>
        <w:rPr>
          <w:rFonts w:ascii="Times New Roman" w:cs="Times New Roman" w:eastAsia="Times New Roman" w:hAnsi="Times New Roman"/>
          <w:sz w:val="24"/>
          <w:szCs w:val="24"/>
          <w:rtl w:val="0"/>
        </w:rPr>
        <w:t>El protocolo fija sólo las condiciones metodológicas que cualquier esquema de partición deberá satisfacer.</w:t>
      </w:r>
      <w:r>
        <w:rPr>
          <w:rFonts w:ascii="Times New Roman" w:cs="Times New Roman" w:eastAsia="Times New Roman" w:hAnsi="Times New Roman"/>
          <w:sz w:val="24"/>
          <w:szCs w:val="24"/>
          <w:rtl w:val="0"/>
        </w:rPr>
        <w:t xml:space="preserve">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25</w:t>
      </w:r>
      <w:r w:rsidDel="00000000" w:rsidR="00000000" w:rsidRPr="00000000">
        <w:rPr>
          <w:rtl w:val="0"/>
        </w:rPr>
      </w:r>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45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w:t>
      </w:r>
      <w:r>
        <w:rPr>
          <w:rFonts w:ascii="Times New Roman" w:cs="Times New Roman" w:eastAsia="Times New Roman" w:hAnsi="Times New Roman"/>
          <w:sz w:val="24"/>
          <w:szCs w:val="24"/>
          <w:rtl w:val="0"/>
        </w:rPr>
        <w:t>Tabla 26</w:t>
      </w:r>
      <w:r>
        <w:rPr>
          <w:rFonts w:ascii="Times New Roman" w:cs="Times New Roman" w:eastAsia="Times New Roman" w:hAnsi="Times New Roman"/>
          <w:sz w:val="24"/>
          <w:szCs w:val="24"/>
          <w:rtl w:val="0"/>
        </w:rPr>
        <w:t xml:space="preserve"> sintetiza la aptitud metodológica de las cuatro fuentes retenidas para ajuste y evaluación, sin asignar todavía un rol efectivo.</w:t>
      </w:r>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26</w:t>
      </w:r>
      <w:r w:rsidDel="00000000" w:rsidR="00000000" w:rsidRPr="00000000">
        <w:rPr>
          <w:rtl w:val="0"/>
        </w:rPr>
      </w:r>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27</w:t>
      </w:r>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Dos dimensiones atraviesan el inventario completo</w:t>
      </w:r>
      <w:r>
        <w:rPr>
          <w:rFonts w:ascii="Times New Roman" w:cs="Times New Roman" w:eastAsia="Times New Roman" w:hAnsi="Times New Roman"/>
          <w:sz w:val="24"/>
          <w:szCs w:val="24"/>
          <w:rtl w:val="0"/>
        </w:rPr>
        <w:t xml:space="preserve">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cualquier dato generado ad hoc conforme a las alternativas de la Sección 17.1.6.2.6 rigen las salvaguardas de minimización, consentimiento y ausencia de tratamiento biométrico de la Sección 17.1.10.1.</w:t>
      </w:r>
    </w:p>
    <w:p w:rsidR="00000000" w:rsidDel="00000000" w:rsidP="00000000" w:rsidRDefault="00000000" w:rsidRPr="00000000" w14:paraId="0000045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w:t>
      </w:r>
      <w:r>
        <w:rPr>
          <w:rFonts w:ascii="Times New Roman" w:cs="Times New Roman" w:eastAsia="Times New Roman" w:hAnsi="Times New Roman"/>
          <w:sz w:val="24"/>
          <w:szCs w:val="24"/>
          <w:rtl w:val="0"/>
        </w:rPr>
        <w:t>Tabla 24</w:t>
      </w:r>
      <w:r>
        <w:rPr>
          <w:rFonts w:ascii="Times New Roman" w:cs="Times New Roman" w:eastAsia="Times New Roman" w:hAnsi="Times New Roman"/>
          <w:sz w:val="24"/>
          <w:szCs w:val="24"/>
          <w:rtl w:val="0"/>
        </w:rPr>
        <w:t>, sin atribuirles licencias no verificadas.</w:t>
      </w:r>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441">
      <w:pPr>
        <w:spacing w:line="480" w:lineRule="auto"/>
        <w:ind w:firstLine="720"/>
        <w:rPr>
          <w:rFonts w:ascii="Times New Roman" w:cs="Times New Roman" w:eastAsia="Times New Roman" w:hAnsi="Times New Roman"/>
          <w:sz w:val="24"/>
          <w:szCs w:val="24"/>
        </w:rPr>
      </w:pPr>
      <w:sdt>
        <w:sdtPr>
          <w:id w:val="-1708085815"/>
          <w:tag w:val="goog_rdk_19"/>
        </w:sdtPr>
        <w:sdtContent>
          <w:commentRangeStart w:id="19"/>
        </w:sdtContent>
      </w:sdt>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sdt>
        <w:sdtPr>
          <w:id w:val="-1708085815"/>
          <w:tag w:val="goog_rdk_19"/>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45D">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28</w:t>
      </w:r>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428">
      <w:pPr>
        <w:spacing w:line="480" w:lineRule="auto"/>
        <w:ind w:firstLine="720"/>
        <w:rPr>
          <w:rFonts w:ascii="Times New Roman" w:cs="Times New Roman" w:eastAsia="Times New Roman" w:hAnsi="Times New Roman"/>
          <w:sz w:val="24"/>
          <w:szCs w:val="24"/>
        </w:rPr>
      </w:pPr>
      <w:r>
        <w:t xml:space="preserve">La partición de datos se rige por las condiciones metodológicas obligatorias de la </w:t>
      </w:r>
      <w:r>
        <w:t>Tabla 25</w:t>
      </w:r>
      <w:r>
        <w:t>.</w:t>
      </w:r>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ese marco, el framework responde a dos preguntas rectoras de la fundamentación teórica. En relación con P-E1-06, define las métricas para evaluar</w:t>
      </w:r>
      <w:r>
        <w:rPr>
          <w:rFonts w:ascii="Times New Roman" w:cs="Times New Roman" w:eastAsia="Times New Roman" w:hAnsi="Times New Roman"/>
          <w:sz w:val="24"/>
          <w:szCs w:val="24"/>
          <w:rtl w:val="0"/>
        </w:rPr>
        <w:t xml:space="preserve">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define métricas</w:t>
      </w:r>
      <w:r>
        <w:rPr>
          <w:rFonts w:ascii="Times New Roman" w:cs="Times New Roman" w:eastAsia="Times New Roman" w:hAnsi="Times New Roman"/>
          <w:sz w:val="24"/>
          <w:szCs w:val="24"/>
          <w:rtl w:val="0"/>
        </w:rPr>
        <w:t>,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todas las métricas del framework asumen el mismo nivel de compromiso.</w:t>
      </w:r>
      <w:r>
        <w:rPr>
          <w:rFonts w:ascii="Times New Roman" w:cs="Times New Roman" w:eastAsia="Times New Roman" w:hAnsi="Times New Roman"/>
          <w:sz w:val="24"/>
          <w:szCs w:val="24"/>
          <w:rtl w:val="0"/>
        </w:rPr>
        <w:t xml:space="preserve">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Las métricas adoptadas cubren los tres planos del sistema evaluable: detección OVD, seguimiento multiobjeto (MOT) y rendimiento del pipeline.</w:t>
      </w:r>
      <w:r>
        <w:rPr>
          <w:rFonts w:ascii="Times New Roman" w:cs="Times New Roman" w:eastAsia="Times New Roman" w:hAnsi="Times New Roman"/>
          <w:sz w:val="24"/>
          <w:szCs w:val="24"/>
          <w:rtl w:val="0"/>
        </w:rPr>
        <w:t xml:space="preserv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43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1309936628"/>
          <w:tag w:val="goog_rdk_21"/>
        </w:sdtPr>
        <w:sdtContent>
          <w:commentRangeStart w:id="21"/>
        </w:sdtContent>
      </w:sdt>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sdt>
        <w:sdtPr>
          <w:id w:val="-1309936628"/>
          <w:tag w:val="goog_rdk_21"/>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4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sdt>
        <w:sdtPr>
          <w:id w:val="-1214226104"/>
          <w:tag w:val="goog_rdk_22"/>
        </w:sdtPr>
        <w:sdtContent>
          <w:commentRangeStart w:id="22"/>
        </w:sdtContent>
      </w:sdt>
      <w:commentRangeEnd w:id="22"/>
      <w:r w:rsidDel="00000000" w:rsidR="00000000" w:rsidRPr="00000000">
        <w:commentReference w:id="22"/>
      </w: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43E">
      <w:pPr>
        <w:spacing w:line="480" w:lineRule="auto"/>
        <w:ind w:firstLine="720"/>
        <w:rPr>
          <w:rFonts w:ascii="Times New Roman" w:cs="Times New Roman" w:eastAsia="Times New Roman" w:hAnsi="Times New Roman"/>
          <w:sz w:val="24"/>
          <w:szCs w:val="24"/>
        </w:rPr>
      </w:pPr>
      <w:sdt>
        <w:sdtPr>
          <w:id w:val="1571767557"/>
          <w:tag w:val="goog_rdk_23"/>
        </w:sdtPr>
        <w:sdtContent>
          <w:commentRangeStart w:id="23"/>
        </w:sdtContent>
      </w:sdt>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sdt>
        <w:sdtPr>
          <w:id w:val="1571767557"/>
          <w:tag w:val="goog_rdk_23"/>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 ello, el framework incorpora métricas operativas específicas del dominio:</w:t>
      </w:r>
      <w:r>
        <w:rPr>
          <w:rFonts w:ascii="Times New Roman" w:cs="Times New Roman" w:eastAsia="Times New Roman" w:hAnsi="Times New Roman"/>
          <w:sz w:val="24"/>
          <w:szCs w:val="24"/>
          <w:rtl w:val="0"/>
        </w:rPr>
        <w:t xml:space="preserve">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métrica resulta especialmente informativa en eventos de severidad crítica o alta, donde interesa conocer cuánto tarda el sistema en producir la primera señal visual relevante.</w:t>
      </w:r>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i w:val="0"/>
          <w:iCs w:val="0"/>
          <w:color w:val="000000"/>
          <w:sz w:val="24"/>
          <w:szCs w:val="24"/>
          <w:rtl w:val="0"/>
        </w:rPr>
        <w:t>17.1.7.5.4.</w:t>
      </w:r>
      <w:r>
        <w:rPr>
          <w:rFonts w:ascii="Times New Roman" w:cs="Times New Roman" w:eastAsia="Times New Roman" w:hAnsi="Times New Roman"/>
          <w:b w:val="1"/>
          <w:bCs w:val="1"/>
          <w:i w:val="0"/>
          <w:iCs w:val="0"/>
          <w:color w:val="000000"/>
          <w:sz w:val="24"/>
          <w:szCs w:val="24"/>
          <w:rtl w:val="0"/>
        </w:rPr>
        <w:t xml:space="preserve">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29</w:t>
      </w:r>
      <w:r w:rsidDel="00000000" w:rsidR="00000000" w:rsidRPr="00000000">
        <w:rPr>
          <w:rtl w:val="0"/>
        </w:rPr>
      </w:r>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30</w:t>
      </w:r>
      <w:r w:rsidDel="00000000" w:rsidR="00000000" w:rsidRPr="00000000">
        <w:rPr>
          <w:rtl w:val="0"/>
        </w:rPr>
      </w:r>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42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421">
      <w:pPr>
        <w:pStyle w:val="Heading5"/>
        <w:spacing w:after="0" w:before="0" w:line="480" w:lineRule="auto"/>
        <w:rPr>
          <w:rFonts w:ascii="Times New Roman" w:cs="Times New Roman" w:eastAsia="Times New Roman" w:hAnsi="Times New Roman"/>
          <w:b w:val="1"/>
          <w:bCs w:val="1"/>
          <w:color w:val="000000"/>
          <w:sz w:val="24"/>
          <w:szCs w:val="24"/>
        </w:rPr>
      </w:pPr>
      <w:sdt>
        <w:sdtPr>
          <w:id w:val="58883949"/>
          <w:tag w:val="goog_rdk_24"/>
        </w:sdtPr>
        <w:sdtContent>
          <w:commentRangeStart w:id="24"/>
        </w:sdtContent>
      </w:sdt>
      <w:commentRangeEnd w:id="24"/>
      <w:r w:rsidDel="00000000" w:rsidR="00000000" w:rsidRPr="00000000">
        <w:commentReference w:id="24"/>
      </w:r>
      <w:sdt>
        <w:sdtPr>
          <w:id w:val="58883949"/>
          <w:tag w:val="goog_rdk_24"/>
        </w:sdtPr>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w:t>
      </w:r>
      <w:r>
        <w:rPr>
          <w:rFonts w:ascii="Times New Roman" w:cs="Times New Roman" w:eastAsia="Times New Roman" w:hAnsi="Times New Roman"/>
          <w:sz w:val="24"/>
          <w:szCs w:val="24"/>
          <w:rtl w:val="0"/>
        </w:rPr>
        <w:t>interpretar los umbrales de la Sección 17.1.7.7.5</w:t>
      </w:r>
      <w:r>
        <w:rPr>
          <w:rFonts w:ascii="Times New Roman" w:cs="Times New Roman" w:eastAsia="Times New Roman" w:hAnsi="Times New Roman"/>
          <w:sz w:val="24"/>
          <w:szCs w:val="24"/>
          <w:rtl w:val="0"/>
        </w:rPr>
        <w:t xml:space="preserve">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43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43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w:t>
      </w:r>
      <w:r>
        <w:rPr>
          <w:rFonts w:ascii="Times New Roman" w:cs="Times New Roman" w:eastAsia="Times New Roman" w:hAnsi="Times New Roman"/>
          <w:sz w:val="24"/>
          <w:szCs w:val="24"/>
          <w:rtl w:val="0"/>
        </w:rPr>
        <w:t>Por un lado, el análisis de operación en tiempo real identifica</w:t>
      </w:r>
      <w:r>
        <w:rPr>
          <w:rFonts w:ascii="Times New Roman" w:cs="Times New Roman" w:eastAsia="Times New Roman" w:hAnsi="Times New Roman"/>
          <w:sz w:val="24"/>
          <w:szCs w:val="24"/>
          <w:rtl w:val="0"/>
        </w:rPr>
        <w:t xml:space="preserve"> un rango de 10–30 ms por cuadro asociado a modelos ligeros optimizados y otro de 50–150 ms característico de arquitecturas transformer sin optimización específica para edge; </w:t>
      </w:r>
      <w:r>
        <w:rPr>
          <w:rFonts w:ascii="Times New Roman" w:cs="Times New Roman" w:eastAsia="Times New Roman" w:hAnsi="Times New Roman"/>
          <w:sz w:val="24"/>
          <w:szCs w:val="24"/>
          <w:rtl w:val="0"/>
        </w:rPr>
        <w:t>por otro, el análisis de modelos OVD documenta</w:t>
      </w:r>
      <w:r>
        <w:rPr>
          <w:rFonts w:ascii="Times New Roman" w:cs="Times New Roman" w:eastAsia="Times New Roman" w:hAnsi="Times New Roman"/>
          <w:sz w:val="24"/>
          <w:szCs w:val="24"/>
          <w:rtl w:val="0"/>
        </w:rPr>
        <w:t xml:space="preserve">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43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42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43F">
      <w:pPr>
        <w:spacing w:line="480" w:lineRule="auto"/>
        <w:ind w:firstLine="720"/>
        <w:rPr>
          <w:rFonts w:ascii="Times New Roman" w:cs="Times New Roman" w:eastAsia="Times New Roman" w:hAnsi="Times New Roman"/>
          <w:sz w:val="24"/>
          <w:szCs w:val="24"/>
        </w:rPr>
      </w:pPr>
      <w:sdt>
        <w:sdtPr>
          <w:id w:val="-568164419"/>
          <w:tag w:val="goog_rdk_25"/>
        </w:sdtPr>
        <w:sdtContent>
          <w:commentRangeStart w:id="25"/>
        </w:sdtContent>
      </w:sdt>
      <w:commentRangeEnd w:id="25"/>
      <w:r w:rsidDel="00000000" w:rsidR="00000000" w:rsidRPr="00000000">
        <w:commentReference w:id="25"/>
      </w:r>
      <w:r>
        <w:t xml:space="preserve">Los umbrales orientativos consolidados se presentan en la </w:t>
      </w:r>
      <w:r>
        <w:t>Tabla 32</w:t>
      </w:r>
      <w:r>
        <w:t xml:space="preserve"> (Sección 17.1.7.9).</w:t>
      </w:r>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que el framework sea ejecutable y no meramente declarativo, las métricas anteriores se traducen a requisitos mínimos de instrumentación, preparación y registro. No se redefinen las métricas: se fijan las condiciones bajo las cuales su medición resulta metodológicamente defendible.</w:t>
      </w:r>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440">
      <w:pPr>
        <w:spacing w:line="480" w:lineRule="auto"/>
        <w:ind w:firstLine="720"/>
        <w:rPr>
          <w:rFonts w:ascii="Times New Roman" w:cs="Times New Roman" w:eastAsia="Times New Roman" w:hAnsi="Times New Roman"/>
          <w:sz w:val="24"/>
          <w:szCs w:val="24"/>
        </w:rPr>
      </w:pPr>
      <w:sdt>
        <w:sdtPr>
          <w:id w:val="-433862958"/>
          <w:tag w:val="goog_rdk_26"/>
        </w:sdtPr>
        <w:sdtContent>
          <w:commentRangeStart w:id="26"/>
        </w:sdtContent>
      </w:sdt>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sdt>
        <w:sdtPr>
          <w:id w:val="-433862958"/>
          <w:tag w:val="goog_rdk_26"/>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r>
        <w:rPr>
          <w:rFonts w:ascii="Times New Roman" w:cs="Times New Roman" w:eastAsia="Times New Roman" w:hAnsi="Times New Roman"/>
          <w:sz w:val="24"/>
          <w:szCs w:val="24"/>
          <w:rtl w:val="0"/>
        </w:rPr>
        <w:t xml:space="preserve"> El detalle de campos recomendados se consolida en la Tabla D.3 del Anexo D.</w:t>
      </w:r>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t>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460">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31</w:t>
      </w:r>
      <w:r w:rsidDel="00000000" w:rsidR="00000000" w:rsidRPr="00000000">
        <w:rPr>
          <w:rtl w:val="0"/>
        </w:rPr>
      </w:r>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definida como el intervalo entre el inicio anotado de la condición de riesgo y la generación de una alerta confirmada y registrada dentro del sistema.</w:t>
      </w:r>
    </w:p>
    <w:p w:rsidR="00000000" w:rsidDel="00000000" w:rsidP="00000000" w:rsidRDefault="00000000" w:rsidRPr="00000000" w14:paraId="00000461">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32</w:t>
      </w:r>
      <w:r w:rsidDel="00000000" w:rsidR="00000000" w:rsidRPr="00000000">
        <w:rPr>
          <w:rtl w:val="0"/>
        </w:rPr>
      </w:r>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462">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33</w:t>
      </w:r>
      <w:r w:rsidDel="00000000" w:rsidR="00000000" w:rsidRPr="00000000">
        <w:rPr>
          <w:rtl w:val="0"/>
        </w:rPr>
      </w:r>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463">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34</w:t>
      </w:r>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prevé, además, la inscripción de las bases de datos con datos personales ante la autoridad de aplicación (AAIP); su aplicabilidad al material experimental del proyecto y el recaudo adoptado se documentan a continuación.</w:t>
      </w:r>
    </w:p>
    <w:p w:rsidR="00000000" w:rsidDel="00000000" w:rsidP="00000000" w:rsidRDefault="00000000" w:rsidRPr="00000000" w14:paraId="000003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464">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35</w:t>
      </w:r>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27">
      <w:pPr>
        <w:spacing w:line="480" w:lineRule="auto"/>
        <w:ind w:firstLine="720"/>
        <w:rPr/>
      </w:pPr>
      <w:r>
        <w:t>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465">
      <w:pPr>
        <w:pStyle w:val="Heading2"/>
        <w:spacing w:after="0" w:before="0" w:line="480" w:lineRule="auto"/>
        <w:rPr>
          <w:rFonts w:ascii="Times New Roman" w:cs="Times New Roman" w:eastAsia="Times New Roman" w:hAnsi="Times New Roman"/>
          <w:b w:val="1"/>
          <w:bCs w:val="1"/>
          <w:sz w:val="24"/>
          <w:szCs w:val="24"/>
        </w:rPr>
      </w:pPr>
      <w:r>
        <w:rPr>
          <w:rtl w:val="0"/>
        </w:rPr>
        <w:t>Anexo C — Prompts, datos, datasets, benchmarks y logística</w:t>
      </w:r>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C.1</w:t>
      </w:r>
    </w:p>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Catálogo de prompts candidatos por condición de riesgo</w:t>
      </w:r>
    </w:p>
    <w:tbl>
      <w:tblPr>
        <w:tblStyle w:val="Table12"/>
        <w:tblW w:w="10460" w:type="dxa"/>
        <w:jc w:val="center"/>
        <w:tblLayout w:type="fixed"/>
        <w:tblLook w:val="0400"/>
      </w:tblPr>
      <w:tblGrid>
        <w:gridCol w:w="1800"/>
        <w:gridCol w:w="1900"/>
        <w:gridCol w:w="3250"/>
        <w:gridCol w:w="351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Código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Eje de variación</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Prompt candidato (inglés)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Estrategia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delimitadores de referencia visual</w:t>
            </w:r>
          </w:p>
        </w:tc>
      </w:tr>
    </w:tbl>
    <w:p w:rsidR="00000000" w:rsidDel="00000000" w:rsidP="00000000" w:rsidRDefault="00000000" w:rsidRPr="00000000" w14:paraId="000004C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4C1">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C.2</w:t>
      </w:r>
    </w:p>
    <w:p w:rsidR="00000000" w:rsidDel="00000000" w:rsidP="00000000" w:rsidRDefault="00000000" w:rsidRPr="00000000" w14:paraId="000004C2">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Variables de sensibilidad candidatas para el Environment-Based Evaluation</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Variable</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Niveles o condiciones retenidas</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dentro del protocolo</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si la cantidad y tipo de consultas activas impacta precisión, latencia o ambas.</w:t>
            </w:r>
          </w:p>
        </w:tc>
      </w:tr>
    </w:tbl>
    <w:p w:rsidR="00000000" w:rsidDel="00000000" w:rsidP="00000000" w:rsidRDefault="00000000" w:rsidRPr="00000000" w14:paraId="000004D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4D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C.3</w:t>
      </w:r>
    </w:p>
    <w:p w:rsidR="00000000" w:rsidDel="00000000" w:rsidP="00000000" w:rsidRDefault="00000000" w:rsidRPr="00000000" w14:paraId="000004DD">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Logística de conversión y acceso de los datasets retenidos</w:t>
      </w:r>
    </w:p>
    <w:tbl>
      <w:tblPr>
        <w:tblStyle w:val="Table17"/>
        <w:tblW w:w="10460" w:type="dxa"/>
        <w:jc w:val="center"/>
        <w:tblLayout w:type="fixed"/>
        <w:tblLook w:val="0400"/>
      </w:tblPr>
      <w:tblGrid>
        <w:gridCol w:w="1500"/>
        <w:gridCol w:w="1700"/>
        <w:gridCol w:w="1900"/>
        <w:gridCol w:w="1700"/>
        <w:gridCol w:w="36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nativo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trabajo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Vía de acceso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Observación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Conversión directa VOC→YOLO; para el pipeline de Grounding DINO, VOC→COCO→ODVG.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bl>
    <w:p w:rsidR="00000000" w:rsidDel="00000000" w:rsidP="00000000" w:rsidRDefault="00000000" w:rsidRPr="00000000" w14:paraId="000004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4F8">
      <w:pPr>
        <w:pStyle w:val="Heading2"/>
        <w:spacing w:after="0" w:before="0" w:line="480" w:lineRule="auto"/>
        <w:rPr>
          <w:rFonts w:ascii="Times New Roman" w:cs="Times New Roman" w:eastAsia="Times New Roman" w:hAnsi="Times New Roman"/>
          <w:b w:val="1"/>
          <w:bCs w:val="1"/>
          <w:sz w:val="24"/>
          <w:szCs w:val="24"/>
        </w:rPr>
      </w:pPr>
      <w:r>
        <w:rPr>
          <w:rtl w:val="0"/>
        </w:rPr>
        <w:t>Anexo D — Métricas, instrumentación y bitácora experimental</w:t>
      </w:r>
    </w:p>
    <w:p w:rsidR="00000000" w:rsidDel="00000000" w:rsidP="00000000" w:rsidRDefault="00000000" w:rsidRPr="00000000" w14:paraId="000004F9">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D.1</w:t>
      </w:r>
    </w:p>
    <w:p w:rsidR="00000000" w:rsidDel="00000000" w:rsidP="00000000" w:rsidRDefault="00000000" w:rsidRPr="00000000" w14:paraId="000004FA">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Métricas de rendimiento del pipeline y uso de recursos</w:t>
      </w:r>
    </w:p>
    <w:tbl>
      <w:tblPr>
        <w:tblStyle w:val="Table17"/>
        <w:tblW w:w="10460" w:type="dxa"/>
        <w:jc w:val="center"/>
        <w:tblLayout w:type="fixed"/>
        <w:tblLook w:val="0400"/>
      </w:tblPr>
      <w:tblGrid>
        <w:gridCol w:w="1450"/>
        <w:gridCol w:w="2850"/>
        <w:gridCol w:w="1700"/>
        <w:gridCol w:w="2000"/>
        <w:gridCol w:w="24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Métrica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operativa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reporte</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Compromiso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Criterio de estabilidad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serie temporal</w:t>
            </w:r>
          </w:p>
        </w:tc>
      </w:tr>
    </w:tbl>
    <w:p w:rsidR="00000000" w:rsidDel="00000000" w:rsidP="00000000" w:rsidRDefault="00000000" w:rsidRPr="00000000" w14:paraId="0000051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51F">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D.2</w:t>
      </w:r>
    </w:p>
    <w:p w:rsidR="00000000" w:rsidDel="00000000" w:rsidP="00000000" w:rsidRDefault="00000000" w:rsidRPr="00000000" w14:paraId="00000520">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Insumos mínimos requeridos antes de iniciar una campaña de medición</w:t>
      </w:r>
    </w:p>
    <w:tbl>
      <w:tblPr>
        <w:tblStyle w:val="Table17"/>
        <w:tblW w:w="10460" w:type="dxa"/>
        <w:jc w:val="center"/>
        <w:tblLayout w:type="fixed"/>
        <w:tblLook w:val="0400"/>
      </w:tblPr>
      <w:tblGrid>
        <w:gridCol w:w="1700"/>
        <w:gridCol w:w="2400"/>
        <w:gridCol w:w="2000"/>
        <w:gridCol w:w="2200"/>
        <w:gridCol w:w="2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Familia de métricas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Ground truth o insumo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Instrumentación mínima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Herramientas o artefactos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Salida mínima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Deltas y costo de entrenamiento, cuando aplique.</w:t>
            </w:r>
          </w:p>
        </w:tc>
      </w:tr>
    </w:tbl>
    <w:p w:rsidR="00000000" w:rsidDel="00000000" w:rsidP="00000000" w:rsidRDefault="00000000" w:rsidRPr="00000000" w14:paraId="0000054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545">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D.3</w:t>
      </w:r>
    </w:p>
    <w:p w:rsidR="00000000" w:rsidDel="00000000" w:rsidP="00000000" w:rsidRDefault="00000000" w:rsidRPr="00000000" w14:paraId="00000546">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Campos mínimos recomendados para la bitácora experimental</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7">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Campo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Contenido mínimo recomendado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en la interpretación</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Evita lecturas descontextualizadas.</w:t>
            </w:r>
          </w:p>
        </w:tc>
      </w:tr>
    </w:tbl>
    <w:p w:rsidR="00000000" w:rsidDel="00000000" w:rsidP="00000000" w:rsidRDefault="00000000" w:rsidRPr="00000000" w14:paraId="0000056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Una métrica sin contexto de corrida pierde interpretabilidad y trazabilidad.</w:t>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1"/>
  <w15:commentEx w15:paraId="00000421" w15:done="1"/>
  <w15:commentEx w15:paraId="00000422" w15:done="1"/>
  <w15:commentEx w15:paraId="00000423" w15:done="1"/>
  <w15:commentEx w15:paraId="00000424" w15:done="1"/>
  <w15:commentEx w15:paraId="00000425" w15:done="1"/>
  <w15:commentEx w15:paraId="00000426" w15:done="1"/>
  <w15:commentEx w15:paraId="00000427" w15:done="1"/>
  <w15:commentEx w15:paraId="00000428" w15:done="1"/>
  <w15:commentEx w15:paraId="00000429" w15:done="1"/>
  <w15:commentEx w15:paraId="0000042A" w15:done="1"/>
  <w15:commentEx w15:paraId="0000042B" w15:done="1"/>
  <w15:commentEx w15:paraId="0000042C" w15:done="1"/>
  <w15:commentEx w15:paraId="0000042D" w15:done="1"/>
  <w15:commentEx w15:paraId="0000042E" w15:done="1"/>
  <w15:commentEx w15:paraId="0000042F" w15:paraIdParent="0000042E" w15:done="1"/>
  <w15:commentEx w15:paraId="00000430" w15:paraIdParent="0000042E" w15:done="1"/>
  <w15:commentEx w15:paraId="00000431" w15:done="1"/>
  <w15:commentEx w15:paraId="00000432" w15:done="1"/>
  <w15:commentEx w15:paraId="00000433" w15:done="1"/>
  <w15:commentEx w15:paraId="00000434" w15:done="1"/>
  <w15:commentEx w15:paraId="00000435" w15:done="1"/>
  <w15:commentEx w15:paraId="00000436" w15:done="1"/>
  <w15:commentEx w15:paraId="00000437" w15:done="1"/>
  <w15:commentEx w15:paraId="00000438" w15:done="1"/>
  <w15:commentEx w15:paraId="00000439" w15:done="1"/>
  <w15:commentEx w15:paraId="0000043A"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