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0" w:before="0" w:line="480" w:lineRule="auto"/>
        <w:rPr>
          <w:rFonts w:ascii="Times New Roman" w:cs="Times New Roman" w:eastAsia="Times New Roman" w:hAnsi="Times New Roman"/>
          <w:b w:val="1"/>
          <w:bCs w:val="1"/>
          <w:sz w:val="24"/>
          <w:szCs w:val="24"/>
        </w:rPr>
      </w:pPr>
      <w:bookmarkStart w:colFirst="0" w:colLast="0" w:name="_5r9yivh1xqao" w:id="0"/>
      <w:bookmarkEnd w:id="0"/>
      <w:r w:rsidDel="00000000" w:rsidR="00000000" w:rsidRPr="00000000">
        <w:rPr>
          <w:rFonts w:ascii="Times New Roman" w:cs="Times New Roman" w:eastAsia="Times New Roman" w:hAnsi="Times New Roman"/>
          <w:b w:val="1"/>
          <w:bCs w:val="1"/>
          <w:sz w:val="24"/>
          <w:szCs w:val="24"/>
          <w:rtl w:val="0"/>
        </w:rPr>
        <w:t xml:space="preserve">15. Estado del Arte</w:t>
      </w:r>
    </w:p>
    <w:p w:rsidR="00000000" w:rsidDel="00000000" w:rsidP="00000000" w:rsidRDefault="00000000" w:rsidRPr="00000000" w14:paraId="0000000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estado del arte reúne los antecedentes técnicos y metodológicos necesarios para contextualizar el desarrollo de una plataforma experimental de detección open-vocabulary en video en tiempo real. Su propósito es revisar los enfoques, modelos y arquitecturas que permiten comprender el alcance actual de la detección visual guiada por lenguaje natural, así como sus limitaciones cuando se la traslada a escenarios dinámicos, con restricciones temporales y requerimientos de seguridad laboral.</w:t>
      </w:r>
    </w:p>
    <w:p w:rsidR="00000000" w:rsidDel="00000000" w:rsidP="00000000" w:rsidRDefault="00000000" w:rsidRPr="00000000" w14:paraId="00000003">
      <w:pPr>
        <w:pStyle w:val="Heading2"/>
        <w:spacing w:after="0" w:before="0" w:line="480" w:lineRule="auto"/>
        <w:rPr>
          <w:rFonts w:ascii="Times New Roman" w:cs="Times New Roman" w:eastAsia="Times New Roman" w:hAnsi="Times New Roman"/>
          <w:b w:val="1"/>
          <w:bCs w:val="1"/>
          <w:sz w:val="24"/>
          <w:szCs w:val="24"/>
        </w:rPr>
      </w:pPr>
      <w:bookmarkStart w:colFirst="0" w:colLast="0" w:name="_4v87vbc6mi15" w:id="1"/>
      <w:bookmarkEnd w:id="1"/>
      <w:r w:rsidDel="00000000" w:rsidR="00000000" w:rsidRPr="00000000">
        <w:rPr>
          <w:rFonts w:ascii="Times New Roman" w:cs="Times New Roman" w:eastAsia="Times New Roman" w:hAnsi="Times New Roman"/>
          <w:b w:val="1"/>
          <w:bCs w:val="1"/>
          <w:sz w:val="24"/>
          <w:szCs w:val="24"/>
          <w:rtl w:val="0"/>
        </w:rPr>
        <w:t xml:space="preserve">15.1. Alcance del estado del arte y propósito de la fundamentación teórica</w:t>
      </w:r>
    </w:p>
    <w:p w:rsidR="00000000" w:rsidDel="00000000" w:rsidP="00000000" w:rsidRDefault="00000000" w:rsidRPr="00000000" w14:paraId="0000000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análisis se organiza en torno a los dominios que condicionan la viabilidad del sistema: la detección open-vocabulary como alternativa frente a los enfoques de vocabulario cerrado, los modelos visión-lenguaje y sus principales familias arquitectónicas, el seguimiento multiobjeto como mecanismo de persistencia temporal, y las tecnologías de transmisión y procesamiento de vídeo necesarias para operar con baja latencia. De manera complementaria, se consideran las brechas que aparecen al aplicar estas tecnologías al dominio de la construcción civil, especialmente en relación con la detección de condiciones de riesgo, la estabilidad temporal de las predicciones, la sensibilidad a los prompts, la disponibilidad de datos y la evaluación de alertas en tiempo real.</w:t>
      </w:r>
    </w:p>
    <w:p w:rsidR="00000000" w:rsidDel="00000000" w:rsidP="00000000" w:rsidRDefault="00000000" w:rsidRPr="00000000" w14:paraId="0000000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revisión no tiene por finalidad elegir de forma aislada un modelo, protocolo o herramienta, sino establecer un marco crítico para distinguir qué capacidades se encuentran suficientemente maduras, qué aspectos requieren validación experimental y qué limitaciones deben ser consideradas durante el diseño e implementación del prototipo. A partir de esta base se derivan criterios para la selección tecnológica, la definición del alcance experimental y la construcción posterior del protocolo de evaluación.</w:t>
      </w:r>
    </w:p>
    <w:p w:rsidR="00000000" w:rsidDel="00000000" w:rsidP="00000000" w:rsidRDefault="00000000" w:rsidRPr="00000000" w14:paraId="00000006">
      <w:pPr>
        <w:pStyle w:val="Heading2"/>
        <w:spacing w:after="0" w:before="0" w:line="480" w:lineRule="auto"/>
        <w:rPr>
          <w:rFonts w:ascii="Times New Roman" w:cs="Times New Roman" w:eastAsia="Times New Roman" w:hAnsi="Times New Roman"/>
          <w:b w:val="1"/>
          <w:bCs w:val="1"/>
          <w:sz w:val="24"/>
          <w:szCs w:val="24"/>
        </w:rPr>
      </w:pPr>
      <w:bookmarkStart w:colFirst="0" w:colLast="0" w:name="_vhuj916canxk" w:id="2"/>
      <w:bookmarkEnd w:id="2"/>
      <w:r w:rsidDel="00000000" w:rsidR="00000000" w:rsidRPr="00000000">
        <w:rPr>
          <w:rFonts w:ascii="Times New Roman" w:cs="Times New Roman" w:eastAsia="Times New Roman" w:hAnsi="Times New Roman"/>
          <w:b w:val="1"/>
          <w:bCs w:val="1"/>
          <w:sz w:val="24"/>
          <w:szCs w:val="24"/>
          <w:rtl w:val="0"/>
        </w:rPr>
        <w:t xml:space="preserve">15.2. Detección open-vocabulary: modelos, paradigmas y brechas del estado del arte</w:t>
      </w:r>
    </w:p>
    <w:p w:rsidR="00000000" w:rsidDel="00000000" w:rsidP="00000000" w:rsidRDefault="00000000" w:rsidRPr="00000000" w14:paraId="00000007">
      <w:pPr>
        <w:pStyle w:val="Heading3"/>
        <w:spacing w:after="0" w:before="0" w:line="480" w:lineRule="auto"/>
        <w:rPr>
          <w:rFonts w:ascii="Times New Roman" w:cs="Times New Roman" w:eastAsia="Times New Roman" w:hAnsi="Times New Roman"/>
          <w:b w:val="1"/>
          <w:bCs w:val="1"/>
          <w:i w:val="1"/>
          <w:iCs w:val="1"/>
          <w:color w:val="000000"/>
          <w:sz w:val="24"/>
          <w:szCs w:val="24"/>
        </w:rPr>
      </w:pPr>
      <w:bookmarkStart w:colFirst="0" w:colLast="0" w:name="_sqtjgov4b832" w:id="3"/>
      <w:bookmarkEnd w:id="3"/>
      <w:r w:rsidDel="00000000" w:rsidR="00000000" w:rsidRPr="00000000">
        <w:rPr>
          <w:rFonts w:ascii="Times New Roman" w:cs="Times New Roman" w:eastAsia="Times New Roman" w:hAnsi="Times New Roman"/>
          <w:b w:val="1"/>
          <w:bCs w:val="1"/>
          <w:i w:val="1"/>
          <w:iCs w:val="1"/>
          <w:color w:val="000000"/>
          <w:sz w:val="24"/>
          <w:szCs w:val="24"/>
          <w:rtl w:val="0"/>
        </w:rPr>
        <w:t xml:space="preserve">15.2.1. Paradigmas Arquitectónicos y Modelos Representativos</w:t>
      </w:r>
    </w:p>
    <w:p w:rsidR="00000000" w:rsidDel="00000000" w:rsidP="00000000" w:rsidRDefault="00000000" w:rsidRPr="00000000" w14:paraId="0000000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estado del arte en OVD no constituye una solución homogénea, sino que se organiza en familias arquitectónicas con compromisos claramente diferenciados entre expresividad semántica, complejidad computacional y eficiencia temporal. A partir de un relevamiento exhaustivo realizado durante la investigación bibliográfica, se identificaron cuatro paradigmas dominantes, de los cuales se presentan a continuación los aspectos y modelos representativos más relevantes para el contexto de sistemas de video en tiempo real.</w:t>
      </w:r>
    </w:p>
    <w:p w:rsidR="00000000" w:rsidDel="00000000" w:rsidP="00000000" w:rsidRDefault="00000000" w:rsidRPr="00000000" w14:paraId="0000000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primer paradigma extiende arquitecturas end-to-end basadas en Transformers —derivadas de DETR y DINO (Carion et al., 2020; H. Zhang et al., 2022)— e incorpora el lenguaje dentro de la predicción mediante fusión multimodal. Grounding DINO (Liu et al., 2024) organiza esa integración en un Feature Enhancer que alinea representaciones visuales y textuales, una selección de consultas guiada por lenguaje y un decoder de modalidad cruzada que refina cajas y las vincula con fragmentos del prompt. La fusión profunda favorece expresiones referenciales y consultas con atributos, aunque incrementa el costo computacional y la complejidad de despliegue.</w:t>
      </w:r>
    </w:p>
    <w:p w:rsidR="00000000" w:rsidDel="00000000" w:rsidP="00000000" w:rsidRDefault="00000000" w:rsidRPr="00000000" w14:paraId="0000000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segundo paradigma adapta detectores one-stage de la familia YOLO para puntuar regiones frente a representaciones textuales. YOLO-World (Cheng et al., 2024) incorpora interacción visión-lenguaje en su neck y permite reutilizar un vocabulario precomputado; YOLOE (A. Wang et al., 2025) amplía la reparametrización para admitir prompts textuales, visuales y un modo sin prompt. Esta familia prioriza eficiencia y compatibilidad con pipelines de baja latencia, a cambio de una expresividad más acotada ante consultas relacionales o altamente composicionales.</w:t>
      </w:r>
    </w:p>
    <w:p w:rsidR="00000000" w:rsidDel="00000000" w:rsidP="00000000" w:rsidRDefault="00000000" w:rsidRPr="00000000" w14:paraId="0000000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 tercera familia deriva la detección del paradigma dual-encoder de CLIP: imagen y texto se proyectan en un espacio compartido y la clase de cada región se obtiene por compatibilidad semántica, no mediante logits fijos. OWL-ViT y OWLv2 (Minderer et al., 2022, 2023) representan este enfoque y muestran cómo el autoentrenamiento puede escalar la supervisión sin alterar el mecanismo de consulta. Su principal ventaja es la modularidad: el vocabulario cambia con los prompts; su costo depende del número de consultas y puede mitigarse mediante el cacheo de embeddings cuando el vocabulario permanece estable.</w:t>
      </w:r>
    </w:p>
    <w:p w:rsidR="00000000" w:rsidDel="00000000" w:rsidP="00000000" w:rsidRDefault="00000000" w:rsidRPr="00000000" w14:paraId="0000000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cuarto paradigma agrupa modelos guiados por prompts generalistas, generativos e híbridos. Florence-2 (Xiao et al., 2024) formula las tareas como traducción secuencia-a-secuencia y genera representaciones textuales de cajas, etiquetas u otras salidas estructuradas; APE, LLMDet y T-Rex2 adoptan prompting generalista sin compartir necesariamente una decodificación autoregresiva (Shen et al., 2023; Fu et al., 2025; Jiang et al., 2024). Esta flexibilidad amplía la variedad de tareas y modalidades de consulta, pero en los modelos generativos introduce latencia variable y menor paralelismo que la predicción directa.</w:t>
      </w:r>
    </w:p>
    <w:p w:rsidR="00000000" w:rsidDel="00000000" w:rsidP="00000000" w:rsidRDefault="00000000" w:rsidRPr="00000000" w14:paraId="0000000D">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se revisan modelos representativos de cada paradigma, enfocando el análisis en: (i) decisiones arquitectónicas, (ii) mecanismo de fusión/compatibilidad visión–lenguaje, (iii) régimen de entrenamiento y tipo de supervisión, y (iv) resultados en benchmarks estándar (COCO, LVIS), junto con consideraciones prácticas de inferencia relevantes para aplicaciones en vídeo.</w:t>
      </w:r>
    </w:p>
    <w:p w:rsidR="00000000" w:rsidDel="00000000" w:rsidP="00000000" w:rsidRDefault="00000000" w:rsidRPr="00000000" w14:paraId="0000000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Convención de lectura</w:t>
      </w:r>
      <w:r w:rsidDel="00000000" w:rsidR="00000000" w:rsidRPr="00000000">
        <w:rPr>
          <w:rFonts w:ascii="Times New Roman" w:cs="Times New Roman" w:eastAsia="Times New Roman" w:hAnsi="Times New Roman"/>
          <w:sz w:val="24"/>
          <w:szCs w:val="24"/>
          <w:rtl w:val="0"/>
        </w:rPr>
        <w:t xml:space="preserve">. Salvo indicación expresa, las cifras de COCO y LVIS corresponden a AP promediado entre umbrales IoU de 0,50 a 0,95; en LVIS se conserva el protocolo Fixed AP cuando así lo informa la fuente. Los resultados de literatura supervisada de EPP se presentan como mAP@0,5 o AP@0,5 en una serie separada y no deben compararse numéricamente con COCO/LVIS AP.</w:t>
      </w:r>
    </w:p>
    <w:p w:rsidR="00000000" w:rsidDel="00000000" w:rsidP="00000000" w:rsidRDefault="00000000" w:rsidRPr="00000000" w14:paraId="00000010">
      <w:pPr>
        <w:pStyle w:val="Heading4"/>
        <w:spacing w:after="0" w:before="0" w:line="480" w:lineRule="auto"/>
        <w:rPr>
          <w:rFonts w:ascii="Times New Roman" w:cs="Times New Roman" w:eastAsia="Times New Roman" w:hAnsi="Times New Roman"/>
          <w:b w:val="1"/>
          <w:bCs w:val="1"/>
          <w:color w:val="000000"/>
        </w:rPr>
      </w:pPr>
      <w:bookmarkStart w:colFirst="0" w:colLast="0" w:name="_2tjcssxfgw7y" w:id="4"/>
      <w:bookmarkEnd w:id="4"/>
      <w:r w:rsidDel="00000000" w:rsidR="00000000" w:rsidRPr="00000000">
        <w:rPr>
          <w:rFonts w:ascii="Times New Roman" w:cs="Times New Roman" w:eastAsia="Times New Roman" w:hAnsi="Times New Roman"/>
          <w:b w:val="1"/>
          <w:bCs w:val="1"/>
          <w:color w:val="000000"/>
          <w:rtl w:val="0"/>
        </w:rPr>
        <w:t xml:space="preserve">15.2.1.1. Bloque A — Detectores End-to-End Tipo DETR/DINO con Fusión Visión–Lenguaje en el Decoder</w:t>
      </w:r>
    </w:p>
    <w:p w:rsidR="00000000" w:rsidDel="00000000" w:rsidP="00000000" w:rsidRDefault="00000000" w:rsidRPr="00000000" w14:paraId="00000011">
      <w:pPr>
        <w:pStyle w:val="Heading5"/>
        <w:spacing w:after="0" w:before="0" w:line="480" w:lineRule="auto"/>
        <w:rPr>
          <w:rFonts w:ascii="Times New Roman" w:cs="Times New Roman" w:eastAsia="Times New Roman" w:hAnsi="Times New Roman"/>
          <w:b w:val="1"/>
          <w:bCs w:val="1"/>
          <w:color w:val="000000"/>
          <w:sz w:val="24"/>
          <w:szCs w:val="24"/>
        </w:rPr>
      </w:pPr>
      <w:bookmarkStart w:colFirst="0" w:colLast="0" w:name="_b02g0agv1e7j" w:id="5"/>
      <w:bookmarkEnd w:id="5"/>
      <w:r w:rsidDel="00000000" w:rsidR="00000000" w:rsidRPr="00000000">
        <w:rPr>
          <w:rFonts w:ascii="Times New Roman" w:cs="Times New Roman" w:eastAsia="Times New Roman" w:hAnsi="Times New Roman"/>
          <w:b w:val="1"/>
          <w:bCs w:val="1"/>
          <w:color w:val="000000"/>
          <w:sz w:val="24"/>
          <w:szCs w:val="24"/>
          <w:rtl w:val="0"/>
        </w:rPr>
        <w:t xml:space="preserve">15.2.1.1.1. Grounding DINO</w:t>
      </w:r>
    </w:p>
    <w:p w:rsidR="00000000" w:rsidDel="00000000" w:rsidP="00000000" w:rsidRDefault="00000000" w:rsidRPr="00000000" w14:paraId="00000012">
      <w:pPr>
        <w:pStyle w:val="Heading5"/>
        <w:spacing w:after="0" w:before="0" w:line="480" w:lineRule="auto"/>
        <w:rPr>
          <w:rFonts w:ascii="Times New Roman" w:cs="Times New Roman" w:eastAsia="Times New Roman" w:hAnsi="Times New Roman"/>
          <w:b w:val="1"/>
          <w:bCs w:val="1"/>
          <w:color w:val="000000"/>
          <w:sz w:val="24"/>
          <w:szCs w:val="24"/>
        </w:rPr>
      </w:pPr>
      <w:bookmarkStart w:colFirst="0" w:colLast="0" w:name="_onvlyzo4okmk" w:id="6"/>
      <w:bookmarkEnd w:id="6"/>
      <w:r w:rsidDel="00000000" w:rsidR="00000000" w:rsidRPr="00000000">
        <w:rPr>
          <w:rtl w:val="0"/>
        </w:rPr>
      </w:r>
    </w:p>
    <w:p w:rsidR="00000000" w:rsidDel="00000000" w:rsidP="00000000" w:rsidRDefault="00000000" w:rsidRPr="00000000" w14:paraId="0000001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Arquitectura base.</w:t>
      </w:r>
      <w:r w:rsidDel="00000000" w:rsidR="00000000" w:rsidRPr="00000000">
        <w:rPr>
          <w:rFonts w:ascii="Times New Roman" w:cs="Times New Roman" w:eastAsia="Times New Roman" w:hAnsi="Times New Roman"/>
          <w:sz w:val="24"/>
          <w:szCs w:val="24"/>
          <w:rtl w:val="0"/>
        </w:rPr>
        <w:t xml:space="preserve"> Grounding DINO extiende la formulación de detección como phrase grounding introducida por GLIP (Li et al., 2021) y la integra en la línea DETR/DINO. El modelo emplea una arquitectura dual-encoder/single-decoder: un backbone visual —frecuentemente Swin Transformer— extrae características multiescala y un backbone textual BERT codifica el prompt; un Transformer produce predicciones condicionadas por ambas modalidades (Liu et al., 2024).</w:t>
      </w:r>
    </w:p>
    <w:p w:rsidR="00000000" w:rsidDel="00000000" w:rsidP="00000000" w:rsidRDefault="00000000" w:rsidRPr="00000000" w14:paraId="00000014">
      <w:pPr>
        <w:spacing w:line="480" w:lineRule="auto"/>
        <w:ind w:firstLine="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Mecanismo visión–lenguaje</w:t>
      </w:r>
      <w:r w:rsidDel="00000000" w:rsidR="00000000" w:rsidRPr="00000000">
        <w:rPr>
          <w:rFonts w:ascii="Times New Roman" w:cs="Times New Roman" w:eastAsia="Times New Roman" w:hAnsi="Times New Roman"/>
          <w:sz w:val="24"/>
          <w:szCs w:val="24"/>
          <w:rtl w:val="0"/>
        </w:rPr>
        <w:t xml:space="preserve">. La contribución central es una fusión multimodal profunda basada en atención cruzada en distintas etapas. Grounding DINO divide la fusión en tres componentes: Feature Enhancer (interacciones imagen–texto para alinear semántica y regiones), Language-guided Query Selection (inicializa consultas del decoder condicionadas por texto), y Cross-modality Decoder (agrega atención cruzada con texto para refinar cajas y asociar predicciones a fragmentos del prompt). Esto hace que el modelo sea especialmente efectivo con expresiones referenciales o frases con atributos (Liu et al., 2024).</w:t>
      </w:r>
    </w:p>
    <w:p w:rsidR="00000000" w:rsidDel="00000000" w:rsidP="00000000" w:rsidRDefault="00000000" w:rsidRPr="00000000" w14:paraId="0000001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Resultados reportados</w:t>
      </w:r>
      <w:r w:rsidDel="00000000" w:rsidR="00000000" w:rsidRPr="00000000">
        <w:rPr>
          <w:rFonts w:ascii="Times New Roman" w:cs="Times New Roman" w:eastAsia="Times New Roman" w:hAnsi="Times New Roman"/>
          <w:sz w:val="24"/>
          <w:szCs w:val="24"/>
          <w:rtl w:val="0"/>
        </w:rPr>
        <w:t xml:space="preserve">. En configuración zero-shot, Grounding DINO con backbone Swin-L reporta 52,5 AP en COCO y 26,1 mean AP en ODinW; la variante Swin-T reporta aproximadamente 48,4 AP en COCO bajo el mismo protocolo (Liu et al., 2024).</w:t>
      </w:r>
    </w:p>
    <w:p w:rsidR="00000000" w:rsidDel="00000000" w:rsidP="00000000" w:rsidRDefault="00000000" w:rsidRPr="00000000" w14:paraId="0000001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variante GroundingDINO-B con backbone Swin-B dispone de pesos públicos, pero su checkpoint declara COCO entre los datos de entrenamiento, junto con O365, GoldG, Cap4M, OpenImages, ODinW-35 y RefCOCO. Por ello, el 56,7 AP publicado en COCO no constituye una cifra zero-shot directamente comparable con la variante Swin-T entrenada sin COCO (IDEA-Research, 2024c).</w:t>
      </w:r>
    </w:p>
    <w:p w:rsidR="00000000" w:rsidDel="00000000" w:rsidP="00000000" w:rsidRDefault="00000000" w:rsidRPr="00000000" w14:paraId="00000018">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Evolución Grounding DINO 1.5</w:t>
      </w:r>
      <w:r w:rsidDel="00000000" w:rsidR="00000000" w:rsidRPr="00000000">
        <w:rPr>
          <w:rFonts w:ascii="Times New Roman" w:cs="Times New Roman" w:eastAsia="Times New Roman" w:hAnsi="Times New Roman"/>
          <w:sz w:val="24"/>
          <w:szCs w:val="24"/>
          <w:rtl w:val="0"/>
        </w:rPr>
        <w:t xml:space="preserve">. La versión 1.5 Pro, orientada a máxima generalización, entrena con Grounding-20M (más de 20 millones de imágenes) y logra 54,3 AP en COCO y 55,7 AP en LVIS-minival en zero-shot transfer. La versión 1.5 Edge, orientada a despliegue eficiente, reporta 75,2 FPS y 36,2 AP en LVIS-minival con TensorRT, y despliegue en NVIDIA Orin NX con más de 10 FPS (Ren, Jiang, et al., 2024).</w:t>
      </w:r>
    </w:p>
    <w:p w:rsidR="00000000" w:rsidDel="00000000" w:rsidP="00000000" w:rsidRDefault="00000000" w:rsidRPr="00000000" w14:paraId="0000001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Licencia y disponibilidad</w:t>
      </w:r>
      <w:r w:rsidDel="00000000" w:rsidR="00000000" w:rsidRPr="00000000">
        <w:rPr>
          <w:rFonts w:ascii="Times New Roman" w:cs="Times New Roman" w:eastAsia="Times New Roman" w:hAnsi="Times New Roman"/>
          <w:sz w:val="24"/>
          <w:szCs w:val="24"/>
          <w:rtl w:val="0"/>
        </w:rPr>
        <w:t xml:space="preserve">. El repositorio del Grounding DINO original se distribuye bajo licencia Apache-2.0. Las variantes Grounding DINO 1.5 Pro y Grounding DINO 1.5 Edge se ofrecen mediante API y no publican pesos abiertos; la licencia Apache-2.0 corresponde al SDK de acceso y no al modelo (IDEA-Research, 2024c; Ren, Jiang, et al., 2024).</w:t>
      </w:r>
    </w:p>
    <w:p w:rsidR="00000000" w:rsidDel="00000000" w:rsidP="00000000" w:rsidRDefault="00000000" w:rsidRPr="00000000" w14:paraId="0000001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Implementación MM-Grounding-DINO</w:t>
      </w:r>
      <w:r w:rsidDel="00000000" w:rsidR="00000000" w:rsidRPr="00000000">
        <w:rPr>
          <w:rFonts w:ascii="Times New Roman" w:cs="Times New Roman" w:eastAsia="Times New Roman" w:hAnsi="Times New Roman"/>
          <w:sz w:val="24"/>
          <w:szCs w:val="24"/>
          <w:rtl w:val="0"/>
        </w:rPr>
        <w:t xml:space="preserve">. MM-Grounding-DINO proporciona una tubería unificada de grounding y detección sobre la familia Grounding DINO. Sus variantes Tiny reportan entre 50,4 y 50,6 AP@[0,50:0,95] en COCO zero-shot y entre 35,7 y 41,4 AP@[0,50:0,95] en LVIS-minival, según la configuración y el backbone evaluados (X. Zhao et al., 2024).</w:t>
      </w:r>
    </w:p>
    <w:p w:rsidR="00000000" w:rsidDel="00000000" w:rsidP="00000000" w:rsidRDefault="00000000" w:rsidRPr="00000000" w14:paraId="0000001C">
      <w:pPr>
        <w:pStyle w:val="Heading5"/>
        <w:spacing w:after="0" w:before="0" w:line="480" w:lineRule="auto"/>
        <w:rPr>
          <w:rFonts w:ascii="Times New Roman" w:cs="Times New Roman" w:eastAsia="Times New Roman" w:hAnsi="Times New Roman"/>
          <w:b w:val="1"/>
          <w:bCs w:val="1"/>
          <w:color w:val="000000"/>
          <w:sz w:val="24"/>
          <w:szCs w:val="24"/>
        </w:rPr>
      </w:pPr>
      <w:bookmarkStart w:colFirst="0" w:colLast="0" w:name="_qsni7xxvkznh" w:id="7"/>
      <w:bookmarkEnd w:id="7"/>
      <w:r w:rsidDel="00000000" w:rsidR="00000000" w:rsidRPr="00000000">
        <w:rPr>
          <w:rFonts w:ascii="Times New Roman" w:cs="Times New Roman" w:eastAsia="Times New Roman" w:hAnsi="Times New Roman"/>
          <w:b w:val="1"/>
          <w:bCs w:val="1"/>
          <w:color w:val="000000"/>
          <w:sz w:val="24"/>
          <w:szCs w:val="24"/>
          <w:rtl w:val="0"/>
        </w:rPr>
        <w:t xml:space="preserve">15.2.1.1.2. DINO-X</w:t>
      </w:r>
    </w:p>
    <w:p w:rsidR="00000000" w:rsidDel="00000000" w:rsidP="00000000" w:rsidRDefault="00000000" w:rsidRPr="00000000" w14:paraId="0000001D">
      <w:pPr>
        <w:pStyle w:val="Heading5"/>
        <w:spacing w:after="0" w:before="0" w:line="480" w:lineRule="auto"/>
        <w:rPr>
          <w:rFonts w:ascii="Times New Roman" w:cs="Times New Roman" w:eastAsia="Times New Roman" w:hAnsi="Times New Roman"/>
          <w:b w:val="1"/>
          <w:bCs w:val="1"/>
          <w:color w:val="000000"/>
          <w:sz w:val="24"/>
          <w:szCs w:val="24"/>
        </w:rPr>
      </w:pPr>
      <w:bookmarkStart w:colFirst="0" w:colLast="0" w:name="_sfmimcltwwv9" w:id="8"/>
      <w:bookmarkEnd w:id="8"/>
      <w:r w:rsidDel="00000000" w:rsidR="00000000" w:rsidRPr="00000000">
        <w:rPr>
          <w:rtl w:val="0"/>
        </w:rPr>
      </w:r>
    </w:p>
    <w:p w:rsidR="00000000" w:rsidDel="00000000" w:rsidP="00000000" w:rsidRDefault="00000000" w:rsidRPr="00000000" w14:paraId="0000001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Arquitectura base</w:t>
      </w:r>
      <w:r w:rsidDel="00000000" w:rsidR="00000000" w:rsidRPr="00000000">
        <w:rPr>
          <w:rFonts w:ascii="Times New Roman" w:cs="Times New Roman" w:eastAsia="Times New Roman" w:hAnsi="Times New Roman"/>
          <w:sz w:val="24"/>
          <w:szCs w:val="24"/>
          <w:rtl w:val="0"/>
        </w:rPr>
        <w:t xml:space="preserve">. DINO-X es un modelo unificado y object-centric para detección open-world/open-vocabulary, desarrollado como evolución directa de Grounding DINO 1.5, manteniendo un esquema Transformer encoder–decoder orientado a representaciones a nivel objeto. A diferencia de detectores OV que dependen estrictamente de listas de clases, DINO-X soporta múltiples tipos de prompt: texto, prompts visuales y prompts personalizados (Ren, Chen, et al., 2024).</w:t>
      </w:r>
    </w:p>
    <w:p w:rsidR="00000000" w:rsidDel="00000000" w:rsidP="00000000" w:rsidRDefault="00000000" w:rsidRPr="00000000" w14:paraId="0000001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Mecanismo visión–lenguaje</w:t>
      </w:r>
      <w:r w:rsidDel="00000000" w:rsidR="00000000" w:rsidRPr="00000000">
        <w:rPr>
          <w:rFonts w:ascii="Times New Roman" w:cs="Times New Roman" w:eastAsia="Times New Roman" w:hAnsi="Times New Roman"/>
          <w:sz w:val="24"/>
          <w:szCs w:val="24"/>
          <w:rtl w:val="0"/>
        </w:rPr>
        <w:t xml:space="preserve">. La idea distintiva de DINO-X es combinar flexibilidad de entrada con un mecanismo prompt-free mediante un Universal Object Prompt que permite "detectar cualquier cosa" sin definir clases específicas (Ren, Chen, et al., 2024).</w:t>
      </w:r>
    </w:p>
    <w:p w:rsidR="00000000" w:rsidDel="00000000" w:rsidP="00000000" w:rsidRDefault="00000000" w:rsidRPr="00000000" w14:paraId="0000002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Entrenamiento</w:t>
      </w:r>
      <w:r w:rsidDel="00000000" w:rsidR="00000000" w:rsidRPr="00000000">
        <w:rPr>
          <w:rFonts w:ascii="Times New Roman" w:cs="Times New Roman" w:eastAsia="Times New Roman" w:hAnsi="Times New Roman"/>
          <w:sz w:val="24"/>
          <w:szCs w:val="24"/>
          <w:rtl w:val="0"/>
        </w:rPr>
        <w:t xml:space="preserve">. El trabajo construye y utiliza Grounding-100M, un conjunto con más de 100 millones de muestras de grounding de alta calidad para preentrenamiento (Ren, Chen, et al., 2024).</w:t>
      </w:r>
    </w:p>
    <w:p w:rsidR="00000000" w:rsidDel="00000000" w:rsidP="00000000" w:rsidRDefault="00000000" w:rsidRPr="00000000" w14:paraId="0000002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Resultados reportados</w:t>
      </w:r>
      <w:r w:rsidDel="00000000" w:rsidR="00000000" w:rsidRPr="00000000">
        <w:rPr>
          <w:rFonts w:ascii="Times New Roman" w:cs="Times New Roman" w:eastAsia="Times New Roman" w:hAnsi="Times New Roman"/>
          <w:sz w:val="24"/>
          <w:szCs w:val="24"/>
          <w:rtl w:val="0"/>
        </w:rPr>
        <w:t xml:space="preserve">. DINO-X Pro alcanza 56,0 AP en COCO, 59,8 AP en LVIS-minival y 63,3 AP en clases raras de LVIS-minival, estableciendo un nuevo estado del arte en detección abierta (Ren, Chen, et al., 2024).</w:t>
      </w:r>
    </w:p>
    <w:p w:rsidR="00000000" w:rsidDel="00000000" w:rsidP="00000000" w:rsidRDefault="00000000" w:rsidRPr="00000000" w14:paraId="0000002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Licencia</w:t>
      </w:r>
      <w:r w:rsidDel="00000000" w:rsidR="00000000" w:rsidRPr="00000000">
        <w:rPr>
          <w:rFonts w:ascii="Times New Roman" w:cs="Times New Roman" w:eastAsia="Times New Roman" w:hAnsi="Times New Roman"/>
          <w:sz w:val="24"/>
          <w:szCs w:val="24"/>
          <w:rtl w:val="0"/>
        </w:rPr>
        <w:t xml:space="preserve">. DINO-X se ofrece mediante API y no publica pesos abiertos; la licencia Apache-2.0 corresponde al SDK o cliente de acceso y no a los pesos del modelo (IDEA-Research, 2024a; Ren, Chen, et al., 2024).</w:t>
      </w:r>
    </w:p>
    <w:p w:rsidR="00000000" w:rsidDel="00000000" w:rsidP="00000000" w:rsidRDefault="00000000" w:rsidRPr="00000000" w14:paraId="00000023">
      <w:pPr>
        <w:pStyle w:val="Heading4"/>
        <w:spacing w:after="0" w:before="0" w:line="480" w:lineRule="auto"/>
        <w:rPr>
          <w:rFonts w:ascii="Times New Roman" w:cs="Times New Roman" w:eastAsia="Times New Roman" w:hAnsi="Times New Roman"/>
          <w:b w:val="1"/>
          <w:bCs w:val="1"/>
          <w:color w:val="000000"/>
        </w:rPr>
      </w:pPr>
      <w:bookmarkStart w:colFirst="0" w:colLast="0" w:name="_p4frkzx70tae" w:id="9"/>
      <w:bookmarkEnd w:id="9"/>
      <w:r w:rsidDel="00000000" w:rsidR="00000000" w:rsidRPr="00000000">
        <w:rPr>
          <w:rFonts w:ascii="Times New Roman" w:cs="Times New Roman" w:eastAsia="Times New Roman" w:hAnsi="Times New Roman"/>
          <w:b w:val="1"/>
          <w:bCs w:val="1"/>
          <w:color w:val="000000"/>
          <w:rtl w:val="0"/>
        </w:rPr>
        <w:t xml:space="preserve">15.2.1.2. Bloque B: Detectores one-stage tipo YOLO con puntuación región–texto</w:t>
      </w:r>
    </w:p>
    <w:p w:rsidR="00000000" w:rsidDel="00000000" w:rsidP="00000000" w:rsidRDefault="00000000" w:rsidRPr="00000000" w14:paraId="00000024">
      <w:pPr>
        <w:pStyle w:val="Heading5"/>
        <w:spacing w:after="0" w:before="0" w:line="480" w:lineRule="auto"/>
        <w:rPr>
          <w:rFonts w:ascii="Times New Roman" w:cs="Times New Roman" w:eastAsia="Times New Roman" w:hAnsi="Times New Roman"/>
          <w:b w:val="1"/>
          <w:bCs w:val="1"/>
          <w:color w:val="000000"/>
          <w:sz w:val="24"/>
          <w:szCs w:val="24"/>
        </w:rPr>
      </w:pPr>
      <w:bookmarkStart w:colFirst="0" w:colLast="0" w:name="_7d1jsna8kifo" w:id="10"/>
      <w:bookmarkEnd w:id="10"/>
      <w:r w:rsidDel="00000000" w:rsidR="00000000" w:rsidRPr="00000000">
        <w:rPr>
          <w:rFonts w:ascii="Times New Roman" w:cs="Times New Roman" w:eastAsia="Times New Roman" w:hAnsi="Times New Roman"/>
          <w:b w:val="1"/>
          <w:bCs w:val="1"/>
          <w:color w:val="000000"/>
          <w:sz w:val="24"/>
          <w:szCs w:val="24"/>
          <w:rtl w:val="0"/>
        </w:rPr>
        <w:t xml:space="preserve">15.2.1.2.1. YOLO-World</w:t>
      </w:r>
    </w:p>
    <w:p w:rsidR="00000000" w:rsidDel="00000000" w:rsidP="00000000" w:rsidRDefault="00000000" w:rsidRPr="00000000" w14:paraId="0000002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Arquitectura base</w:t>
      </w:r>
      <w:r w:rsidDel="00000000" w:rsidR="00000000" w:rsidRPr="00000000">
        <w:rPr>
          <w:rFonts w:ascii="Times New Roman" w:cs="Times New Roman" w:eastAsia="Times New Roman" w:hAnsi="Times New Roman"/>
          <w:sz w:val="24"/>
          <w:szCs w:val="24"/>
          <w:rtl w:val="0"/>
        </w:rPr>
        <w:t xml:space="preserve">. YOLO-World adapta un detector one-stage de la familia YOLO al escenario open-vocabulary manteniendo predicción densa y diseño orientado a despliegue. Su contribución arquitectónica central es RepVL-PAN (Re-parameterizable Vision-Language Path Aggregation Network), un neck multiescala que incorpora interacción visión–lenguaje sin abandonar la estructura backbone–PAN–head propia de YOLO (Cheng et al., 2024).</w:t>
      </w:r>
    </w:p>
    <w:p w:rsidR="00000000" w:rsidDel="00000000" w:rsidP="00000000" w:rsidRDefault="00000000" w:rsidRPr="00000000" w14:paraId="0000002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Mecanismo visión–lenguaje</w:t>
      </w:r>
      <w:r w:rsidDel="00000000" w:rsidR="00000000" w:rsidRPr="00000000">
        <w:rPr>
          <w:rFonts w:ascii="Times New Roman" w:cs="Times New Roman" w:eastAsia="Times New Roman" w:hAnsi="Times New Roman"/>
          <w:sz w:val="24"/>
          <w:szCs w:val="24"/>
          <w:rtl w:val="0"/>
        </w:rPr>
        <w:t xml:space="preserve">. El modelo puntúa regiones mediante similitud en un espacio compartido región–texto. RepVL-PAN implementa esta interacción con Text-guided CSPLayer para inyectar guía textual en las features visuales e Image Pooling Attention para enriquecer embeddings textuales con contexto visual. En despliegue, YOLO-World opera con vocabulario offline y habilita una reparametrización que permite prescindir del encoder textual durante inferencia (Cheng et al., 2024).</w:t>
      </w:r>
    </w:p>
    <w:p w:rsidR="00000000" w:rsidDel="00000000" w:rsidP="00000000" w:rsidRDefault="00000000" w:rsidRPr="00000000" w14:paraId="0000002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Resultados reportados</w:t>
      </w:r>
      <w:r w:rsidDel="00000000" w:rsidR="00000000" w:rsidRPr="00000000">
        <w:rPr>
          <w:rFonts w:ascii="Times New Roman" w:cs="Times New Roman" w:eastAsia="Times New Roman" w:hAnsi="Times New Roman"/>
          <w:sz w:val="24"/>
          <w:szCs w:val="24"/>
          <w:rtl w:val="0"/>
        </w:rPr>
        <w:t xml:space="preserve">. YOLO-World-L reporta 35,4 AP en LVIS-minival con 52,0 FPS en NVIDIA V100 (sin TensorRT), mostrando un punto de operación competitivo para aplicaciones con restricción de latencia (Cheng et al., 2024).</w:t>
      </w:r>
    </w:p>
    <w:p w:rsidR="00000000" w:rsidDel="00000000" w:rsidP="00000000" w:rsidRDefault="00000000" w:rsidRPr="00000000" w14:paraId="0000002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Licencia</w:t>
      </w:r>
      <w:r w:rsidDel="00000000" w:rsidR="00000000" w:rsidRPr="00000000">
        <w:rPr>
          <w:rFonts w:ascii="Times New Roman" w:cs="Times New Roman" w:eastAsia="Times New Roman" w:hAnsi="Times New Roman"/>
          <w:sz w:val="24"/>
          <w:szCs w:val="24"/>
          <w:rtl w:val="0"/>
        </w:rPr>
        <w:t xml:space="preserve">. El repositorio declara licencia GPL-3.0, con posibilidad de gestionar licencia alternativa para uso comercial (AILab-CVC, 2024).</w:t>
      </w:r>
    </w:p>
    <w:p w:rsidR="00000000" w:rsidDel="00000000" w:rsidP="00000000" w:rsidRDefault="00000000" w:rsidRPr="00000000" w14:paraId="00000029">
      <w:pPr>
        <w:pStyle w:val="Heading5"/>
        <w:spacing w:after="0" w:before="0" w:line="480" w:lineRule="auto"/>
        <w:rPr>
          <w:rFonts w:ascii="Times New Roman" w:cs="Times New Roman" w:eastAsia="Times New Roman" w:hAnsi="Times New Roman"/>
          <w:b w:val="1"/>
          <w:bCs w:val="1"/>
          <w:color w:val="000000"/>
          <w:sz w:val="24"/>
          <w:szCs w:val="24"/>
        </w:rPr>
      </w:pPr>
      <w:bookmarkStart w:colFirst="0" w:colLast="0" w:name="_ht6qb1a1stje" w:id="11"/>
      <w:bookmarkEnd w:id="11"/>
      <w:r w:rsidDel="00000000" w:rsidR="00000000" w:rsidRPr="00000000">
        <w:rPr>
          <w:rFonts w:ascii="Times New Roman" w:cs="Times New Roman" w:eastAsia="Times New Roman" w:hAnsi="Times New Roman"/>
          <w:b w:val="1"/>
          <w:bCs w:val="1"/>
          <w:color w:val="000000"/>
          <w:sz w:val="24"/>
          <w:szCs w:val="24"/>
          <w:rtl w:val="0"/>
        </w:rPr>
        <w:t xml:space="preserve">15.2.1.2.2. YOLOE</w:t>
      </w:r>
    </w:p>
    <w:p w:rsidR="00000000" w:rsidDel="00000000" w:rsidP="00000000" w:rsidRDefault="00000000" w:rsidRPr="00000000" w14:paraId="0000002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Arquitectura base</w:t>
      </w:r>
      <w:r w:rsidDel="00000000" w:rsidR="00000000" w:rsidRPr="00000000">
        <w:rPr>
          <w:rFonts w:ascii="Times New Roman" w:cs="Times New Roman" w:eastAsia="Times New Roman" w:hAnsi="Times New Roman"/>
          <w:sz w:val="24"/>
          <w:szCs w:val="24"/>
          <w:rtl w:val="0"/>
        </w:rPr>
        <w:t xml:space="preserve">. YOLOE, presentado como "Real-Time Seeing Anything", propone un modelo one-stage que unifica detección y segmentación manteniendo el esquema backbone–PAN–heads típico de YOLO. Sus módulos de alineamiento se diseñan para que, tras reparametrización, el grafo de inferencia quede equivalente al de un YOLO cerrado (Wang et al., 2025).</w:t>
      </w:r>
    </w:p>
    <w:p w:rsidR="00000000" w:rsidDel="00000000" w:rsidP="00000000" w:rsidRDefault="00000000" w:rsidRPr="00000000" w14:paraId="0000002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Mecanismo visión–lenguaje</w:t>
      </w:r>
      <w:r w:rsidDel="00000000" w:rsidR="00000000" w:rsidRPr="00000000">
        <w:rPr>
          <w:rFonts w:ascii="Times New Roman" w:cs="Times New Roman" w:eastAsia="Times New Roman" w:hAnsi="Times New Roman"/>
          <w:sz w:val="24"/>
          <w:szCs w:val="24"/>
          <w:rtl w:val="0"/>
        </w:rPr>
        <w:t xml:space="preserve">. YOLOE integra tres modalidades: prompts de texto mediante RepRTA (Re-parameterizable Region-Text Alignment), prompts visuales mediante SAVPE (Semantic-Activated Visual Prompt Encoder), y modo prompt-free mediante LRPC (Lazy Region-Prompt Contrast) que reformula la asignación como retrieval evitando dependencia de modelos de lenguaje en inferencia (Wang et al., 2025).</w:t>
      </w:r>
    </w:p>
    <w:p w:rsidR="00000000" w:rsidDel="00000000" w:rsidP="00000000" w:rsidRDefault="00000000" w:rsidRPr="00000000" w14:paraId="0000002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Resultados reportados</w:t>
      </w:r>
      <w:r w:rsidDel="00000000" w:rsidR="00000000" w:rsidRPr="00000000">
        <w:rPr>
          <w:rFonts w:ascii="Times New Roman" w:cs="Times New Roman" w:eastAsia="Times New Roman" w:hAnsi="Times New Roman"/>
          <w:sz w:val="24"/>
          <w:szCs w:val="24"/>
          <w:rtl w:val="0"/>
        </w:rPr>
        <w:t xml:space="preserve">. En LVIS-minival zero-shot, YOLOE-v8-S reporta 27,9 AP con 305,8 FPS (NVIDIA T4, TensorRT) y YOLOE-v8-L alcanza 35,9 AP con 102,5 FPS, superando a YOLO-Worldv2-S por +3,5 AP con mayor velocidad (Wang et al., 2025).</w:t>
      </w:r>
    </w:p>
    <w:p w:rsidR="00000000" w:rsidDel="00000000" w:rsidP="00000000" w:rsidRDefault="00000000" w:rsidRPr="00000000" w14:paraId="0000002D">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cifras anteriores corresponden a las variantes YOLOE-v8 evaluadas en el trabajo original. La familia fue extendida posteriormente en implementaciones de Ultralytics sobre YOLO11 y YOLO26; por lo tanto, los resultados publicados para YOLOE-v8 no deben utilizarse como si fueran una medición de las variantes YOLOE-26 (Ultralytics, 2026).</w:t>
      </w:r>
    </w:p>
    <w:p w:rsidR="00000000" w:rsidDel="00000000" w:rsidP="00000000" w:rsidRDefault="00000000" w:rsidRPr="00000000" w14:paraId="0000002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Licencia</w:t>
      </w:r>
      <w:r w:rsidDel="00000000" w:rsidR="00000000" w:rsidRPr="00000000">
        <w:rPr>
          <w:rFonts w:ascii="Times New Roman" w:cs="Times New Roman" w:eastAsia="Times New Roman" w:hAnsi="Times New Roman"/>
          <w:sz w:val="24"/>
          <w:szCs w:val="24"/>
          <w:rtl w:val="0"/>
        </w:rPr>
        <w:t xml:space="preserve">. El repositorio declara licencia AGPL-3.0, lo que introduce requisitos copyleft que pueden condicionar adopción en integraciones propietarias (THU-MIG, 2025).</w:t>
      </w:r>
    </w:p>
    <w:p w:rsidR="00000000" w:rsidDel="00000000" w:rsidP="00000000" w:rsidRDefault="00000000" w:rsidRPr="00000000" w14:paraId="0000002F">
      <w:pPr>
        <w:pStyle w:val="Heading4"/>
        <w:spacing w:after="0" w:before="0" w:line="480" w:lineRule="auto"/>
        <w:rPr>
          <w:rFonts w:ascii="Times New Roman" w:cs="Times New Roman" w:eastAsia="Times New Roman" w:hAnsi="Times New Roman"/>
          <w:b w:val="1"/>
          <w:bCs w:val="1"/>
          <w:color w:val="000000"/>
        </w:rPr>
      </w:pPr>
      <w:bookmarkStart w:colFirst="0" w:colLast="0" w:name="_l2tx8mhi3m82" w:id="12"/>
      <w:bookmarkEnd w:id="12"/>
      <w:r w:rsidDel="00000000" w:rsidR="00000000" w:rsidRPr="00000000">
        <w:rPr>
          <w:rFonts w:ascii="Times New Roman" w:cs="Times New Roman" w:eastAsia="Times New Roman" w:hAnsi="Times New Roman"/>
          <w:b w:val="1"/>
          <w:bCs w:val="1"/>
          <w:color w:val="000000"/>
          <w:rtl w:val="0"/>
        </w:rPr>
        <w:t xml:space="preserve">15.2.1.3. Bloque C: Detectores Basados en Dual-Encoders (CLIP-like) y Matching por Similitud</w:t>
      </w:r>
    </w:p>
    <w:p w:rsidR="00000000" w:rsidDel="00000000" w:rsidP="00000000" w:rsidRDefault="00000000" w:rsidRPr="00000000" w14:paraId="00000030">
      <w:pPr>
        <w:pStyle w:val="Heading5"/>
        <w:spacing w:after="0" w:before="0" w:line="480" w:lineRule="auto"/>
        <w:rPr>
          <w:rFonts w:ascii="Times New Roman" w:cs="Times New Roman" w:eastAsia="Times New Roman" w:hAnsi="Times New Roman"/>
          <w:b w:val="1"/>
          <w:bCs w:val="1"/>
          <w:color w:val="000000"/>
          <w:sz w:val="24"/>
          <w:szCs w:val="24"/>
        </w:rPr>
      </w:pPr>
      <w:bookmarkStart w:colFirst="0" w:colLast="0" w:name="_h7ia8tkn82j6" w:id="13"/>
      <w:bookmarkEnd w:id="13"/>
      <w:r w:rsidDel="00000000" w:rsidR="00000000" w:rsidRPr="00000000">
        <w:rPr>
          <w:rFonts w:ascii="Times New Roman" w:cs="Times New Roman" w:eastAsia="Times New Roman" w:hAnsi="Times New Roman"/>
          <w:b w:val="1"/>
          <w:bCs w:val="1"/>
          <w:color w:val="000000"/>
          <w:sz w:val="24"/>
          <w:szCs w:val="24"/>
          <w:rtl w:val="0"/>
        </w:rPr>
        <w:t xml:space="preserve">15.2.1.3.1. OWL-ViT y OWLv2</w:t>
      </w:r>
    </w:p>
    <w:p w:rsidR="00000000" w:rsidDel="00000000" w:rsidP="00000000" w:rsidRDefault="00000000" w:rsidRPr="00000000" w14:paraId="0000003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Arquitectura base</w:t>
      </w:r>
      <w:r w:rsidDel="00000000" w:rsidR="00000000" w:rsidRPr="00000000">
        <w:rPr>
          <w:rFonts w:ascii="Times New Roman" w:cs="Times New Roman" w:eastAsia="Times New Roman" w:hAnsi="Times New Roman"/>
          <w:sz w:val="24"/>
          <w:szCs w:val="24"/>
          <w:rtl w:val="0"/>
        </w:rPr>
        <w:t xml:space="preserve">. OWL-ViT propone una receta directa para llevar modelos visión–lenguaje a detección open-vocabulary usando un Vision Transformer (ViT) encoder-only con modificaciones mínimas. Se mantienen los tokens espaciales y se agregan cabezales livianos que predicen, por token, una caja y un embedding de compatibilidad. La clasificación abierta se logra reemplazando un clasificador cerrado por embeddings derivados del texto (Minderer et al., 2022).</w:t>
      </w:r>
    </w:p>
    <w:p w:rsidR="00000000" w:rsidDel="00000000" w:rsidP="00000000" w:rsidRDefault="00000000" w:rsidRPr="00000000" w14:paraId="0000003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Entrenamiento</w:t>
      </w:r>
      <w:r w:rsidDel="00000000" w:rsidR="00000000" w:rsidRPr="00000000">
        <w:rPr>
          <w:rFonts w:ascii="Times New Roman" w:cs="Times New Roman" w:eastAsia="Times New Roman" w:hAnsi="Times New Roman"/>
          <w:sz w:val="24"/>
          <w:szCs w:val="24"/>
          <w:rtl w:val="0"/>
        </w:rPr>
        <w:t xml:space="preserve">. OWLv2 escala mediante self-training (OWL-ST): usa un modelo OWL-ViT como annotator para generar pseudo-cajas sobre datos web a gran escala (WebLI). OWLv2 introduce mejoras de eficiencia de entrenamiento: un objectness head para entrenar pérdidas solo sobre un subconjunto de tokens más plausibles como objeto, y token dropping durante entrenamiento (Minderer et al., 2023).</w:t>
      </w:r>
    </w:p>
    <w:p w:rsidR="00000000" w:rsidDel="00000000" w:rsidP="00000000" w:rsidRDefault="00000000" w:rsidRPr="00000000" w14:paraId="0000003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Resultados reportados</w:t>
      </w:r>
      <w:r w:rsidDel="00000000" w:rsidR="00000000" w:rsidRPr="00000000">
        <w:rPr>
          <w:rFonts w:ascii="Times New Roman" w:cs="Times New Roman" w:eastAsia="Times New Roman" w:hAnsi="Times New Roman"/>
          <w:sz w:val="24"/>
          <w:szCs w:val="24"/>
          <w:rtl w:val="0"/>
        </w:rPr>
        <w:t xml:space="preserve">. OWL-ViT L/14 alcanza 34,6 AP y 31,2 AP en clases raras en LVIS. OWLv2 L/14 con OWL-ST reporta 44,6 AP en clases raras zero-shot en LVIS-val, y la variante G/14 alcanza 47,2 AP en clases raras (Minderer et al., 2022, 2023).</w:t>
      </w:r>
    </w:p>
    <w:p w:rsidR="00000000" w:rsidDel="00000000" w:rsidP="00000000" w:rsidRDefault="00000000" w:rsidRPr="00000000" w14:paraId="0000003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Licencia</w:t>
      </w:r>
      <w:r w:rsidDel="00000000" w:rsidR="00000000" w:rsidRPr="00000000">
        <w:rPr>
          <w:rFonts w:ascii="Times New Roman" w:cs="Times New Roman" w:eastAsia="Times New Roman" w:hAnsi="Times New Roman"/>
          <w:sz w:val="24"/>
          <w:szCs w:val="24"/>
          <w:rtl w:val="0"/>
        </w:rPr>
        <w:t xml:space="preserve">. Los pesos se distribuyen bajo Apache-2.0 (Google, 2022; Google, 2023).</w:t>
      </w:r>
    </w:p>
    <w:p w:rsidR="00000000" w:rsidDel="00000000" w:rsidP="00000000" w:rsidRDefault="00000000" w:rsidRPr="00000000" w14:paraId="00000035">
      <w:pPr>
        <w:pStyle w:val="Heading4"/>
        <w:spacing w:after="0" w:before="0" w:line="480" w:lineRule="auto"/>
        <w:rPr>
          <w:rFonts w:ascii="Times New Roman" w:cs="Times New Roman" w:eastAsia="Times New Roman" w:hAnsi="Times New Roman"/>
          <w:b w:val="1"/>
          <w:bCs w:val="1"/>
          <w:color w:val="000000"/>
        </w:rPr>
      </w:pPr>
      <w:bookmarkStart w:colFirst="0" w:colLast="0" w:name="_l3kl35qk09ha" w:id="14"/>
      <w:bookmarkEnd w:id="14"/>
      <w:r w:rsidDel="00000000" w:rsidR="00000000" w:rsidRPr="00000000">
        <w:rPr>
          <w:rFonts w:ascii="Times New Roman" w:cs="Times New Roman" w:eastAsia="Times New Roman" w:hAnsi="Times New Roman"/>
          <w:b w:val="1"/>
          <w:bCs w:val="1"/>
          <w:color w:val="000000"/>
          <w:rtl w:val="0"/>
        </w:rPr>
        <w:t xml:space="preserve">15.2.1.4. Bloque D: Modelos guiados por prompts generalistas: generativos e híbridos</w:t>
      </w:r>
    </w:p>
    <w:p w:rsidR="00000000" w:rsidDel="00000000" w:rsidP="00000000" w:rsidRDefault="00000000" w:rsidRPr="00000000" w14:paraId="00000036">
      <w:pPr>
        <w:spacing w:after="0" w:before="0" w:line="480" w:lineRule="auto"/>
        <w:rPr/>
      </w:pPr>
      <w:r w:rsidDel="00000000" w:rsidR="00000000" w:rsidRPr="00000000">
        <w:rPr>
          <w:rtl w:val="0"/>
        </w:rPr>
        <w:t xml:space="preserve">Esta familia reúne modelos que amplían el tipo de consulta o la variedad de tareas sin compartir necesariamente un mecanismo generativo en inferencia. Florence-2 constituye el caso propiamente secuencia-a-secuencia: interpreta instrucciones de tarea y genera una representación textual de cajas, etiquetas u otras salidas estructuradas, con la flexibilidad y el costo temporal propios de la decodificación autoregresiva (Xiao et al., 2024). APE, en cambio, utiliza prompting generalista pero produce predicciones estructuradas de forma directa; LLMDet incorpora conocimiento de un LLM durante el entrenamiento y descarta ese componente en inferencia; T-Rex2 combina prompts textuales y visuales mediante una formulación multimodal (Shen et al., 2023; Fu et al., 2025; Jiang et al., 2024). En conjunto, estos trabajos muestran que el prompting generalista constituye una dimensión transversal y no equivale, por sí mismo, a generación autoregresiva.</w:t>
      </w:r>
    </w:p>
    <w:p w:rsidR="00000000" w:rsidDel="00000000" w:rsidP="00000000" w:rsidRDefault="00000000" w:rsidRPr="00000000" w14:paraId="00000037">
      <w:pPr>
        <w:pStyle w:val="Heading5"/>
        <w:spacing w:after="0" w:before="0" w:line="480" w:lineRule="auto"/>
        <w:rPr>
          <w:rFonts w:ascii="Times New Roman" w:cs="Times New Roman" w:eastAsia="Times New Roman" w:hAnsi="Times New Roman"/>
          <w:b w:val="1"/>
          <w:bCs w:val="1"/>
          <w:color w:val="000000"/>
          <w:sz w:val="24"/>
          <w:szCs w:val="24"/>
        </w:rPr>
      </w:pPr>
      <w:bookmarkStart w:colFirst="0" w:colLast="0" w:name="_zb1eg5ddezzz" w:id="15"/>
      <w:bookmarkEnd w:id="15"/>
      <w:r w:rsidDel="00000000" w:rsidR="00000000" w:rsidRPr="00000000">
        <w:rPr>
          <w:rFonts w:ascii="Times New Roman" w:cs="Times New Roman" w:eastAsia="Times New Roman" w:hAnsi="Times New Roman"/>
          <w:b w:val="1"/>
          <w:bCs w:val="1"/>
          <w:color w:val="000000"/>
          <w:sz w:val="24"/>
          <w:szCs w:val="24"/>
          <w:rtl w:val="0"/>
        </w:rPr>
        <w:t xml:space="preserve">15.2.1.4.1. Florence-2</w:t>
      </w:r>
    </w:p>
    <w:p w:rsidR="00000000" w:rsidDel="00000000" w:rsidP="00000000" w:rsidRDefault="00000000" w:rsidRPr="00000000" w14:paraId="00000038">
      <w:pPr>
        <w:spacing w:after="0" w:before="0" w:line="480" w:lineRule="auto"/>
        <w:rPr/>
      </w:pPr>
      <w:r w:rsidDel="00000000" w:rsidR="00000000" w:rsidRPr="00000000">
        <w:rPr>
          <w:rtl w:val="0"/>
        </w:rPr>
        <w:t xml:space="preserve">Arquitectura, entrenamiento y disponibilidad. Florence-2 utiliza un encoder visual DaViT y un Transformer encoder-decoder multimodal bajo una formulación secuencia-a-secuencia: recibe una imagen y una instrucción de tarea, y genera texto o tokens de localización que representan cajas, regiones y otras salidas estructuradas. El modelo se preentrenó sobre FLD-5B, un banco de 126 millones de imágenes con 5,4 mil millones de anotaciones, y la variante large reporta 37,5 mAP en detección zero-shot sobre COCO. Esta unificación evita cabezales específicos por tarea, pero la generación autoregresiva introduce un costo temporal distinto del de los detectores de predicción directa. Los pesos publicados por Microsoft se distribuyen bajo licencia MIT (Xiao et al., 2024; Microsoft, 2024).</w:t>
      </w:r>
    </w:p>
    <w:p w:rsidR="00000000" w:rsidDel="00000000" w:rsidP="00000000" w:rsidRDefault="00000000" w:rsidRPr="00000000" w14:paraId="00000039">
      <w:pPr>
        <w:pStyle w:val="Heading3"/>
        <w:spacing w:after="0" w:before="0" w:line="480" w:lineRule="auto"/>
        <w:rPr>
          <w:rFonts w:ascii="Times New Roman" w:cs="Times New Roman" w:eastAsia="Times New Roman" w:hAnsi="Times New Roman"/>
          <w:b w:val="1"/>
          <w:bCs w:val="1"/>
          <w:i w:val="1"/>
          <w:iCs w:val="1"/>
          <w:color w:val="000000"/>
          <w:sz w:val="24"/>
          <w:szCs w:val="24"/>
        </w:rPr>
      </w:pPr>
      <w:bookmarkStart w:colFirst="0" w:colLast="0" w:name="_jcanfxe1whqr" w:id="16"/>
      <w:bookmarkEnd w:id="16"/>
      <w:r w:rsidDel="00000000" w:rsidR="00000000" w:rsidRPr="00000000">
        <w:rPr>
          <w:rFonts w:ascii="Times New Roman" w:cs="Times New Roman" w:eastAsia="Times New Roman" w:hAnsi="Times New Roman"/>
          <w:b w:val="1"/>
          <w:bCs w:val="1"/>
          <w:i w:val="1"/>
          <w:iCs w:val="1"/>
          <w:color w:val="000000"/>
          <w:sz w:val="24"/>
          <w:szCs w:val="24"/>
          <w:rtl w:val="0"/>
        </w:rPr>
        <w:t xml:space="preserve">15.2.2. Composición de Modelos y Pipelines de Percepción</w:t>
      </w:r>
    </w:p>
    <w:p w:rsidR="00000000" w:rsidDel="00000000" w:rsidP="00000000" w:rsidRDefault="00000000" w:rsidRPr="00000000" w14:paraId="0000003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detectores OVD pueden integrarse en pipelines que combinan capacidades complementarias. Grounded SAM ejemplifica esta composición al encadenar detección condicionada por texto con segmentación universal, mientras que OVTrack formaliza una extensión temporal mediante tracking-by-detection en vocabulario abierto (Ren, Liu, et al., 2024; S. Li et al., 2023). El aporte conceptual de estos enfoques no es un modelo aislado, sino la posibilidad de desacoplar etapas con responsabilidades distintas.</w:t>
      </w:r>
    </w:p>
    <w:p w:rsidR="00000000" w:rsidDel="00000000" w:rsidP="00000000" w:rsidRDefault="00000000" w:rsidRPr="00000000" w14:paraId="0000003B">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modularidad permite sustituir componentes y ampliar capacidades, pero también acumula latencia, dependencias de integración y fuentes de variabilidad. Para sistemas de video en tiempo real, la evaluación debe considerar el pipeline completo y no sólo la precisión de cada modelo por separado; este criterio enlaza la detección con el seguimiento temporal y con las etapas posteriores de generación de eventos.</w:t>
      </w:r>
    </w:p>
    <w:p w:rsidR="00000000" w:rsidDel="00000000" w:rsidP="00000000" w:rsidRDefault="00000000" w:rsidRPr="00000000" w14:paraId="0000003D">
      <w:pPr>
        <w:spacing w:line="480" w:lineRule="auto"/>
        <w:ind w:firstLine="720"/>
        <w:rPr>
          <w:rFonts w:ascii="Times New Roman" w:cs="Times New Roman" w:eastAsia="Times New Roman" w:hAnsi="Times New Roman"/>
          <w:sz w:val="24"/>
          <w:szCs w:val="24"/>
        </w:rPr>
        <w:sectPr>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3E">
      <w:pPr>
        <w:pStyle w:val="Heading3"/>
        <w:spacing w:after="0" w:before="0" w:line="480" w:lineRule="auto"/>
        <w:rPr>
          <w:rFonts w:ascii="Times New Roman" w:cs="Times New Roman" w:eastAsia="Times New Roman" w:hAnsi="Times New Roman"/>
          <w:b w:val="1"/>
          <w:bCs w:val="1"/>
          <w:i w:val="1"/>
          <w:iCs w:val="1"/>
          <w:color w:val="000000"/>
          <w:sz w:val="24"/>
          <w:szCs w:val="24"/>
        </w:rPr>
      </w:pPr>
      <w:bookmarkStart w:colFirst="0" w:colLast="0" w:name="_4o44d1px00cr" w:id="17"/>
      <w:bookmarkEnd w:id="17"/>
      <w:r w:rsidDel="00000000" w:rsidR="00000000" w:rsidRPr="00000000">
        <w:rPr>
          <w:rFonts w:ascii="Times New Roman" w:cs="Times New Roman" w:eastAsia="Times New Roman" w:hAnsi="Times New Roman"/>
          <w:b w:val="1"/>
          <w:bCs w:val="1"/>
          <w:i w:val="1"/>
          <w:iCs w:val="1"/>
          <w:color w:val="000000"/>
          <w:sz w:val="24"/>
          <w:szCs w:val="24"/>
          <w:rtl w:val="0"/>
        </w:rPr>
        <w:t xml:space="preserve">15.2.3. Síntesis Comparativa y Trade-Offs para Tiempo Real</w:t>
      </w:r>
    </w:p>
    <w:p w:rsidR="00000000" w:rsidDel="00000000" w:rsidP="00000000" w:rsidRDefault="00000000" w:rsidRPr="00000000" w14:paraId="0000003F">
      <w:pPr>
        <w:spacing w:line="480" w:lineRule="auto"/>
        <w:ind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La Tabla 2 sintetiza las características fundamentales de los cuatro paradigmas arquitectónicos analizados, con énfasis en las dimensiones más relevantes para la viabilidad del sistema E-OVRT-VDP en un contexto de vídeo en tiempo real. </w:t>
      </w:r>
      <w:r w:rsidDel="00000000" w:rsidR="00000000" w:rsidRPr="00000000">
        <w:rPr>
          <w:rtl w:val="0"/>
        </w:rPr>
      </w:r>
    </w:p>
    <w:p w:rsidR="00000000" w:rsidDel="00000000" w:rsidP="00000000" w:rsidRDefault="00000000" w:rsidRPr="00000000" w14:paraId="00000040">
      <w:pPr>
        <w:keepNext w:val="1"/>
        <w:spacing w:line="360" w:lineRule="auto"/>
        <w:rPr>
          <w:rFonts w:ascii="Times New Roman" w:cs="Times New Roman" w:eastAsia="Times New Roman" w:hAnsi="Times New Roman"/>
          <w:b w:val="1"/>
          <w:bCs w:val="1"/>
          <w:i w:val="1"/>
          <w:iCs w:val="1"/>
          <w:sz w:val="24"/>
          <w:szCs w:val="24"/>
        </w:rPr>
      </w:pPr>
      <w:bookmarkStart w:colFirst="0" w:colLast="0" w:name="_n6zchwlhpbut" w:id="18"/>
      <w:bookmarkEnd w:id="18"/>
      <w:r w:rsidDel="00000000" w:rsidR="00000000" w:rsidRPr="00000000">
        <w:rPr>
          <w:rFonts w:ascii="Times New Roman" w:cs="Times New Roman" w:eastAsia="Times New Roman" w:hAnsi="Times New Roman"/>
          <w:b w:val="1"/>
          <w:bCs w:val="1"/>
          <w:i w:val="1"/>
          <w:iCs w:val="1"/>
          <w:sz w:val="24"/>
          <w:szCs w:val="24"/>
          <w:rtl w:val="0"/>
        </w:rPr>
        <w:t xml:space="preserve">Tabla 2</w:t>
      </w:r>
    </w:p>
    <w:p w:rsidR="00000000" w:rsidDel="00000000" w:rsidP="00000000" w:rsidRDefault="00000000" w:rsidRPr="00000000" w14:paraId="0000004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Síntesis comparativa de paradigmas arquitectónicos OVD según dimensiones relevantes para sistemas de video en tiempo real</w:t>
      </w:r>
      <w:r w:rsidDel="00000000" w:rsidR="00000000" w:rsidRPr="00000000">
        <w:rPr>
          <w:rtl w:val="0"/>
        </w:rPr>
      </w:r>
    </w:p>
    <w:tbl>
      <w:tblPr>
        <w:tblStyle w:val="Table1"/>
        <w:tblW w:w="104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60"/>
        <w:gridCol w:w="2140"/>
        <w:gridCol w:w="2260"/>
        <w:gridCol w:w="1720"/>
        <w:gridCol w:w="3060"/>
        <w:tblGridChange w:id="0">
          <w:tblGrid>
            <w:gridCol w:w="1260"/>
            <w:gridCol w:w="2140"/>
            <w:gridCol w:w="2260"/>
            <w:gridCol w:w="1720"/>
            <w:gridCol w:w="3060"/>
          </w:tblGrid>
        </w:tblGridChange>
      </w:tblGrid>
      <w:tr>
        <w:trPr>
          <w:cantSplit w:val="0"/>
          <w:tblHeader w:val="0"/>
        </w:trPr>
        <w:tc>
          <w:tcPr>
            <w:tcBorders>
              <w:top w:color="000000" w:space="0" w:sz="12" w:val="single"/>
              <w:left w:color="000000" w:space="0" w:sz="0" w:val="nil"/>
              <w:bottom w:color="000000" w:space="0" w:sz="4" w:val="single"/>
              <w:right w:color="000000" w:space="0" w:sz="0" w:val="nil"/>
            </w:tcBorders>
            <w:tcMar>
              <w:top w:w="30.0" w:type="dxa"/>
              <w:left w:w="80.0" w:type="dxa"/>
              <w:bottom w:w="30.0" w:type="dxa"/>
              <w:right w:w="80.0" w:type="dxa"/>
            </w:tcMar>
          </w:tcPr>
          <w:p w:rsidR="00000000" w:rsidDel="00000000" w:rsidP="00000000" w:rsidRDefault="00000000" w:rsidRPr="00000000" w14:paraId="0000004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Paradigma</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30.0" w:type="dxa"/>
              <w:left w:w="80.0" w:type="dxa"/>
              <w:bottom w:w="30.0" w:type="dxa"/>
              <w:right w:w="80.0" w:type="dxa"/>
            </w:tcMar>
          </w:tcPr>
          <w:p w:rsidR="00000000" w:rsidDel="00000000" w:rsidP="00000000" w:rsidRDefault="00000000" w:rsidRPr="00000000" w14:paraId="0000004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Modelo(s) representativos</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30.0" w:type="dxa"/>
              <w:left w:w="80.0" w:type="dxa"/>
              <w:bottom w:w="30.0" w:type="dxa"/>
              <w:right w:w="80.0" w:type="dxa"/>
            </w:tcMar>
          </w:tcPr>
          <w:p w:rsidR="00000000" w:rsidDel="00000000" w:rsidP="00000000" w:rsidRDefault="00000000" w:rsidRPr="00000000" w14:paraId="0000004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Mecanismo visión-lenguaje</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30.0" w:type="dxa"/>
              <w:left w:w="80.0" w:type="dxa"/>
              <w:bottom w:w="30.0" w:type="dxa"/>
              <w:right w:w="80.0" w:type="dxa"/>
            </w:tcMar>
          </w:tcPr>
          <w:p w:rsidR="00000000" w:rsidDel="00000000" w:rsidP="00000000" w:rsidRDefault="00000000" w:rsidRPr="00000000" w14:paraId="0000004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Fortaleza principal</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30.0" w:type="dxa"/>
              <w:left w:w="80.0" w:type="dxa"/>
              <w:bottom w:w="30.0" w:type="dxa"/>
              <w:right w:w="80.0" w:type="dxa"/>
            </w:tcMar>
          </w:tcPr>
          <w:p w:rsidR="00000000" w:rsidDel="00000000" w:rsidP="00000000" w:rsidRDefault="00000000" w:rsidRPr="00000000" w14:paraId="0000004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Limitación para tiempo real</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04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DETR/DINO + fusión profunda</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04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Grounding DINO, MM-Grounding-DINO, DINO-X</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04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Fusión multimodal en decoder mediante atención cruzada visión-lenguaje</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04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 precisión semántica; manejo de expresiones referenciales complejas</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04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Costo computacional elevado; requiere optimización explícita para tiempo real</w:t>
            </w:r>
          </w:p>
        </w:tc>
      </w:tr>
      <w:tr>
        <w:trPr>
          <w:cantSplit w:val="0"/>
          <w:tblHeader w:val="0"/>
        </w:trPr>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04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One-stage YOLO + puntuación región-texto</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04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YOLO-World, YOLOE</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04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Alineamiento región-texto reparametrizable; reducción progresiva del overhead de fusión mediante reparametrización</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04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 velocidad de inferencia; compatible con hardware de borde</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05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Menor expresividad semántica frente a consultas complejas o con atributos compuestos</w:t>
            </w:r>
          </w:p>
        </w:tc>
      </w:tr>
      <w:tr>
        <w:trPr>
          <w:cantSplit w:val="0"/>
          <w:tblHeader w:val="0"/>
        </w:trPr>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05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Dual-encoder CLIP-like + matching por similitud</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05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OWL-ViT, OWLv2</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05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Matching por similitud en espacio de embeddings compartido; reutilización directa de preentrenamiento contrastivo</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05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Modularidad; cambio de vocabulario sin modificar el modelo</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05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latencia variable según tamaño del vocabulario; requiere caching para vocabularios estables; requiere cómputo de embeddings por consulta</w:t>
            </w:r>
          </w:p>
        </w:tc>
      </w:tr>
      <w:tr>
        <w:trPr>
          <w:cantSplit w:val="0"/>
          <w:tblHeader w:val="0"/>
        </w:trPr>
        <w:tc>
          <w:tcPr>
            <w:tcBorders>
              <w:top w:color="000000" w:space="0" w:sz="0" w:val="nil"/>
              <w:left w:color="000000" w:space="0" w:sz="0" w:val="nil"/>
              <w:bottom w:color="000000" w:space="0" w:sz="12" w:val="single"/>
              <w:right w:color="000000" w:space="0" w:sz="0" w:val="nil"/>
            </w:tcBorders>
            <w:tcMar>
              <w:top w:w="30.0" w:type="dxa"/>
              <w:left w:w="80.0" w:type="dxa"/>
              <w:bottom w:w="30.0" w:type="dxa"/>
              <w:right w:w="80.0" w:type="dxa"/>
            </w:tcMar>
          </w:tcPr>
          <w:p w:rsidR="00000000" w:rsidDel="00000000" w:rsidP="00000000" w:rsidRDefault="00000000" w:rsidRPr="00000000" w14:paraId="0000005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Prompts generalistas: generativo e híbrido</w:t>
            </w:r>
          </w:p>
        </w:tc>
        <w:tc>
          <w:tcPr>
            <w:tcBorders>
              <w:top w:color="000000" w:space="0" w:sz="0" w:val="nil"/>
              <w:left w:color="000000" w:space="0" w:sz="0" w:val="nil"/>
              <w:bottom w:color="000000" w:space="0" w:sz="12" w:val="single"/>
              <w:right w:color="000000" w:space="0" w:sz="0" w:val="nil"/>
            </w:tcBorders>
            <w:tcMar>
              <w:top w:w="30.0" w:type="dxa"/>
              <w:left w:w="80.0" w:type="dxa"/>
              <w:bottom w:w="30.0" w:type="dxa"/>
              <w:right w:w="80.0" w:type="dxa"/>
            </w:tcMar>
          </w:tcPr>
          <w:p w:rsidR="00000000" w:rsidDel="00000000" w:rsidP="00000000" w:rsidRDefault="00000000" w:rsidRPr="00000000" w14:paraId="0000005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Florence-2, APE, LLMDet, T-Rex2</w:t>
            </w:r>
          </w:p>
        </w:tc>
        <w:tc>
          <w:tcPr>
            <w:tcBorders>
              <w:top w:color="000000" w:space="0" w:sz="0" w:val="nil"/>
              <w:left w:color="000000" w:space="0" w:sz="0" w:val="nil"/>
              <w:bottom w:color="000000" w:space="0" w:sz="12" w:val="single"/>
              <w:right w:color="000000" w:space="0" w:sz="0" w:val="nil"/>
            </w:tcBorders>
            <w:tcMar>
              <w:top w:w="30.0" w:type="dxa"/>
              <w:left w:w="80.0" w:type="dxa"/>
              <w:bottom w:w="30.0" w:type="dxa"/>
              <w:right w:w="80.0" w:type="dxa"/>
            </w:tcMar>
          </w:tcPr>
          <w:p w:rsidR="00000000" w:rsidDel="00000000" w:rsidP="00000000" w:rsidRDefault="00000000" w:rsidRPr="00000000" w14:paraId="0000005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Mecanismos heterogéneos: generación autoregresiva en Florence-2; predicción directa o integración híbrida en APE, LLMDet y T-Rex2</w:t>
            </w:r>
          </w:p>
        </w:tc>
        <w:tc>
          <w:tcPr>
            <w:tcBorders>
              <w:top w:color="000000" w:space="0" w:sz="0" w:val="nil"/>
              <w:left w:color="000000" w:space="0" w:sz="0" w:val="nil"/>
              <w:bottom w:color="000000" w:space="0" w:sz="12" w:val="single"/>
              <w:right w:color="000000" w:space="0" w:sz="0" w:val="nil"/>
            </w:tcBorders>
            <w:tcMar>
              <w:top w:w="30.0" w:type="dxa"/>
              <w:left w:w="80.0" w:type="dxa"/>
              <w:bottom w:w="30.0" w:type="dxa"/>
              <w:right w:w="80.0" w:type="dxa"/>
            </w:tcMar>
          </w:tcPr>
          <w:p w:rsidR="00000000" w:rsidDel="00000000" w:rsidP="00000000" w:rsidRDefault="00000000" w:rsidRPr="00000000" w14:paraId="0000005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Flexibilidad multitarea; soporte para prompts complejos y multimodales</w:t>
            </w:r>
          </w:p>
        </w:tc>
        <w:tc>
          <w:tcPr>
            <w:tcBorders>
              <w:top w:color="000000" w:space="0" w:sz="0" w:val="nil"/>
              <w:left w:color="000000" w:space="0" w:sz="0" w:val="nil"/>
              <w:bottom w:color="000000" w:space="0" w:sz="12" w:val="single"/>
              <w:right w:color="000000" w:space="0" w:sz="0" w:val="nil"/>
            </w:tcBorders>
            <w:tcMar>
              <w:top w:w="30.0" w:type="dxa"/>
              <w:left w:w="80.0" w:type="dxa"/>
              <w:bottom w:w="30.0" w:type="dxa"/>
              <w:right w:w="80.0" w:type="dxa"/>
            </w:tcMar>
          </w:tcPr>
          <w:p w:rsidR="00000000" w:rsidDel="00000000" w:rsidP="00000000" w:rsidRDefault="00000000" w:rsidRPr="00000000" w14:paraId="0000005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Florence-2: latencia de inferencia variable e inestabilidad temporal por decodificación autoregresiva; APE: costo de prompting masivo escalable pero sin garantías de tiempo real estricto</w:t>
            </w:r>
          </w:p>
        </w:tc>
      </w:tr>
    </w:tbl>
    <w:p w:rsidR="00000000" w:rsidDel="00000000" w:rsidP="00000000" w:rsidRDefault="00000000" w:rsidRPr="00000000" w14:paraId="0000005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Nota. </w:t>
      </w:r>
      <w:r w:rsidDel="00000000" w:rsidR="00000000" w:rsidRPr="00000000">
        <w:rPr>
          <w:rFonts w:ascii="Times New Roman" w:cs="Times New Roman" w:eastAsia="Times New Roman" w:hAnsi="Times New Roman"/>
          <w:sz w:val="24"/>
          <w:szCs w:val="24"/>
          <w:rtl w:val="0"/>
        </w:rPr>
        <w:t xml:space="preserve">La columna “Limitación para tiempo real” describe el principal factor restrictivo de cada paradigma en escenarios de monitoreo continuo. Los modelos listados son representativos de cada familia; no constituyen una lista exhaustiva. Las métricas de velocidad son contextuales al hardware y configuración de inferencia reportados en la literatura primaria. Fuente: Elaboración propia basada en las fuentes mencionadas </w:t>
      </w:r>
      <w:hyperlink r:id="rId6">
        <w:r w:rsidDel="00000000" w:rsidR="00000000" w:rsidRPr="00000000">
          <w:rPr>
            <w:rFonts w:ascii="Times New Roman" w:cs="Times New Roman" w:eastAsia="Times New Roman" w:hAnsi="Times New Roman"/>
            <w:sz w:val="24"/>
            <w:szCs w:val="24"/>
            <w:rtl w:val="0"/>
          </w:rPr>
          <w:t xml:space="preserve">(Cheng et al., 2024; Liu et al., 2024; Minderer et al., 2022, 2023; A. Wang et al., 2025; Xiao et al., 2024)</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régimen de disponibilidad constituye una dimensión independiente del rendimiento. YOLO-World y YOLOE se publican bajo GPL-3.0 y AGPL-3.0, respectivamente, mientras que el Grounding DINO original y OWLv2 utilizan licencias permisivas Apache-2.0; por otra parte, Grounding DINO 1.5 y DINO-X se ofrecen mediante API sin pesos abiertos. Estas diferencias afectan la reproducción independiente, la redistribución de artefactos y la continuidad tecnológica, aun en un prototipo académico. Por ello, la comparación de alternativas debe distinguir entre licencia del código, licencia de los pesos y condiciones del servicio de acceso (AILab-CVC, 2024; Google, 2022, 2023; IDEA-Research, 2024a, 2024c; THU-MIG, 2025).</w:t>
      </w:r>
    </w:p>
    <w:p w:rsidR="00000000" w:rsidDel="00000000" w:rsidP="00000000" w:rsidRDefault="00000000" w:rsidRPr="00000000" w14:paraId="0000005D">
      <w:pPr>
        <w:spacing w:line="480" w:lineRule="auto"/>
        <w:ind w:firstLine="720"/>
        <w:rPr>
          <w:rFonts w:ascii="Times New Roman" w:cs="Times New Roman" w:eastAsia="Times New Roman" w:hAnsi="Times New Roman"/>
          <w:sz w:val="24"/>
          <w:szCs w:val="24"/>
        </w:rPr>
        <w:sectPr>
          <w:type w:val="nextPage"/>
          <w:pgSz w:h="12240" w:w="15840" w:orient="landscape"/>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Como complemento a esta síntesis por paradigmas, en la Tabla A.1 del Anexo A se incluye una matriz ampliada orientada a prototipado, donde se comparan modelos representativos según familia arquitectónica, mecanismo visión-lenguaje, métricas reportadas, rendimiento y licenciamiento. Dicha matriz conserva el detalle técnico necesario para respaldar la selección posterior de alternativas, sin sobrecargar el cuerpo principal del estado del arte. </w:t>
      </w:r>
    </w:p>
    <w:p w:rsidR="00000000" w:rsidDel="00000000" w:rsidP="00000000" w:rsidRDefault="00000000" w:rsidRPr="00000000" w14:paraId="0000005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 análisis comparativo emergen tres tensiones técnicas que deben considerarse como criterios de selección. La primera es la tensión entre precisión semántica y latencia de inferencia: los modelos con fusión visión-lenguaje más profunda suelen ofrecer mayor capacidad frente a consultas complejas, pero con un costo computacional que puede reducir la tasa de procesamiento. La segunda es la tensión entre generalización zero-shot y especialización de dominio: los benchmarks generales no representan por sí mismos las condiciones visuales de una obra civil. Esta tensión se extiende al fine-tuning. La evidencia revisada no permite atribuir la retención open-vocabulary a una familia arquitectónica por sí sola, porque las comparaciones utilizan datos, módulos entrenables y protocolos diferentes. La retención depende de la receta aplicada: qué parámetros se ajustan o congelan, si se conserva supervisión lingüística amplia y si se evalúan categorías no vistas (Cheng et al., 2024; Minderer et al., 2023; X. Zhao et al., 2024). Por ello, debe describirse para cada configuración y no inferirse de la profundidad o removibilidad de la fusión. La tercera es la tensión entre expresividad semántica y simplicidad del prompt: las consultas más precisas exigen mayor control de formulación, introduciendo una variable de diseño ausente en sistemas closed-set.</w:t>
      </w:r>
    </w:p>
    <w:p w:rsidR="00000000" w:rsidDel="00000000" w:rsidP="00000000" w:rsidRDefault="00000000" w:rsidRPr="00000000" w14:paraId="0000005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 observación transversal es que, en los modelos que permiten reutilizar la representación textual, el cacheo de embeddings entre cuadros reduce el costo recurrente cuando el vocabulario permanece estable (A. Wang et al., 2025; T. Zhao et al., 2024). Dado que las condiciones de riesgo se definen al inicio de la sesión y se mantienen constantes, esta estrategia resulta directamente aplicable al escenario considerado.</w:t>
      </w:r>
    </w:p>
    <w:p w:rsidR="00000000" w:rsidDel="00000000" w:rsidP="00000000" w:rsidRDefault="00000000" w:rsidRPr="00000000" w14:paraId="0000006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Adicionalmente, la tendencia hacia pipelines composicionales descrita en esta sección introduce una cuarta tensión que opera en un plano distinto a las anteriores: la tensión entre modularidad e integrabilidad. Los enfoques que ensamblan múltiples modelos foundation —como la combinación de un detector OVD con un segmentador universal— ofrecen mayor flexibilidad para sustituir componentes y abordar tareas compuestas, pero acumulan latencia de inferencia por la ejecución secuencial de etapas y aumentan la complejidad de integración entre formatos de entrada y salida. Esta tensión no invalida el patrón composicional, pero señala que la evaluación de alternativas en etapas posteriores deberá considerar no solo el rendimiento de cada modelo de forma aislada, sino el costo total del pipeline resultante bajo las restricciones temporales del escenario de aplicación.</w:t>
      </w:r>
    </w:p>
    <w:p w:rsidR="00000000" w:rsidDel="00000000" w:rsidP="00000000" w:rsidRDefault="00000000" w:rsidRPr="00000000" w14:paraId="00000061">
      <w:pPr>
        <w:pStyle w:val="Heading4"/>
        <w:spacing w:after="0" w:before="0" w:line="480" w:lineRule="auto"/>
        <w:rPr>
          <w:rFonts w:ascii="Times New Roman" w:cs="Times New Roman" w:eastAsia="Times New Roman" w:hAnsi="Times New Roman"/>
          <w:b w:val="1"/>
          <w:bCs w:val="1"/>
          <w:color w:val="000000"/>
        </w:rPr>
      </w:pPr>
      <w:bookmarkStart w:colFirst="0" w:colLast="0" w:name="_pw6h9sjrogth" w:id="19"/>
      <w:bookmarkEnd w:id="19"/>
      <w:r w:rsidDel="00000000" w:rsidR="00000000" w:rsidRPr="00000000">
        <w:rPr>
          <w:rFonts w:ascii="Times New Roman" w:cs="Times New Roman" w:eastAsia="Times New Roman" w:hAnsi="Times New Roman"/>
          <w:b w:val="1"/>
          <w:bCs w:val="1"/>
          <w:color w:val="000000"/>
          <w:rtl w:val="0"/>
        </w:rPr>
        <w:t xml:space="preserve">15.2.3.1. Análisis de Rendimiento para Tiempo Real</w:t>
      </w:r>
    </w:p>
    <w:p w:rsidR="00000000" w:rsidDel="00000000" w:rsidP="00000000" w:rsidRDefault="00000000" w:rsidRPr="00000000" w14:paraId="00000062">
      <w:pPr>
        <w:spacing w:line="480" w:lineRule="auto"/>
        <w:ind w:firstLine="720"/>
        <w:rPr>
          <w:rFonts w:ascii="Times New Roman" w:cs="Times New Roman" w:eastAsia="Times New Roman" w:hAnsi="Times New Roman"/>
          <w:sz w:val="24"/>
          <w:szCs w:val="24"/>
        </w:rPr>
        <w:sectPr>
          <w:type w:val="nextPage"/>
          <w:pgSz w:h="15840" w:w="12240"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Desde el punto de vista del desempeño temporal, varios de los modelos analizados presentan características compatibles con aplicaciones de análisis de vídeo en tiempo real. La Tabla 3 resume puntos de operación publicados para modelos representativos y calcula, a partir de sus FPS, una latencia teórica por cuadro; estos valores no constituyen mediciones homogéneas de latencia.</w:t>
      </w:r>
    </w:p>
    <w:p w:rsidR="00000000" w:rsidDel="00000000" w:rsidP="00000000" w:rsidRDefault="00000000" w:rsidRPr="00000000" w14:paraId="00000063">
      <w:pPr>
        <w:spacing w:line="360" w:lineRule="auto"/>
        <w:rPr>
          <w:rFonts w:ascii="Times New Roman" w:cs="Times New Roman" w:eastAsia="Times New Roman" w:hAnsi="Times New Roman"/>
          <w:b w:val="1"/>
          <w:bCs w:val="1"/>
          <w:sz w:val="24"/>
          <w:szCs w:val="24"/>
        </w:rPr>
      </w:pPr>
      <w:bookmarkStart w:colFirst="0" w:colLast="0" w:name="_m0eqdmg4oqv9" w:id="20"/>
      <w:bookmarkEnd w:id="20"/>
      <w:r w:rsidDel="00000000" w:rsidR="00000000" w:rsidRPr="00000000">
        <w:rPr>
          <w:rFonts w:ascii="Times New Roman" w:cs="Times New Roman" w:eastAsia="Times New Roman" w:hAnsi="Times New Roman"/>
          <w:b w:val="1"/>
          <w:bCs w:val="1"/>
          <w:i w:val="1"/>
          <w:iCs w:val="1"/>
          <w:sz w:val="24"/>
          <w:szCs w:val="24"/>
          <w:rtl w:val="0"/>
        </w:rPr>
        <w:t xml:space="preserve">Tabla 3</w:t>
      </w:r>
      <w:r w:rsidDel="00000000" w:rsidR="00000000" w:rsidRPr="00000000">
        <w:rPr>
          <w:rtl w:val="0"/>
        </w:rPr>
      </w:r>
    </w:p>
    <w:p w:rsidR="00000000" w:rsidDel="00000000" w:rsidP="00000000" w:rsidRDefault="00000000" w:rsidRPr="00000000" w14:paraId="0000006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Análisis comparativo de rendimiento de modelos OVD para tiempo real</w:t>
      </w:r>
      <w:r w:rsidDel="00000000" w:rsidR="00000000" w:rsidRPr="00000000">
        <w:rPr>
          <w:rtl w:val="0"/>
        </w:rPr>
      </w:r>
    </w:p>
    <w:tbl>
      <w:tblPr>
        <w:tblStyle w:val="Table2"/>
        <w:tblW w:w="130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65"/>
        <w:gridCol w:w="1365"/>
        <w:gridCol w:w="2085"/>
        <w:gridCol w:w="1140"/>
        <w:gridCol w:w="2855.0000000000005"/>
        <w:gridCol w:w="3024.9999999999995"/>
        <w:tblGridChange w:id="0">
          <w:tblGrid>
            <w:gridCol w:w="2565"/>
            <w:gridCol w:w="1365"/>
            <w:gridCol w:w="2085"/>
            <w:gridCol w:w="1140"/>
            <w:gridCol w:w="2855.0000000000005"/>
            <w:gridCol w:w="3024.9999999999995"/>
          </w:tblGrid>
        </w:tblGridChange>
      </w:tblGrid>
      <w:tr>
        <w:trPr>
          <w:cantSplit w:val="0"/>
          <w:tblHeader w:val="1"/>
        </w:trPr>
        <w:tc>
          <w:tcPr>
            <w:tcBorders>
              <w:top w:color="000000" w:space="0" w:sz="4" w:val="single"/>
              <w:left w:color="000000" w:space="0" w:sz="0" w:val="nil"/>
              <w:bottom w:color="000000" w:space="0" w:sz="4" w:val="single"/>
              <w:right w:color="000000" w:space="0" w:sz="0" w:val="nil"/>
            </w:tcBorders>
            <w:tcMar>
              <w:top w:w="40.0" w:type="dxa"/>
              <w:left w:w="80.0" w:type="dxa"/>
              <w:bottom w:w="40.0" w:type="dxa"/>
              <w:right w:w="80.0" w:type="dxa"/>
            </w:tcMar>
            <w:vAlign w:val="bottom"/>
          </w:tcPr>
          <w:p w:rsidR="00000000" w:rsidDel="00000000" w:rsidP="00000000" w:rsidRDefault="00000000" w:rsidRPr="00000000" w14:paraId="0000006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Modelo</w:t>
            </w:r>
          </w:p>
        </w:tc>
        <w:tc>
          <w:tcPr>
            <w:tcBorders>
              <w:top w:color="000000" w:space="0" w:sz="4" w:val="single"/>
              <w:left w:color="000000" w:space="0" w:sz="0" w:val="nil"/>
              <w:bottom w:color="000000" w:space="0" w:sz="4" w:val="single"/>
              <w:right w:color="000000" w:space="0" w:sz="0" w:val="nil"/>
            </w:tcBorders>
            <w:tcMar>
              <w:top w:w="40.0" w:type="dxa"/>
              <w:left w:w="80.0" w:type="dxa"/>
              <w:bottom w:w="40.0" w:type="dxa"/>
              <w:right w:w="80.0" w:type="dxa"/>
            </w:tcMar>
            <w:vAlign w:val="bottom"/>
          </w:tcPr>
          <w:p w:rsidR="00000000" w:rsidDel="00000000" w:rsidP="00000000" w:rsidRDefault="00000000" w:rsidRPr="00000000" w14:paraId="0000006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Hardware</w:t>
            </w:r>
          </w:p>
        </w:tc>
        <w:tc>
          <w:tcPr>
            <w:tcBorders>
              <w:top w:color="000000" w:space="0" w:sz="4" w:val="single"/>
              <w:left w:color="000000" w:space="0" w:sz="0" w:val="nil"/>
              <w:bottom w:color="000000" w:space="0" w:sz="4" w:val="single"/>
              <w:right w:color="000000" w:space="0" w:sz="0" w:val="nil"/>
            </w:tcBorders>
            <w:tcMar>
              <w:top w:w="40.0" w:type="dxa"/>
              <w:left w:w="80.0" w:type="dxa"/>
              <w:bottom w:w="40.0" w:type="dxa"/>
              <w:right w:w="80.0" w:type="dxa"/>
            </w:tcMar>
            <w:vAlign w:val="bottom"/>
          </w:tcPr>
          <w:p w:rsidR="00000000" w:rsidDel="00000000" w:rsidP="00000000" w:rsidRDefault="00000000" w:rsidRPr="00000000" w14:paraId="0000006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Framework</w:t>
            </w:r>
          </w:p>
        </w:tc>
        <w:tc>
          <w:tcPr>
            <w:tcBorders>
              <w:top w:color="000000" w:space="0" w:sz="4" w:val="single"/>
              <w:left w:color="000000" w:space="0" w:sz="0" w:val="nil"/>
              <w:bottom w:color="000000" w:space="0" w:sz="4" w:val="single"/>
              <w:right w:color="000000" w:space="0" w:sz="0" w:val="nil"/>
            </w:tcBorders>
            <w:tcMar>
              <w:top w:w="40.0" w:type="dxa"/>
              <w:left w:w="80.0" w:type="dxa"/>
              <w:bottom w:w="40.0" w:type="dxa"/>
              <w:right w:w="80.0" w:type="dxa"/>
            </w:tcMar>
            <w:vAlign w:val="bottom"/>
          </w:tcPr>
          <w:p w:rsidR="00000000" w:rsidDel="00000000" w:rsidP="00000000" w:rsidRDefault="00000000" w:rsidRPr="00000000" w14:paraId="0000006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FPS</w:t>
            </w:r>
          </w:p>
        </w:tc>
        <w:tc>
          <w:tcPr>
            <w:tcBorders>
              <w:top w:color="000000" w:space="0" w:sz="4" w:val="single"/>
              <w:left w:color="000000" w:space="0" w:sz="0" w:val="nil"/>
              <w:bottom w:color="000000" w:space="0" w:sz="4" w:val="single"/>
              <w:right w:color="000000" w:space="0" w:sz="0" w:val="nil"/>
            </w:tcBorders>
            <w:tcMar>
              <w:top w:w="40.0" w:type="dxa"/>
              <w:left w:w="80.0" w:type="dxa"/>
              <w:bottom w:w="40.0" w:type="dxa"/>
              <w:right w:w="80.0" w:type="dxa"/>
            </w:tcMar>
            <w:vAlign w:val="bottom"/>
          </w:tcPr>
          <w:p w:rsidR="00000000" w:rsidDel="00000000" w:rsidP="00000000" w:rsidRDefault="00000000" w:rsidRPr="00000000" w14:paraId="0000006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Latencia derivada (ms/cuadro)</w:t>
            </w:r>
          </w:p>
        </w:tc>
        <w:tc>
          <w:tcPr>
            <w:tcBorders>
              <w:top w:color="000000" w:space="0" w:sz="4" w:val="single"/>
              <w:left w:color="000000" w:space="0" w:sz="0" w:val="nil"/>
              <w:bottom w:color="000000" w:space="0" w:sz="4" w:val="single"/>
              <w:right w:color="000000" w:space="0" w:sz="0" w:val="nil"/>
            </w:tcBorders>
            <w:tcMar>
              <w:top w:w="40.0" w:type="dxa"/>
              <w:left w:w="80.0" w:type="dxa"/>
              <w:bottom w:w="40.0" w:type="dxa"/>
              <w:right w:w="80.0" w:type="dxa"/>
            </w:tcMar>
            <w:vAlign w:val="bottom"/>
          </w:tcPr>
          <w:p w:rsidR="00000000" w:rsidDel="00000000" w:rsidP="00000000" w:rsidRDefault="00000000" w:rsidRPr="00000000" w14:paraId="0000006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LVIS-minival AP@[0,50:0,95]</w:t>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6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YOLOE-v8-S</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6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T4</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6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TensorRT</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6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305,8</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6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 ms</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7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27,9</w:t>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7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YOLOE-v8-L</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7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T4</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7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TensorRT</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7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102,5</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7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9,8 ms</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7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35,9</w:t>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7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G-DINO 1.5 Edge</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7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A100</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7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TensorRT</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7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75,2</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7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13,3 ms</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7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36,2</w:t>
            </w:r>
          </w:p>
        </w:tc>
      </w:tr>
      <w:tr>
        <w:trPr>
          <w:cantSplit w:val="0"/>
          <w:tblHeader w:val="0"/>
        </w:trPr>
        <w:tc>
          <w:tcPr>
            <w:tcBorders>
              <w:top w:color="000000" w:space="0" w:sz="0" w:val="nil"/>
              <w:left w:color="000000" w:space="0" w:sz="0" w:val="nil"/>
              <w:bottom w:color="000000" w:space="0" w:sz="4" w:val="single"/>
              <w:right w:color="000000" w:space="0" w:sz="0" w:val="nil"/>
            </w:tcBorders>
            <w:tcMar>
              <w:top w:w="40.0" w:type="dxa"/>
              <w:left w:w="80.0" w:type="dxa"/>
              <w:bottom w:w="40.0" w:type="dxa"/>
              <w:right w:w="80.0" w:type="dxa"/>
            </w:tcMar>
          </w:tcPr>
          <w:p w:rsidR="00000000" w:rsidDel="00000000" w:rsidP="00000000" w:rsidRDefault="00000000" w:rsidRPr="00000000" w14:paraId="0000007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YOLO-World-L</w:t>
            </w:r>
          </w:p>
        </w:tc>
        <w:tc>
          <w:tcPr>
            <w:tcBorders>
              <w:top w:color="000000" w:space="0" w:sz="0" w:val="nil"/>
              <w:left w:color="000000" w:space="0" w:sz="0" w:val="nil"/>
              <w:bottom w:color="000000" w:space="0" w:sz="4" w:val="single"/>
              <w:right w:color="000000" w:space="0" w:sz="0" w:val="nil"/>
            </w:tcBorders>
            <w:tcMar>
              <w:top w:w="40.0" w:type="dxa"/>
              <w:left w:w="80.0" w:type="dxa"/>
              <w:bottom w:w="40.0" w:type="dxa"/>
              <w:right w:w="80.0" w:type="dxa"/>
            </w:tcMar>
          </w:tcPr>
          <w:p w:rsidR="00000000" w:rsidDel="00000000" w:rsidP="00000000" w:rsidRDefault="00000000" w:rsidRPr="00000000" w14:paraId="0000007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V100</w:t>
            </w:r>
          </w:p>
        </w:tc>
        <w:tc>
          <w:tcPr>
            <w:tcBorders>
              <w:top w:color="000000" w:space="0" w:sz="0" w:val="nil"/>
              <w:left w:color="000000" w:space="0" w:sz="0" w:val="nil"/>
              <w:bottom w:color="000000" w:space="0" w:sz="4" w:val="single"/>
              <w:right w:color="000000" w:space="0" w:sz="0" w:val="nil"/>
            </w:tcBorders>
            <w:tcMar>
              <w:top w:w="40.0" w:type="dxa"/>
              <w:left w:w="80.0" w:type="dxa"/>
              <w:bottom w:w="40.0" w:type="dxa"/>
              <w:right w:w="80.0" w:type="dxa"/>
            </w:tcMar>
          </w:tcPr>
          <w:p w:rsidR="00000000" w:rsidDel="00000000" w:rsidP="00000000" w:rsidRDefault="00000000" w:rsidRPr="00000000" w14:paraId="0000007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PyTorch</w:t>
            </w:r>
          </w:p>
        </w:tc>
        <w:tc>
          <w:tcPr>
            <w:tcBorders>
              <w:top w:color="000000" w:space="0" w:sz="0" w:val="nil"/>
              <w:left w:color="000000" w:space="0" w:sz="0" w:val="nil"/>
              <w:bottom w:color="000000" w:space="0" w:sz="4" w:val="single"/>
              <w:right w:color="000000" w:space="0" w:sz="0" w:val="nil"/>
            </w:tcBorders>
            <w:tcMar>
              <w:top w:w="40.0" w:type="dxa"/>
              <w:left w:w="80.0" w:type="dxa"/>
              <w:bottom w:w="40.0" w:type="dxa"/>
              <w:right w:w="80.0" w:type="dxa"/>
            </w:tcMar>
          </w:tcPr>
          <w:p w:rsidR="00000000" w:rsidDel="00000000" w:rsidP="00000000" w:rsidRDefault="00000000" w:rsidRPr="00000000" w14:paraId="0000008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52,0</w:t>
            </w:r>
          </w:p>
        </w:tc>
        <w:tc>
          <w:tcPr>
            <w:tcBorders>
              <w:top w:color="000000" w:space="0" w:sz="0" w:val="nil"/>
              <w:left w:color="000000" w:space="0" w:sz="0" w:val="nil"/>
              <w:bottom w:color="000000" w:space="0" w:sz="4" w:val="single"/>
              <w:right w:color="000000" w:space="0" w:sz="0" w:val="nil"/>
            </w:tcBorders>
            <w:tcMar>
              <w:top w:w="40.0" w:type="dxa"/>
              <w:left w:w="80.0" w:type="dxa"/>
              <w:bottom w:w="40.0" w:type="dxa"/>
              <w:right w:w="80.0" w:type="dxa"/>
            </w:tcMar>
          </w:tcPr>
          <w:p w:rsidR="00000000" w:rsidDel="00000000" w:rsidP="00000000" w:rsidRDefault="00000000" w:rsidRPr="00000000" w14:paraId="0000008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19,2 ms</w:t>
            </w:r>
          </w:p>
        </w:tc>
        <w:tc>
          <w:tcPr>
            <w:tcBorders>
              <w:top w:color="000000" w:space="0" w:sz="0" w:val="nil"/>
              <w:left w:color="000000" w:space="0" w:sz="0" w:val="nil"/>
              <w:bottom w:color="000000" w:space="0" w:sz="4" w:val="single"/>
              <w:right w:color="000000" w:space="0" w:sz="0" w:val="nil"/>
            </w:tcBorders>
            <w:tcMar>
              <w:top w:w="40.0" w:type="dxa"/>
              <w:left w:w="80.0" w:type="dxa"/>
              <w:bottom w:w="40.0" w:type="dxa"/>
              <w:right w:w="80.0" w:type="dxa"/>
            </w:tcMar>
          </w:tcPr>
          <w:p w:rsidR="00000000" w:rsidDel="00000000" w:rsidP="00000000" w:rsidRDefault="00000000" w:rsidRPr="00000000" w14:paraId="0000008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35,4</w:t>
            </w:r>
          </w:p>
        </w:tc>
      </w:tr>
    </w:tbl>
    <w:p w:rsidR="00000000" w:rsidDel="00000000" w:rsidP="00000000" w:rsidRDefault="00000000" w:rsidRPr="00000000" w14:paraId="0000008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Nota.</w:t>
      </w:r>
      <w:r w:rsidDel="00000000" w:rsidR="00000000" w:rsidRPr="00000000">
        <w:rPr>
          <w:rFonts w:ascii="Times New Roman" w:cs="Times New Roman" w:eastAsia="Times New Roman" w:hAnsi="Times New Roman"/>
          <w:sz w:val="24"/>
          <w:szCs w:val="24"/>
          <w:rtl w:val="0"/>
        </w:rPr>
        <w:t xml:space="preserve"> La columna «Latencia derivada» se calculó como 1000/FPS y expresa milisegundos por cuadro inferidos de la tasa publicada; no corresponde a una medición independiente de latencia. Los valores de FPS y AP provienen de trabajos originales con hardware, resolución, batch size y runtime no homogéneos. Por ello, la tabla muestra puntos de operación indicativos, no benchmarks normalizados ni latencia extremo a extremo. Fuente: elaboración propia basada en Wang et al. (2025), Ren, Jiang, et al. (2024) y Cheng et al. (2024).</w:t>
      </w:r>
    </w:p>
    <w:p w:rsidR="00000000" w:rsidDel="00000000" w:rsidP="00000000" w:rsidRDefault="00000000" w:rsidRPr="00000000" w14:paraId="00000084">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5">
      <w:pPr>
        <w:spacing w:line="480" w:lineRule="auto"/>
        <w:ind w:firstLine="720"/>
        <w:rPr>
          <w:rFonts w:ascii="Times New Roman" w:cs="Times New Roman" w:eastAsia="Times New Roman" w:hAnsi="Times New Roman"/>
          <w:sz w:val="24"/>
          <w:szCs w:val="24"/>
        </w:rPr>
        <w:sectPr>
          <w:type w:val="nextPage"/>
          <w:pgSz w:h="12240" w:w="15840" w:orient="landscape"/>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Los puntos de operación de la tabla describen rendimiento publicado sobre benchmarks generales y no constituyen una predicción del desempeño sobre condiciones de EPP en construcción. La brecha entre benchmark general y condición de dominio se desarrolla en la sección 15.2.5.4.</w:t>
      </w:r>
    </w:p>
    <w:p w:rsidR="00000000" w:rsidDel="00000000" w:rsidP="00000000" w:rsidRDefault="00000000" w:rsidRPr="00000000" w14:paraId="00000086">
      <w:pPr>
        <w:pStyle w:val="Heading3"/>
        <w:spacing w:after="0" w:before="0" w:line="480" w:lineRule="auto"/>
        <w:rPr>
          <w:rFonts w:ascii="Times New Roman" w:cs="Times New Roman" w:eastAsia="Times New Roman" w:hAnsi="Times New Roman"/>
          <w:b w:val="1"/>
          <w:bCs w:val="1"/>
          <w:i w:val="1"/>
          <w:iCs w:val="1"/>
          <w:color w:val="000000"/>
          <w:sz w:val="24"/>
          <w:szCs w:val="24"/>
        </w:rPr>
      </w:pPr>
      <w:bookmarkStart w:colFirst="0" w:colLast="0" w:name="_qwn2jza48y2k" w:id="21"/>
      <w:bookmarkEnd w:id="21"/>
      <w:r w:rsidDel="00000000" w:rsidR="00000000" w:rsidRPr="00000000">
        <w:rPr>
          <w:rFonts w:ascii="Times New Roman" w:cs="Times New Roman" w:eastAsia="Times New Roman" w:hAnsi="Times New Roman"/>
          <w:b w:val="1"/>
          <w:bCs w:val="1"/>
          <w:i w:val="1"/>
          <w:iCs w:val="1"/>
          <w:color w:val="000000"/>
          <w:sz w:val="24"/>
          <w:szCs w:val="24"/>
          <w:rtl w:val="0"/>
        </w:rPr>
        <w:t xml:space="preserve">15.2.4. Adaptabilidad mediante fine-tuning y preservación de capacidad open-vocabulary</w:t>
      </w:r>
    </w:p>
    <w:p w:rsidR="00000000" w:rsidDel="00000000" w:rsidP="00000000" w:rsidRDefault="00000000" w:rsidRPr="00000000" w14:paraId="0000008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ajuste de un modelo preentrenado introduce un compromiso entre especialización de dominio y preservación de las representaciones adquiridas. La literatura muestra que actualizar todos los parámetros puede mejorar el desempeño in-domain y, al mismo tiempo, deteriorar la generalización fuera de distribución frente a estrategias que congelan la mayor parte del modelo; este fenómeno se vincula con el olvido catastrófico (catastrophic forgetting) y exige medir la retención de forma explícita (Kirkpatrick et al., 2017; Kumar et al., 2022). Cuando la evidencia del dominio es limitada, la cantidad y ubicación de los parámetros actualizados también importan: el ajuste selectivo de capas puede preservar mejor información preentrenada que el ajuste completo (Lee et al., 2023).</w:t>
      </w:r>
    </w:p>
    <w:p w:rsidR="00000000" w:rsidDel="00000000" w:rsidP="00000000" w:rsidRDefault="00000000" w:rsidRPr="00000000" w14:paraId="0000008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Grounding DINO se documentan fine-tuning closed-set, preentrenamiento continuado open-set y ajuste open-vocabulary; MM-Grounding-DINO muestra que la retención depende de mantener supervisión y evaluación sobre categorías no vistas (X. Zhao et al., 2024). La adaptación con LoRA constituye una variante de actualización acotada en la que se conservan congelados los backbones y se entrenan adaptadores de bajo rango (Rasaee et al., 2025). Como referencia de especialización, Grounding DINO con Swin-L reporta 62,6 AP en COCO val y 63,0 AP en test-dev tras fine-tuning closed-set, frente a 52,5 AP en su evaluación zero-shot; los regímenes no son equivalentes y no deben confundirse (Liu et al., 2024).</w:t>
      </w:r>
    </w:p>
    <w:p w:rsidR="00000000" w:rsidDel="00000000" w:rsidP="00000000" w:rsidRDefault="00000000" w:rsidRPr="00000000" w14:paraId="0000008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YOLO-World, la documentación distingue el ajuste con MixedGroundingDataset, que conserva textos y tareas de grounding, del ajuste closed-set con MultiModalDataset y vocabulario fijo. La variante reparametrizada elimina RepVL-PAN y el encoder textual, con lo cual prioriza eficiencia a costa de cerrar el vocabulario. El ajuste del encoder textual puede degradar la generalización, mientras que congelarlo o conservar supervisión abierta reduce ese riesgo (AILab-CVC, 2024; Cheng et al., 2024).</w:t>
      </w:r>
    </w:p>
    <w:p w:rsidR="00000000" w:rsidDel="00000000" w:rsidP="00000000" w:rsidRDefault="00000000" w:rsidRPr="00000000" w14:paraId="0000008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YOLOE ofrece linear probing y full tuning para transferencia a un dominio. La receta estándar produce un modelo de vocabulario fijo después del ajuste; los autores no reportan una métrica de retención open-vocabulary para ese camino. Evaluarla exige reinyectar vocabulario abierto y aplicar un protocolo explícito, de modo que especialización in-domain y capacidad abierta permanezcan como dimensiones separadas (Wang et al., 2025).</w:t>
      </w:r>
    </w:p>
    <w:p w:rsidR="00000000" w:rsidDel="00000000" w:rsidP="00000000" w:rsidRDefault="00000000" w:rsidRPr="00000000" w14:paraId="0000008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los dual-encoders, OWLv2 aporta la receta OWL-ST de autoentrenamiento con pseudoanotaciones; el uso de un vocabulario diverso derivado de n-gramas preserva mejor la generalización que un espacio de etiquetas estrecho (Minderer et al., 2023). En Florence-2, el ajuste mediante LoRA modifica una fracción acotada de parámetros, aunque la retención de clases base se informa como parcial y dependiente de la configuración (Ucar et al., 2025; Xiao et al., 2024).</w:t>
      </w:r>
    </w:p>
    <w:p w:rsidR="00000000" w:rsidDel="00000000" w:rsidP="00000000" w:rsidRDefault="00000000" w:rsidRPr="00000000" w14:paraId="0000008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síntesis, no existe una jerarquía universal de familias frente al fine-tuning. La comparación defendible se realiza por receta concreta, distinguiendo parámetros actualizados, datos de adaptación y evaluación posterior de generalización. La Tabla 4 resume las estrategias documentadas y sus condiciones de retención.</w:t>
      </w:r>
    </w:p>
    <w:p w:rsidR="00000000" w:rsidDel="00000000" w:rsidP="00000000" w:rsidRDefault="00000000" w:rsidRPr="00000000" w14:paraId="0000008D">
      <w:pPr>
        <w:spacing w:line="480" w:lineRule="auto"/>
        <w:ind w:firstLine="720"/>
        <w:rPr>
          <w:rFonts w:ascii="Times New Roman" w:cs="Times New Roman" w:eastAsia="Times New Roman" w:hAnsi="Times New Roman"/>
          <w:sz w:val="24"/>
          <w:szCs w:val="24"/>
        </w:rPr>
        <w:sectPr>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8E">
      <w:pPr>
        <w:spacing w:line="360" w:lineRule="auto"/>
        <w:rPr>
          <w:rFonts w:ascii="Times New Roman" w:cs="Times New Roman" w:eastAsia="Times New Roman" w:hAnsi="Times New Roman"/>
          <w:b w:val="1"/>
          <w:bCs w:val="1"/>
          <w:sz w:val="24"/>
          <w:szCs w:val="24"/>
        </w:rPr>
      </w:pPr>
      <w:bookmarkStart w:colFirst="0" w:colLast="0" w:name="_oi4qn28qt04v" w:id="22"/>
      <w:bookmarkEnd w:id="22"/>
      <w:r w:rsidDel="00000000" w:rsidR="00000000" w:rsidRPr="00000000">
        <w:rPr>
          <w:rFonts w:ascii="Times New Roman" w:cs="Times New Roman" w:eastAsia="Times New Roman" w:hAnsi="Times New Roman"/>
          <w:b w:val="1"/>
          <w:bCs w:val="1"/>
          <w:i w:val="1"/>
          <w:iCs w:val="1"/>
          <w:sz w:val="24"/>
          <w:szCs w:val="24"/>
          <w:rtl w:val="0"/>
        </w:rPr>
        <w:t xml:space="preserve">Tabla 4</w:t>
      </w:r>
      <w:r w:rsidDel="00000000" w:rsidR="00000000" w:rsidRPr="00000000">
        <w:rPr>
          <w:rtl w:val="0"/>
        </w:rPr>
      </w:r>
    </w:p>
    <w:p w:rsidR="00000000" w:rsidDel="00000000" w:rsidP="00000000" w:rsidRDefault="00000000" w:rsidRPr="00000000" w14:paraId="0000008F">
      <w:pPr>
        <w:spacing w:line="48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Estrategias de fine-tuning documentadas y retención OVD reportada por familia arquitectónica</w:t>
      </w:r>
    </w:p>
    <w:tbl>
      <w:tblPr>
        <w:tblStyle w:val="Table3"/>
        <w:tblW w:w="104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3080"/>
        <w:gridCol w:w="1640"/>
        <w:gridCol w:w="3260"/>
        <w:tblGridChange w:id="0">
          <w:tblGrid>
            <w:gridCol w:w="2500"/>
            <w:gridCol w:w="3080"/>
            <w:gridCol w:w="1640"/>
            <w:gridCol w:w="3260"/>
          </w:tblGrid>
        </w:tblGridChange>
      </w:tblGrid>
      <w:tr>
        <w:trPr>
          <w:cantSplit w:val="0"/>
          <w:tblHeader w:val="0"/>
        </w:trPr>
        <w:tc>
          <w:tcPr>
            <w:tcBorders>
              <w:top w:color="000000" w:space="0" w:sz="12" w:val="single"/>
              <w:left w:color="000000" w:space="0" w:sz="0" w:val="nil"/>
              <w:bottom w:color="000000" w:space="0" w:sz="6" w:val="single"/>
              <w:right w:color="000000" w:space="0" w:sz="0" w:val="nil"/>
            </w:tcBorders>
            <w:tcMar>
              <w:top w:w="60.0" w:type="dxa"/>
              <w:left w:w="100.0" w:type="dxa"/>
              <w:bottom w:w="60.0" w:type="dxa"/>
              <w:right w:w="100.0" w:type="dxa"/>
            </w:tcMar>
          </w:tcPr>
          <w:p w:rsidR="00000000" w:rsidDel="00000000" w:rsidP="00000000" w:rsidRDefault="00000000" w:rsidRPr="00000000" w14:paraId="0000009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Familia / Modelo</w:t>
            </w:r>
          </w:p>
        </w:tc>
        <w:tc>
          <w:tcPr>
            <w:tcBorders>
              <w:top w:color="000000" w:space="0" w:sz="12" w:val="single"/>
              <w:left w:color="000000" w:space="0" w:sz="0" w:val="nil"/>
              <w:bottom w:color="000000" w:space="0" w:sz="6" w:val="single"/>
              <w:right w:color="000000" w:space="0" w:sz="0" w:val="nil"/>
            </w:tcBorders>
            <w:tcMar>
              <w:top w:w="60.0" w:type="dxa"/>
              <w:left w:w="100.0" w:type="dxa"/>
              <w:bottom w:w="60.0" w:type="dxa"/>
              <w:right w:w="100.0" w:type="dxa"/>
            </w:tcMar>
          </w:tcPr>
          <w:p w:rsidR="00000000" w:rsidDel="00000000" w:rsidP="00000000" w:rsidRDefault="00000000" w:rsidRPr="00000000" w14:paraId="0000009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Estrategia de fine-tuning</w:t>
            </w:r>
          </w:p>
        </w:tc>
        <w:tc>
          <w:tcPr>
            <w:tcBorders>
              <w:top w:color="000000" w:space="0" w:sz="12" w:val="single"/>
              <w:left w:color="000000" w:space="0" w:sz="0" w:val="nil"/>
              <w:bottom w:color="000000" w:space="0" w:sz="6" w:val="single"/>
              <w:right w:color="000000" w:space="0" w:sz="0" w:val="nil"/>
            </w:tcBorders>
            <w:tcMar>
              <w:top w:w="60.0" w:type="dxa"/>
              <w:left w:w="100.0" w:type="dxa"/>
              <w:bottom w:w="60.0" w:type="dxa"/>
              <w:right w:w="100.0" w:type="dxa"/>
            </w:tcMar>
          </w:tcPr>
          <w:p w:rsidR="00000000" w:rsidDel="00000000" w:rsidP="00000000" w:rsidRDefault="00000000" w:rsidRPr="00000000" w14:paraId="0000009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Retención OVD reportada </w:t>
            </w:r>
          </w:p>
        </w:tc>
        <w:tc>
          <w:tcPr>
            <w:tcBorders>
              <w:top w:color="000000" w:space="0" w:sz="12" w:val="single"/>
              <w:left w:color="000000" w:space="0" w:sz="0" w:val="nil"/>
              <w:bottom w:color="000000" w:space="0" w:sz="6" w:val="single"/>
              <w:right w:color="000000" w:space="0" w:sz="0" w:val="nil"/>
            </w:tcBorders>
            <w:tcMar>
              <w:top w:w="60.0" w:type="dxa"/>
              <w:left w:w="100.0" w:type="dxa"/>
              <w:bottom w:w="60.0" w:type="dxa"/>
              <w:right w:w="100.0" w:type="dxa"/>
            </w:tcMar>
          </w:tcPr>
          <w:p w:rsidR="00000000" w:rsidDel="00000000" w:rsidP="00000000" w:rsidRDefault="00000000" w:rsidRPr="00000000" w14:paraId="0000009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Condición clave</w:t>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9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Grounding DINO</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9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Fine-tuning closed-set</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9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9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Vocabulario restringido post-ajuste</w:t>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9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Grounding DINO</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9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Preentrenamiento continuado open-set</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9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Sí</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9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LR reducido; módulos congelados; datos mixtos</w:t>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9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Grounding DINO</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9D">
            <w:pPr>
              <w:spacing w:line="48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Fine-tuning open-vocabulary (base a novel)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9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Sí</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9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Evaluación explícita en categorías no vistas</w:t>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A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Grounding DINO</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A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Adaptación LoRA</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A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Sí</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A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Backbones congelados; solo adapters entrenables</w:t>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A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YOLO-World</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A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Fine-tuning con MixedGroundingDataset</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A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Parcial</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A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Depende de capas ajustadas; text encoder frágil</w:t>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A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YOLO-World</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A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Fine-tuning closed-set (MultiModalDataset)</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A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A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Vocabulario fijo en JSON</w:t>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A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YOLO-World</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A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Reparametrización eficiente (sin RepVL-PAN)</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A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A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 encoder removido; equivale a YOLOv8</w:t>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B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YOLOE</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B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Transferring (linear probing / full tuning)</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B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evaluada por los autores</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B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receta estándar produce vocabulario fijo; la retención requiere reinyectar y evaluar vocabulario abierto</w:t>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B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OWL-ViT / OWLv2</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B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Fine-tuning end-to-end con regularización</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B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Parcial</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B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Requiere estrategias de regularización</w:t>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B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OWL-ViT / OWLv2</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B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Self-training (OWL-ST) con pseudo-anotaciones</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B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Sí</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B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Vocabulario diverso (n-gramas) preserva OVD</w:t>
            </w:r>
          </w:p>
        </w:tc>
      </w:tr>
      <w:tr>
        <w:trPr>
          <w:cantSplit w:val="0"/>
          <w:tblHeader w:val="0"/>
        </w:trPr>
        <w:tc>
          <w:tcPr>
            <w:tcBorders>
              <w:top w:color="000000" w:space="0" w:sz="0" w:val="nil"/>
              <w:left w:color="000000" w:space="0" w:sz="0" w:val="nil"/>
              <w:bottom w:color="000000" w:space="0" w:sz="12" w:val="single"/>
              <w:right w:color="000000" w:space="0" w:sz="0" w:val="nil"/>
            </w:tcBorders>
            <w:tcMar>
              <w:top w:w="60.0" w:type="dxa"/>
              <w:left w:w="100.0" w:type="dxa"/>
              <w:bottom w:w="60.0" w:type="dxa"/>
              <w:right w:w="100.0" w:type="dxa"/>
            </w:tcMar>
          </w:tcPr>
          <w:p w:rsidR="00000000" w:rsidDel="00000000" w:rsidP="00000000" w:rsidRDefault="00000000" w:rsidRPr="00000000" w14:paraId="000000B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Florence-2</w:t>
            </w:r>
          </w:p>
        </w:tc>
        <w:tc>
          <w:tcPr>
            <w:tcBorders>
              <w:top w:color="000000" w:space="0" w:sz="0" w:val="nil"/>
              <w:left w:color="000000" w:space="0" w:sz="0" w:val="nil"/>
              <w:bottom w:color="000000" w:space="0" w:sz="12" w:val="single"/>
              <w:right w:color="000000" w:space="0" w:sz="0" w:val="nil"/>
            </w:tcBorders>
            <w:tcMar>
              <w:top w:w="60.0" w:type="dxa"/>
              <w:left w:w="100.0" w:type="dxa"/>
              <w:bottom w:w="60.0" w:type="dxa"/>
              <w:right w:w="100.0" w:type="dxa"/>
            </w:tcMar>
          </w:tcPr>
          <w:p w:rsidR="00000000" w:rsidDel="00000000" w:rsidP="00000000" w:rsidRDefault="00000000" w:rsidRPr="00000000" w14:paraId="000000B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Fine-tuning con LoRA</w:t>
            </w:r>
          </w:p>
        </w:tc>
        <w:tc>
          <w:tcPr>
            <w:tcBorders>
              <w:top w:color="000000" w:space="0" w:sz="0" w:val="nil"/>
              <w:left w:color="000000" w:space="0" w:sz="0" w:val="nil"/>
              <w:bottom w:color="000000" w:space="0" w:sz="12" w:val="single"/>
              <w:right w:color="000000" w:space="0" w:sz="0" w:val="nil"/>
            </w:tcBorders>
            <w:tcMar>
              <w:top w:w="60.0" w:type="dxa"/>
              <w:left w:w="100.0" w:type="dxa"/>
              <w:bottom w:w="60.0" w:type="dxa"/>
              <w:right w:w="100.0" w:type="dxa"/>
            </w:tcMar>
          </w:tcPr>
          <w:p w:rsidR="00000000" w:rsidDel="00000000" w:rsidP="00000000" w:rsidRDefault="00000000" w:rsidRPr="00000000" w14:paraId="000000B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Parcial</w:t>
            </w:r>
          </w:p>
        </w:tc>
        <w:tc>
          <w:tcPr>
            <w:tcBorders>
              <w:top w:color="000000" w:space="0" w:sz="0" w:val="nil"/>
              <w:left w:color="000000" w:space="0" w:sz="0" w:val="nil"/>
              <w:bottom w:color="000000" w:space="0" w:sz="12" w:val="single"/>
              <w:right w:color="000000" w:space="0" w:sz="0" w:val="nil"/>
            </w:tcBorders>
            <w:tcMar>
              <w:top w:w="60.0" w:type="dxa"/>
              <w:left w:w="100.0" w:type="dxa"/>
              <w:bottom w:w="60.0" w:type="dxa"/>
              <w:right w:w="100.0" w:type="dxa"/>
            </w:tcMar>
          </w:tcPr>
          <w:p w:rsidR="00000000" w:rsidDel="00000000" w:rsidP="00000000" w:rsidRDefault="00000000" w:rsidRPr="00000000" w14:paraId="000000B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Retención parcial de clases base; encoder congelado recomendado</w:t>
            </w:r>
          </w:p>
        </w:tc>
      </w:tr>
    </w:tbl>
    <w:p w:rsidR="00000000" w:rsidDel="00000000" w:rsidP="00000000" w:rsidRDefault="00000000" w:rsidRPr="00000000" w14:paraId="000000C0">
      <w:pPr>
        <w:spacing w:line="480" w:lineRule="auto"/>
        <w:rPr>
          <w:rFonts w:ascii="Times New Roman" w:cs="Times New Roman" w:eastAsia="Times New Roman" w:hAnsi="Times New Roman"/>
          <w:sz w:val="24"/>
          <w:szCs w:val="24"/>
        </w:rPr>
        <w:sectPr>
          <w:type w:val="nextPage"/>
          <w:pgSz w:h="12240" w:w="15840" w:orient="landscape"/>
          <w:pgMar w:bottom="1440" w:top="1440" w:left="1440" w:right="1440" w:header="720" w:footer="720"/>
        </w:sectPr>
      </w:pPr>
      <w:r w:rsidDel="00000000" w:rsidR="00000000" w:rsidRPr="00000000">
        <w:rPr>
          <w:rFonts w:ascii="Times New Roman" w:cs="Times New Roman" w:eastAsia="Times New Roman" w:hAnsi="Times New Roman"/>
          <w:b w:val="1"/>
          <w:bCs w:val="1"/>
          <w:sz w:val="24"/>
          <w:szCs w:val="24"/>
          <w:rtl w:val="0"/>
        </w:rPr>
        <w:t xml:space="preserve">Nota</w:t>
      </w:r>
      <w:r w:rsidDel="00000000" w:rsidR="00000000" w:rsidRPr="00000000">
        <w:rPr>
          <w:rFonts w:ascii="Times New Roman" w:cs="Times New Roman" w:eastAsia="Times New Roman" w:hAnsi="Times New Roman"/>
          <w:sz w:val="24"/>
          <w:szCs w:val="24"/>
          <w:rtl w:val="0"/>
        </w:rPr>
        <w:t xml:space="preserve">. “Retención OVD reportada” resume el comportamiento informado para la receta y el protocolo indicados; no constituye una propiedad universal de la familia arquitectónica. “Parcial” indica una retención dependiente de la configuración específica —capas congeladas, tasa de aprendizaje, datos de entrenamiento y evaluación sobre categorías no vistas—. Fuente: elaboración propia basada en AILab-CVC (2024), Cheng et al. (2024), Liu et al. (2024), Minderer et al. (2022, 2023), Rasaee et al. (2025), Ucar et al. (2025), Wang et al. (2025), Xiao et al. (2024) y X. Zhao et al. (2024).</w:t>
      </w:r>
    </w:p>
    <w:p w:rsidR="00000000" w:rsidDel="00000000" w:rsidP="00000000" w:rsidRDefault="00000000" w:rsidRPr="00000000" w14:paraId="000000C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evidencia sintetizada en la Tabla 4 permite identificar tres factores recurrentes: qué parámetros se ajustan o congelan, la amplitud y diversidad del vocabulario utilizado durante el entrenamiento, y la existencia de una evaluación explícita sobre categorías no vistas. Estos factores interactúan con la arquitectura, pero los trabajos revisados no aíslan sus efectos mediante un protocolo común. Por ello, no corresponde afirmar que una familia tolere mejor el ajuste completo; corresponde describir qué receta retuvo capacidad OVD, bajo qué datos y con qué protocolo de evaluación.</w:t>
      </w:r>
    </w:p>
    <w:p w:rsidR="00000000" w:rsidDel="00000000" w:rsidP="00000000" w:rsidRDefault="00000000" w:rsidRPr="00000000" w14:paraId="000000C2">
      <w:pPr>
        <w:pStyle w:val="Heading3"/>
        <w:spacing w:after="0" w:before="0" w:line="480" w:lineRule="auto"/>
        <w:rPr>
          <w:rFonts w:ascii="Times New Roman" w:cs="Times New Roman" w:eastAsia="Times New Roman" w:hAnsi="Times New Roman"/>
          <w:b w:val="1"/>
          <w:bCs w:val="1"/>
          <w:i w:val="1"/>
          <w:iCs w:val="1"/>
          <w:color w:val="000000"/>
          <w:sz w:val="24"/>
          <w:szCs w:val="24"/>
        </w:rPr>
      </w:pPr>
      <w:bookmarkStart w:colFirst="0" w:colLast="0" w:name="_p1uewua4p6r7" w:id="23"/>
      <w:bookmarkEnd w:id="23"/>
      <w:r w:rsidDel="00000000" w:rsidR="00000000" w:rsidRPr="00000000">
        <w:rPr>
          <w:rFonts w:ascii="Times New Roman" w:cs="Times New Roman" w:eastAsia="Times New Roman" w:hAnsi="Times New Roman"/>
          <w:b w:val="1"/>
          <w:bCs w:val="1"/>
          <w:i w:val="1"/>
          <w:iCs w:val="1"/>
          <w:color w:val="000000"/>
          <w:sz w:val="24"/>
          <w:szCs w:val="24"/>
          <w:rtl w:val="0"/>
        </w:rPr>
        <w:t xml:space="preserve">15.2.5. Brechas identificadas en el dominio de la construcción civil</w:t>
      </w:r>
    </w:p>
    <w:p w:rsidR="00000000" w:rsidDel="00000000" w:rsidP="00000000" w:rsidRDefault="00000000" w:rsidRPr="00000000" w14:paraId="000000C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partir de la revisión y síntesis de los enfoques presentados, se pone de manifiesto un conjunto de limitaciones estructurales que no quedan plenamente resueltas por los modelos actuales de detección </w:t>
      </w:r>
      <w:r w:rsidDel="00000000" w:rsidR="00000000" w:rsidRPr="00000000">
        <w:rPr>
          <w:rFonts w:ascii="Times New Roman" w:cs="Times New Roman" w:eastAsia="Times New Roman" w:hAnsi="Times New Roman"/>
          <w:i w:val="1"/>
          <w:iCs w:val="1"/>
          <w:sz w:val="24"/>
          <w:szCs w:val="24"/>
          <w:rtl w:val="0"/>
        </w:rPr>
        <w:t xml:space="preserve">open-vocabulary</w:t>
      </w:r>
      <w:r w:rsidDel="00000000" w:rsidR="00000000" w:rsidRPr="00000000">
        <w:rPr>
          <w:rFonts w:ascii="Times New Roman" w:cs="Times New Roman" w:eastAsia="Times New Roman" w:hAnsi="Times New Roman"/>
          <w:sz w:val="24"/>
          <w:szCs w:val="24"/>
          <w:rtl w:val="0"/>
        </w:rPr>
        <w:t xml:space="preserve">. Estas brechas delinean líneas de trabajo relevantes para etapas posteriores del proyecto y permiten anticipar desafíos técnicos que deberán abordarse durante el diseño arquitectónico y la implementación del prototipo.</w:t>
      </w:r>
    </w:p>
    <w:p w:rsidR="00000000" w:rsidDel="00000000" w:rsidP="00000000" w:rsidRDefault="00000000" w:rsidRPr="00000000" w14:paraId="000000C4">
      <w:pPr>
        <w:pStyle w:val="Heading4"/>
        <w:spacing w:after="0" w:before="0" w:line="480" w:lineRule="auto"/>
        <w:rPr>
          <w:rFonts w:ascii="Times New Roman" w:cs="Times New Roman" w:eastAsia="Times New Roman" w:hAnsi="Times New Roman"/>
          <w:b w:val="1"/>
          <w:bCs w:val="1"/>
          <w:color w:val="000000"/>
        </w:rPr>
      </w:pPr>
      <w:bookmarkStart w:colFirst="0" w:colLast="0" w:name="_p6rbdn4kh86p" w:id="24"/>
      <w:bookmarkEnd w:id="24"/>
      <w:r w:rsidDel="00000000" w:rsidR="00000000" w:rsidRPr="00000000">
        <w:rPr>
          <w:rFonts w:ascii="Times New Roman" w:cs="Times New Roman" w:eastAsia="Times New Roman" w:hAnsi="Times New Roman"/>
          <w:b w:val="1"/>
          <w:bCs w:val="1"/>
          <w:color w:val="000000"/>
          <w:rtl w:val="0"/>
        </w:rPr>
        <w:t xml:space="preserve">15.2.5.1. Contextualización semántica limitada</w:t>
      </w:r>
    </w:p>
    <w:p w:rsidR="00000000" w:rsidDel="00000000" w:rsidP="00000000" w:rsidRDefault="00000000" w:rsidRPr="00000000" w14:paraId="000000C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mayoría de los detectores OVD actuales resuelven la detección como una combinación de localización espacial y compatibilidad textual evaluada de manera independiente para cada región candidata (Zareian et al., 2021; Liu et al., 2024). Este enfoque, aunque efectivo para identificar objetos individuales, no garantiza consistencia contextual entre múltiples entidades detectadas ni permite razonar sobre relaciones espaciales o semánticas entre ellas.</w:t>
      </w:r>
    </w:p>
    <w:p w:rsidR="00000000" w:rsidDel="00000000" w:rsidP="00000000" w:rsidRDefault="00000000" w:rsidRPr="00000000" w14:paraId="000000C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entornos industriales y de construcción, muchos conceptos relevantes para la seguridad son inherentemente composicionales y dependen del contexto espacial. Condiciones como "persona sin casco cerca de excavación", "operario en zona de tránsito vehicular" o "escalera bloqueando salida de emergencia" requieren no solo detectar cada elemento de manera aislada, sino también evaluar sus relaciones geométricas y semánticas. Los modelos OVD actuales carecen de mecanismos nativos para este tipo de razonamiento relacional, lo que sugiere la necesidad de incorporar módulos adicionales de inferencia contextual o reglas de negocio que operen sobre las detecciones primarias.</w:t>
      </w:r>
    </w:p>
    <w:p w:rsidR="00000000" w:rsidDel="00000000" w:rsidP="00000000" w:rsidRDefault="00000000" w:rsidRPr="00000000" w14:paraId="000000C7">
      <w:pPr>
        <w:pStyle w:val="Heading4"/>
        <w:spacing w:after="0" w:before="0" w:line="480" w:lineRule="auto"/>
        <w:rPr>
          <w:rFonts w:ascii="Times New Roman" w:cs="Times New Roman" w:eastAsia="Times New Roman" w:hAnsi="Times New Roman"/>
          <w:b w:val="1"/>
          <w:bCs w:val="1"/>
          <w:color w:val="000000"/>
        </w:rPr>
      </w:pPr>
      <w:bookmarkStart w:colFirst="0" w:colLast="0" w:name="_6efruyngm01r" w:id="25"/>
      <w:bookmarkEnd w:id="25"/>
      <w:r w:rsidDel="00000000" w:rsidR="00000000" w:rsidRPr="00000000">
        <w:rPr>
          <w:rFonts w:ascii="Times New Roman" w:cs="Times New Roman" w:eastAsia="Times New Roman" w:hAnsi="Times New Roman"/>
          <w:b w:val="1"/>
          <w:bCs w:val="1"/>
          <w:color w:val="000000"/>
          <w:rtl w:val="0"/>
        </w:rPr>
        <w:t xml:space="preserve">15.2.5.2. Ausencia de consistencia temporal nativa</w:t>
      </w:r>
    </w:p>
    <w:p w:rsidR="00000000" w:rsidDel="00000000" w:rsidP="00000000" w:rsidRDefault="00000000" w:rsidRPr="00000000" w14:paraId="000000C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modelos de detección open-vocabulary operan predominantemente sobre imágenes estáticas, procesando cada fotograma de manera independiente sin mantener memoria de estados previos ni modelar explícitamente la evolución temporal de las detecciones. Esta característica introduce variabilidad frame-to-frame que puede manifestarse como fluctuaciones en los puntajes de confianza, apariciones y desapariciones espurias de detecciones, e inconsistencias en la asignación de etiquetas entre cuadros consecutivos.</w:t>
      </w:r>
    </w:p>
    <w:p w:rsidR="00000000" w:rsidDel="00000000" w:rsidP="00000000" w:rsidRDefault="00000000" w:rsidRPr="00000000" w14:paraId="000000C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aplicaciones de vídeo, particularmente aquellas orientadas a monitoreo continuo, esta variabilidad temporal resulta problemática. Los enfoques generativos, como Florence-2, tienden a exhibir mayor inestabilidad debido a la naturaleza autoregresiva de su decodificación (Xiao et al., 2024). La literatura reciente sugiere que la integración con módulos de seguimiento multi-objeto (MOT) constituye una estrategia efectiva para mitigar este problema, permitiendo que el tracker aporte coherencia temporal a las detecciones semánticamente ricas del OVD (Li et al., 2023). No obstante, esta integración introduce complejidad arquitectónica adicional y requiere considerar la compatibilidad entre el detector y el método de tracking seleccionado.</w:t>
      </w:r>
    </w:p>
    <w:p w:rsidR="00000000" w:rsidDel="00000000" w:rsidP="00000000" w:rsidRDefault="00000000" w:rsidRPr="00000000" w14:paraId="000000CA">
      <w:pPr>
        <w:pStyle w:val="Heading4"/>
        <w:spacing w:after="0" w:before="0" w:line="480" w:lineRule="auto"/>
        <w:rPr>
          <w:rFonts w:ascii="Times New Roman" w:cs="Times New Roman" w:eastAsia="Times New Roman" w:hAnsi="Times New Roman"/>
          <w:b w:val="1"/>
          <w:bCs w:val="1"/>
          <w:color w:val="000000"/>
        </w:rPr>
      </w:pPr>
      <w:bookmarkStart w:colFirst="0" w:colLast="0" w:name="_ceiwnf8zw2lc" w:id="26"/>
      <w:bookmarkEnd w:id="26"/>
      <w:r w:rsidDel="00000000" w:rsidR="00000000" w:rsidRPr="00000000">
        <w:rPr>
          <w:rFonts w:ascii="Times New Roman" w:cs="Times New Roman" w:eastAsia="Times New Roman" w:hAnsi="Times New Roman"/>
          <w:b w:val="1"/>
          <w:bCs w:val="1"/>
          <w:color w:val="000000"/>
          <w:rtl w:val="0"/>
        </w:rPr>
        <w:t xml:space="preserve">15.2.5.3. Sensibilidad a la formulación del prompt</w:t>
      </w:r>
    </w:p>
    <w:p w:rsidR="00000000" w:rsidDel="00000000" w:rsidP="00000000" w:rsidRDefault="00000000" w:rsidRPr="00000000" w14:paraId="000000C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flexibilidad semántica que caracteriza a la detección open-vocabulary introduce una dependencia significativa respecto de la formulación exacta de las consultas textuales. Investigaciones en modelos visión-lenguaje han demostrado que pequeños cambios en la redacción de las consultas pueden producir diferencias significativas en el desempeño, incluso cuando diferentes formulaciones refieren al mismo concepto subyacente (Zhou et al., 2022b). Esta sensibilidad tiene implicancias directas para la usabilidad del sistema: usuarios con diferentes niveles de experiencia o distintas convenciones lingüísticas pueden obtener resultados heterogéneos ante objetivos de detección equivalentes.</w:t>
      </w:r>
    </w:p>
    <w:p w:rsidR="00000000" w:rsidDel="00000000" w:rsidP="00000000" w:rsidRDefault="00000000" w:rsidRPr="00000000" w14:paraId="000000C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observación motivó el desarrollo de técnicas de prompt learning, donde los tokens de contexto se reemplazan por vectores aprendibles que se optimizan con datos etiquetados del dominio objetivo (Zhou et al., 2022b; Khattak et al., 2023). Sin embargo, las estrategias desarrolladas para clasificación de imágenes no se transfieren directamente al contexto de detección. Se demostró que la optimización automática de representaciones de prompts —específicamente diseñada para tareas de detección— supera consistentemente a los prompts elaborados mediante ingeniería manual, evidenciando la necesidad de enfoques especializados para el dominio OVD (Du et al., 2022). Adicionalmente, algunos modelos recientes abordan parcialmente esta limitación mediante el soporte de prompts visuales que permiten anclar la detección a ejemplos concretos en lugar de depender exclusivamente de descripciones textuales (Jiang et al., 2024).</w:t>
      </w:r>
    </w:p>
    <w:p w:rsidR="00000000" w:rsidDel="00000000" w:rsidP="00000000" w:rsidRDefault="00000000" w:rsidRPr="00000000" w14:paraId="000000CD">
      <w:pPr>
        <w:pStyle w:val="Heading4"/>
        <w:spacing w:after="0" w:before="0" w:line="480" w:lineRule="auto"/>
        <w:rPr>
          <w:rFonts w:ascii="Times New Roman" w:cs="Times New Roman" w:eastAsia="Times New Roman" w:hAnsi="Times New Roman"/>
          <w:b w:val="1"/>
          <w:bCs w:val="1"/>
          <w:color w:val="000000"/>
        </w:rPr>
      </w:pPr>
      <w:bookmarkStart w:colFirst="0" w:colLast="0" w:name="_vfylzhk3p9sy" w:id="27"/>
      <w:bookmarkEnd w:id="27"/>
      <w:r w:rsidDel="00000000" w:rsidR="00000000" w:rsidRPr="00000000">
        <w:rPr>
          <w:rFonts w:ascii="Times New Roman" w:cs="Times New Roman" w:eastAsia="Times New Roman" w:hAnsi="Times New Roman"/>
          <w:b w:val="1"/>
          <w:bCs w:val="1"/>
          <w:color w:val="000000"/>
          <w:rtl w:val="0"/>
        </w:rPr>
        <w:t xml:space="preserve">15.2.5.4. Sensibilidad al dominio de aplicación</w:t>
      </w:r>
    </w:p>
    <w:p w:rsidR="00000000" w:rsidDel="00000000" w:rsidP="00000000" w:rsidRDefault="00000000" w:rsidRPr="00000000" w14:paraId="000000C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benchmarks estándar utilizados para evaluar modelos OVD —como MS COCO con 80 categorías de objetos cotidianos (Lin et al., 2014) o LVIS con más de 1200 categorías de distribución long-tail (Gupta et al., 2019)— no representan plenamente las condiciones visuales y semánticas de entornos industriales especializados. En el contexto específico de obras de construcción, factores como iluminación extrema, oclusiones frecuentes por maquinaria y estructuras, indumentaria especializada de protección, y presencia de equipamiento industrial introducen distribuciones visuales que difieren significativamente de los datos de preentrenamiento.</w:t>
      </w:r>
    </w:p>
    <w:p w:rsidR="00000000" w:rsidDel="00000000" w:rsidP="00000000" w:rsidRDefault="00000000" w:rsidRPr="00000000" w14:paraId="000000C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resultados publicados en benchmarks generales no predicen por sí mismos el desempeño sobre una condición de dominio específica. Grounding DINO con backbone Swin-L pasa de 52,5 AP en COCO a 26,1 mean AP sobre los 35 conjuntos de ODinW. En consecuencia, la transferencia al dominio de construcción debe verificarse mediante una línea base zero-shot propia y un conjunto de prueba congelado, sin asumir equivalencia entre COCO o LVIS y la condición objetivo (Liu et al., 2024).</w:t>
      </w:r>
    </w:p>
    <w:p w:rsidR="00000000" w:rsidDel="00000000" w:rsidP="00000000" w:rsidRDefault="00000000" w:rsidRPr="00000000" w14:paraId="000000D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Como referencia supervisada in-domain, YOLOR alcanzó un mAP@0,5 de 0,883 sobre SHEL5K y un AP@0,5 de 0,907 para la clase head; YOLOv5x alcanzó un mAP@0,5 de 0,866 sobre CHV; y YOLOv9-e reportó un mAP@0,5 aproximado de 0,71 sobre SH17, con valores entre 0,58 y 0,69 para las variantes de YOLOv8 (Otgonbold et al., 2022; Wang et al., 2021; Ahmad &amp; Rahimi, 2025).</w:t>
      </w:r>
    </w:p>
    <w:p w:rsidR="00000000" w:rsidDel="00000000" w:rsidP="00000000" w:rsidRDefault="00000000" w:rsidRPr="00000000" w14:paraId="000000D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Estas cifras corresponden a detectores entrenados sobre taxonomías específicas de EPP y no constituyen una comparación directa con los resultados de COCO o LVIS. En particular, el AP@0,5 de 0,907 para la clase </w:t>
      </w:r>
      <w:r w:rsidDel="00000000" w:rsidR="00000000" w:rsidRPr="00000000">
        <w:rPr>
          <w:rFonts w:ascii="Times New Roman" w:cs="Times New Roman" w:eastAsia="Times New Roman" w:hAnsi="Times New Roman"/>
          <w:i w:val="1"/>
          <w:iCs w:val="1"/>
          <w:sz w:val="24"/>
          <w:szCs w:val="24"/>
          <w:rtl w:val="0"/>
        </w:rPr>
        <w:t xml:space="preserve">head </w:t>
      </w:r>
      <w:r w:rsidDel="00000000" w:rsidR="00000000" w:rsidRPr="00000000">
        <w:rPr>
          <w:rFonts w:ascii="Times New Roman" w:cs="Times New Roman" w:eastAsia="Times New Roman" w:hAnsi="Times New Roman"/>
          <w:sz w:val="24"/>
          <w:szCs w:val="24"/>
          <w:rtl w:val="0"/>
        </w:rPr>
        <w:t xml:space="preserve">muestra que un detector supervisado puede alcanzar un desempeño alto sobre esa categoría en SHEL5K. La cifra no permite inferir una dificultad intrínseca universal, pero sí establece una referencia in-domain para analizar el costo de formular la condición sin entrenamiento específico.</w:t>
      </w:r>
    </w:p>
    <w:p w:rsidR="00000000" w:rsidDel="00000000" w:rsidP="00000000" w:rsidRDefault="00000000" w:rsidRPr="00000000" w14:paraId="000000D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evidencia ubicada específicamente en el cruce entre vocabulario abierto y EPP es todavía limitada. Choi y Greer (2024) evaluaron OWLv2 zero-shot sobre 5.210 imágenes: obtuvieron AP@IoU&gt;0,5 de 0,6767 para </w:t>
      </w:r>
      <w:r w:rsidDel="00000000" w:rsidR="00000000" w:rsidRPr="00000000">
        <w:rPr>
          <w:rFonts w:ascii="Times New Roman" w:cs="Times New Roman" w:eastAsia="Times New Roman" w:hAnsi="Times New Roman"/>
          <w:i w:val="1"/>
          <w:iCs w:val="1"/>
          <w:sz w:val="24"/>
          <w:szCs w:val="24"/>
          <w:rtl w:val="0"/>
        </w:rPr>
        <w:t xml:space="preserve">person </w:t>
      </w:r>
      <w:r w:rsidDel="00000000" w:rsidR="00000000" w:rsidRPr="00000000">
        <w:rPr>
          <w:rFonts w:ascii="Times New Roman" w:cs="Times New Roman" w:eastAsia="Times New Roman" w:hAnsi="Times New Roman"/>
          <w:sz w:val="24"/>
          <w:szCs w:val="24"/>
          <w:rtl w:val="0"/>
        </w:rPr>
        <w:t xml:space="preserve">y 0,6493 para detección directa de </w:t>
      </w:r>
      <w:r w:rsidDel="00000000" w:rsidR="00000000" w:rsidRPr="00000000">
        <w:rPr>
          <w:rFonts w:ascii="Times New Roman" w:cs="Times New Roman" w:eastAsia="Times New Roman" w:hAnsi="Times New Roman"/>
          <w:i w:val="1"/>
          <w:iCs w:val="1"/>
          <w:sz w:val="24"/>
          <w:szCs w:val="24"/>
          <w:rtl w:val="0"/>
        </w:rPr>
        <w:t xml:space="preserve">hardhat</w:t>
      </w:r>
      <w:r w:rsidDel="00000000" w:rsidR="00000000" w:rsidRPr="00000000">
        <w:rPr>
          <w:rFonts w:ascii="Times New Roman" w:cs="Times New Roman" w:eastAsia="Times New Roman" w:hAnsi="Times New Roman"/>
          <w:sz w:val="24"/>
          <w:szCs w:val="24"/>
          <w:rtl w:val="0"/>
        </w:rPr>
        <w:t xml:space="preserve">. Al introducir asociación jerárquica, la clase </w:t>
      </w:r>
      <w:r w:rsidDel="00000000" w:rsidR="00000000" w:rsidRPr="00000000">
        <w:rPr>
          <w:rFonts w:ascii="Times New Roman" w:cs="Times New Roman" w:eastAsia="Times New Roman" w:hAnsi="Times New Roman"/>
          <w:i w:val="1"/>
          <w:iCs w:val="1"/>
          <w:sz w:val="24"/>
          <w:szCs w:val="24"/>
          <w:rtl w:val="0"/>
        </w:rPr>
        <w:t xml:space="preserve">head </w:t>
      </w:r>
      <w:r w:rsidDel="00000000" w:rsidR="00000000" w:rsidRPr="00000000">
        <w:rPr>
          <w:rFonts w:ascii="Times New Roman" w:cs="Times New Roman" w:eastAsia="Times New Roman" w:hAnsi="Times New Roman"/>
          <w:sz w:val="24"/>
          <w:szCs w:val="24"/>
          <w:rtl w:val="0"/>
        </w:rPr>
        <w:t xml:space="preserve">—cabeza sin casco— alcanzó 0,1024 AP y la cascada multietapa obtuvo 0,2699 AP para detección de casco. Estas cifras no equivalen a una métrica de condición o alerta, pero muestran que la asociación persona–cabeza–EPP agrega dificultad respecto de detectar los componentes por separado.</w:t>
      </w:r>
    </w:p>
    <w:p w:rsidR="00000000" w:rsidDel="00000000" w:rsidP="00000000" w:rsidRDefault="00000000" w:rsidRPr="00000000" w14:paraId="000000D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Como evidencia adyacente, Chen y Zou (2025) evaluaron modelos visión-lenguaje generativos en una tarea de visual grounding y observaron IoU total inferior al 20 % para objetivos con restricciones de atributo, como trabajadores con casco blanco. El resultado no constituye un benchmark de detectores OVD, pero respalda la dificultad de localizar condiciones visuales finamente especificadas mediante lenguaje natural.</w:t>
      </w:r>
    </w:p>
    <w:p w:rsidR="00000000" w:rsidDel="00000000" w:rsidP="00000000" w:rsidRDefault="00000000" w:rsidRPr="00000000" w14:paraId="000000D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relevamiento de publicaciones entre 2023 y 2026 no identificó evaluaciones de Grounding DINO o YOLO-World zero-shot sobre SHEL5K o CHV, ni un benchmark multi-fuente de EPP bajo protocolo COCO. Esta ausencia constituye una brecha del estado del arte: los benchmarks generales no resuelven la evaluación de una condición de dominio expresada mediante lenguaje natural, por lo que se requiere una línea base zero-shot propia y un conjunto de prueba congelado. La respuesta experimental a esta brecha corresponde a las secciones posteriores.</w:t>
      </w:r>
    </w:p>
    <w:p w:rsidR="00000000" w:rsidDel="00000000" w:rsidP="00000000" w:rsidRDefault="00000000" w:rsidRPr="00000000" w14:paraId="000000D5">
      <w:pPr>
        <w:pStyle w:val="Heading4"/>
        <w:spacing w:after="0" w:before="0" w:line="480" w:lineRule="auto"/>
        <w:rPr>
          <w:rFonts w:ascii="Times New Roman" w:cs="Times New Roman" w:eastAsia="Times New Roman" w:hAnsi="Times New Roman"/>
          <w:b w:val="1"/>
          <w:bCs w:val="1"/>
          <w:color w:val="000000"/>
        </w:rPr>
      </w:pPr>
      <w:bookmarkStart w:colFirst="0" w:colLast="0" w:name="_sjafewywha4" w:id="28"/>
      <w:bookmarkEnd w:id="28"/>
      <w:r w:rsidDel="00000000" w:rsidR="00000000" w:rsidRPr="00000000">
        <w:rPr>
          <w:rFonts w:ascii="Times New Roman" w:cs="Times New Roman" w:eastAsia="Times New Roman" w:hAnsi="Times New Roman"/>
          <w:b w:val="1"/>
          <w:bCs w:val="1"/>
          <w:color w:val="000000"/>
          <w:rtl w:val="0"/>
        </w:rPr>
        <w:t xml:space="preserve">15.2.5.5. Protocolos de evaluación específicos para seguridad industrial</w:t>
      </w:r>
    </w:p>
    <w:p w:rsidR="00000000" w:rsidDel="00000000" w:rsidP="00000000" w:rsidRDefault="00000000" w:rsidRPr="00000000" w14:paraId="000000D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métricas de evaluación predominantes en la literatura OVD —como Average Precision (AP) en COCO o LVIS— constituyen indicadores generales de rendimiento que no capturan adecuadamente el valor operativo de un sistema de detección en el contexto de seguridad industrial (Gupta et al., 2019). Estas métricas evalúan la precisión de localización y clasificación frame-by-frame, sin considerar aspectos temporales ni el impacto diferenciado de distintos tipos de error en escenarios de monitoreo de riesgos.</w:t>
      </w:r>
    </w:p>
    <w:p w:rsidR="00000000" w:rsidDel="00000000" w:rsidP="00000000" w:rsidRDefault="00000000" w:rsidRPr="00000000" w14:paraId="000000D7">
      <w:pPr>
        <w:spacing w:line="480" w:lineRule="auto"/>
        <w:ind w:firstLine="720"/>
        <w:rPr>
          <w:rFonts w:ascii="Times New Roman" w:cs="Times New Roman" w:eastAsia="Times New Roman" w:hAnsi="Times New Roman"/>
          <w:sz w:val="24"/>
          <w:szCs w:val="24"/>
        </w:rPr>
        <w:sectPr>
          <w:type w:val="nextPage"/>
          <w:pgSz w:h="15840" w:w="12240"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Para validar la plataforma en su dominio de aplicación, resulta necesario diseñar métricas y protocolos de evaluación alineados con los objetivos de seguridad en construcción. Esto incluye considerar la tasa de eventos de riesgo detectados correctamente a lo largo de secuencias de video, el tiempo transcurrido entre el inicio de una condición de riesgo y su detección (latencia de alerta), la tasa de falsas alarmas por unidad de tiempo de monitoreo, y la persistencia mínima requerida para considerar válida una detección.</w:t>
      </w:r>
    </w:p>
    <w:p w:rsidR="00000000" w:rsidDel="00000000" w:rsidP="00000000" w:rsidRDefault="00000000" w:rsidRPr="00000000" w14:paraId="000000D8">
      <w:pPr>
        <w:pStyle w:val="Heading4"/>
        <w:spacing w:after="0" w:before="0" w:line="480" w:lineRule="auto"/>
        <w:rPr>
          <w:rFonts w:ascii="Times New Roman" w:cs="Times New Roman" w:eastAsia="Times New Roman" w:hAnsi="Times New Roman"/>
          <w:b w:val="1"/>
          <w:bCs w:val="1"/>
          <w:color w:val="000000"/>
        </w:rPr>
      </w:pPr>
      <w:bookmarkStart w:colFirst="0" w:colLast="0" w:name="_2ov2xlorp35h" w:id="29"/>
      <w:bookmarkEnd w:id="29"/>
      <w:r w:rsidDel="00000000" w:rsidR="00000000" w:rsidRPr="00000000">
        <w:rPr>
          <w:rFonts w:ascii="Times New Roman" w:cs="Times New Roman" w:eastAsia="Times New Roman" w:hAnsi="Times New Roman"/>
          <w:b w:val="1"/>
          <w:bCs w:val="1"/>
          <w:color w:val="000000"/>
          <w:rtl w:val="0"/>
        </w:rPr>
        <w:t xml:space="preserve">15.2.5.6. Tabla comparativa de brechas identificadas</w:t>
      </w:r>
    </w:p>
    <w:p w:rsidR="00000000" w:rsidDel="00000000" w:rsidP="00000000" w:rsidRDefault="00000000" w:rsidRPr="00000000" w14:paraId="000000D9">
      <w:pPr>
        <w:spacing w:line="360" w:lineRule="auto"/>
        <w:rPr>
          <w:rFonts w:ascii="Times New Roman" w:cs="Times New Roman" w:eastAsia="Times New Roman" w:hAnsi="Times New Roman"/>
          <w:b w:val="1"/>
          <w:bCs w:val="1"/>
          <w:sz w:val="24"/>
          <w:szCs w:val="24"/>
        </w:rPr>
      </w:pPr>
      <w:bookmarkStart w:colFirst="0" w:colLast="0" w:name="_ut70yqu40t0q" w:id="30"/>
      <w:bookmarkEnd w:id="30"/>
      <w:r w:rsidDel="00000000" w:rsidR="00000000" w:rsidRPr="00000000">
        <w:rPr>
          <w:rFonts w:ascii="Times New Roman" w:cs="Times New Roman" w:eastAsia="Times New Roman" w:hAnsi="Times New Roman"/>
          <w:b w:val="1"/>
          <w:bCs w:val="1"/>
          <w:i w:val="1"/>
          <w:iCs w:val="1"/>
          <w:sz w:val="24"/>
          <w:szCs w:val="24"/>
          <w:rtl w:val="0"/>
        </w:rPr>
        <w:t xml:space="preserve">Tabla 5</w:t>
      </w:r>
      <w:r w:rsidDel="00000000" w:rsidR="00000000" w:rsidRPr="00000000">
        <w:rPr>
          <w:rtl w:val="0"/>
        </w:rPr>
      </w:r>
    </w:p>
    <w:p w:rsidR="00000000" w:rsidDel="00000000" w:rsidP="00000000" w:rsidRDefault="00000000" w:rsidRPr="00000000" w14:paraId="000000D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Brechas identificadas en la aplicación de modelos OVD al dominio de seguridad en construcción civil</w:t>
      </w:r>
      <w:r w:rsidDel="00000000" w:rsidR="00000000" w:rsidRPr="00000000">
        <w:rPr>
          <w:rtl w:val="0"/>
        </w:rPr>
      </w:r>
    </w:p>
    <w:tbl>
      <w:tblPr>
        <w:tblStyle w:val="Table4"/>
        <w:tblW w:w="104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80"/>
        <w:gridCol w:w="4300"/>
        <w:gridCol w:w="3780"/>
        <w:tblGridChange w:id="0">
          <w:tblGrid>
            <w:gridCol w:w="2380"/>
            <w:gridCol w:w="4300"/>
            <w:gridCol w:w="3780"/>
          </w:tblGrid>
        </w:tblGridChange>
      </w:tblGrid>
      <w:tr>
        <w:trPr>
          <w:cantSplit w:val="0"/>
          <w:tblHeader w:val="1"/>
        </w:trPr>
        <w:tc>
          <w:tcPr>
            <w:tcBorders>
              <w:top w:color="000000" w:space="0" w:sz="12" w:val="single"/>
              <w:left w:color="000000" w:space="0" w:sz="0" w:val="nil"/>
              <w:bottom w:color="000000" w:space="0" w:sz="4" w:val="single"/>
              <w:right w:color="000000" w:space="0" w:sz="0" w:val="nil"/>
            </w:tcBorders>
            <w:tcMar>
              <w:top w:w="30.0" w:type="dxa"/>
              <w:left w:w="80.0" w:type="dxa"/>
              <w:bottom w:w="30.0" w:type="dxa"/>
              <w:right w:w="80.0" w:type="dxa"/>
            </w:tcMar>
          </w:tcPr>
          <w:p w:rsidR="00000000" w:rsidDel="00000000" w:rsidP="00000000" w:rsidRDefault="00000000" w:rsidRPr="00000000" w14:paraId="000000D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Brecha identificada</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30.0" w:type="dxa"/>
              <w:left w:w="80.0" w:type="dxa"/>
              <w:bottom w:w="30.0" w:type="dxa"/>
              <w:right w:w="80.0" w:type="dxa"/>
            </w:tcMar>
          </w:tcPr>
          <w:p w:rsidR="00000000" w:rsidDel="00000000" w:rsidP="00000000" w:rsidRDefault="00000000" w:rsidRPr="00000000" w14:paraId="000000D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30.0" w:type="dxa"/>
              <w:left w:w="80.0" w:type="dxa"/>
              <w:bottom w:w="30.0" w:type="dxa"/>
              <w:right w:w="80.0" w:type="dxa"/>
            </w:tcMar>
          </w:tcPr>
          <w:p w:rsidR="00000000" w:rsidDel="00000000" w:rsidP="00000000" w:rsidRDefault="00000000" w:rsidRPr="00000000" w14:paraId="000000D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Implicación para el proyecto</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0D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Contextualización semántica limitada</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0D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modelos OVD detectan entidades localmente pero no infieren relaciones espaciales complejas entre ellas (p. ej., “persona dentro de zona restringida” requiere razonamiento relacional)</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0E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no puede depender exclusivamente del detector para condiciones composicionales; se requieren módulos adicionales de razonamiento contextual</w:t>
            </w:r>
          </w:p>
        </w:tc>
      </w:tr>
      <w:tr>
        <w:trPr>
          <w:cantSplit w:val="0"/>
          <w:tblHeader w:val="0"/>
        </w:trPr>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0E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Ausencia de consistencia temporal nativa</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0E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detección frame-a-frame introduce variabilidad en puntajes de confianza, apariciones y desapariciones espurias entre cuadros consecutivos</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0E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Necesidad de integración con módulo MOT para aportar coherencia temporal a las detecciones semánticas </w:t>
            </w:r>
            <w:hyperlink r:id="rId7">
              <w:r w:rsidDel="00000000" w:rsidR="00000000" w:rsidRPr="00000000">
                <w:rPr>
                  <w:rFonts w:ascii="Times New Roman" w:cs="Times New Roman" w:eastAsia="Times New Roman" w:hAnsi="Times New Roman"/>
                  <w:sz w:val="24"/>
                  <w:szCs w:val="24"/>
                  <w:rtl w:val="0"/>
                </w:rPr>
                <w:t xml:space="preserve">(S. Li et al., 2023)</w:t>
              </w:r>
            </w:hyperlink>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0E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Sensibilidad a la formulación del prompt</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0E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Pequeños cambios en la redacción producen diferencias significativas en el desempeño, incluso para conceptos equivalentes </w:t>
            </w:r>
            <w:hyperlink r:id="rId8">
              <w:r w:rsidDel="00000000" w:rsidR="00000000" w:rsidRPr="00000000">
                <w:rPr>
                  <w:rFonts w:ascii="Times New Roman" w:cs="Times New Roman" w:eastAsia="Times New Roman" w:hAnsi="Times New Roman"/>
                  <w:sz w:val="24"/>
                  <w:szCs w:val="24"/>
                  <w:rtl w:val="0"/>
                </w:rPr>
                <w:t xml:space="preserve">(Zhou et al., 2022b)</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0E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diseño de prompts para condiciones de riesgo requiere un proceso sistemático; la selección informal puede comprometer la robustez del sistema</w:t>
            </w:r>
          </w:p>
        </w:tc>
      </w:tr>
      <w:tr>
        <w:trPr>
          <w:cantSplit w:val="0"/>
          <w:tblHeader w:val="0"/>
        </w:trPr>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0E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Brecha de dominio con benchmarks estándar</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0E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resultados en COCO o LVIS no garantizan transferencia al dominio objetivo. Grounding DINO con backbone Swin-L pasa de 52,5 AP en COCO a 26,1 mean AP en ODinW.</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0E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protocolo debe incorporar una línea base zero-shot propia y un conjunto de prueba de dominio congelado; los benchmarks generales funcionan únicamente como referencia externa.</w:t>
            </w:r>
          </w:p>
        </w:tc>
      </w:tr>
      <w:tr>
        <w:trPr>
          <w:cantSplit w:val="0"/>
          <w:tblHeader w:val="0"/>
        </w:trPr>
        <w:tc>
          <w:tcPr>
            <w:tcBorders>
              <w:top w:color="000000" w:space="0" w:sz="0" w:val="nil"/>
              <w:left w:color="000000" w:space="0" w:sz="0" w:val="nil"/>
              <w:bottom w:color="000000" w:space="0" w:sz="12" w:val="single"/>
              <w:right w:color="000000" w:space="0" w:sz="0" w:val="nil"/>
            </w:tcBorders>
            <w:tcMar>
              <w:top w:w="30.0" w:type="dxa"/>
              <w:left w:w="80.0" w:type="dxa"/>
              <w:bottom w:w="30.0" w:type="dxa"/>
              <w:right w:w="80.0" w:type="dxa"/>
            </w:tcMar>
          </w:tcPr>
          <w:p w:rsidR="00000000" w:rsidDel="00000000" w:rsidP="00000000" w:rsidRDefault="00000000" w:rsidRPr="00000000" w14:paraId="000000E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Ausencia de protocolos de evaluación específicos para seguridad industrial</w:t>
            </w:r>
          </w:p>
        </w:tc>
        <w:tc>
          <w:tcPr>
            <w:tcBorders>
              <w:top w:color="000000" w:space="0" w:sz="0" w:val="nil"/>
              <w:left w:color="000000" w:space="0" w:sz="0" w:val="nil"/>
              <w:bottom w:color="000000" w:space="0" w:sz="12" w:val="single"/>
              <w:right w:color="000000" w:space="0" w:sz="0" w:val="nil"/>
            </w:tcBorders>
            <w:tcMar>
              <w:top w:w="30.0" w:type="dxa"/>
              <w:left w:w="80.0" w:type="dxa"/>
              <w:bottom w:w="30.0" w:type="dxa"/>
              <w:right w:w="80.0" w:type="dxa"/>
            </w:tcMar>
          </w:tcPr>
          <w:p w:rsidR="00000000" w:rsidDel="00000000" w:rsidP="00000000" w:rsidRDefault="00000000" w:rsidRPr="00000000" w14:paraId="000000E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métricas AP en COCO/LVIS </w:t>
            </w:r>
            <w:hyperlink r:id="rId9">
              <w:r w:rsidDel="00000000" w:rsidR="00000000" w:rsidRPr="00000000">
                <w:rPr>
                  <w:rFonts w:ascii="Times New Roman" w:cs="Times New Roman" w:eastAsia="Times New Roman" w:hAnsi="Times New Roman"/>
                  <w:sz w:val="24"/>
                  <w:szCs w:val="24"/>
                  <w:rtl w:val="0"/>
                </w:rPr>
                <w:t xml:space="preserve">(Gupta et al., 2019; Lin et al., 2014)</w:t>
              </w:r>
            </w:hyperlink>
            <w:r w:rsidDel="00000000" w:rsidR="00000000" w:rsidRPr="00000000">
              <w:rPr>
                <w:rFonts w:ascii="Times New Roman" w:cs="Times New Roman" w:eastAsia="Times New Roman" w:hAnsi="Times New Roman"/>
                <w:sz w:val="24"/>
                <w:szCs w:val="24"/>
                <w:rtl w:val="0"/>
              </w:rPr>
              <w:t xml:space="preserve"> no capturan el valor operativo del sistema: no consideran latencia de alerta, persistencia de la detección ni impacto diferenciado de falsos positivos/negativos.</w:t>
            </w:r>
          </w:p>
        </w:tc>
        <w:tc>
          <w:tcPr>
            <w:tcBorders>
              <w:top w:color="000000" w:space="0" w:sz="0" w:val="nil"/>
              <w:left w:color="000000" w:space="0" w:sz="0" w:val="nil"/>
              <w:bottom w:color="000000" w:space="0" w:sz="12" w:val="single"/>
              <w:right w:color="000000" w:space="0" w:sz="0" w:val="nil"/>
            </w:tcBorders>
            <w:tcMar>
              <w:top w:w="30.0" w:type="dxa"/>
              <w:left w:w="80.0" w:type="dxa"/>
              <w:bottom w:w="30.0" w:type="dxa"/>
              <w:right w:w="80.0" w:type="dxa"/>
            </w:tcMar>
          </w:tcPr>
          <w:p w:rsidR="00000000" w:rsidDel="00000000" w:rsidP="00000000" w:rsidRDefault="00000000" w:rsidRPr="00000000" w14:paraId="000000E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protocolo experimental debe definir métricas alineadas con el valor operativo de la alerta, incluyendo persistencia temporal, latencia y tratamiento diferenciado de falsos positivos y falsos negativos.</w:t>
            </w:r>
          </w:p>
        </w:tc>
      </w:tr>
      <w:tr>
        <w:trPr>
          <w:cantSplit w:val="0"/>
          <w:tblHeader w:val="0"/>
        </w:trPr>
        <w:tc>
          <w:tcPr>
            <w:tcBorders>
              <w:top w:color="000000" w:space="0" w:sz="0" w:val="nil"/>
              <w:left w:color="000000" w:space="0" w:sz="0" w:val="nil"/>
              <w:bottom w:color="000000" w:space="0" w:sz="12" w:val="single"/>
              <w:right w:color="000000" w:space="0" w:sz="0" w:val="nil"/>
            </w:tcBorders>
            <w:tcMar>
              <w:top w:w="30.0" w:type="dxa"/>
              <w:left w:w="80.0" w:type="dxa"/>
              <w:bottom w:w="30.0" w:type="dxa"/>
              <w:right w:w="80.0" w:type="dxa"/>
            </w:tcMar>
          </w:tcPr>
          <w:p w:rsidR="00000000" w:rsidDel="00000000" w:rsidP="00000000" w:rsidRDefault="00000000" w:rsidRPr="00000000" w14:paraId="000000E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Escasez de evaluación OVD × EPP</w:t>
            </w:r>
          </w:p>
        </w:tc>
        <w:tc>
          <w:tcPr>
            <w:tcBorders>
              <w:top w:color="000000" w:space="0" w:sz="0" w:val="nil"/>
              <w:left w:color="000000" w:space="0" w:sz="0" w:val="nil"/>
              <w:bottom w:color="000000" w:space="0" w:sz="12" w:val="single"/>
              <w:right w:color="000000" w:space="0" w:sz="0" w:val="nil"/>
            </w:tcBorders>
            <w:tcMar>
              <w:top w:w="30.0" w:type="dxa"/>
              <w:left w:w="80.0" w:type="dxa"/>
              <w:bottom w:w="30.0" w:type="dxa"/>
              <w:right w:w="80.0" w:type="dxa"/>
            </w:tcMar>
          </w:tcPr>
          <w:p w:rsidR="00000000" w:rsidDel="00000000" w:rsidP="00000000" w:rsidRDefault="00000000" w:rsidRPr="00000000" w14:paraId="000000E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literatura ofrece evidencia directa limitada. Choi y Greer (2024) reportan AP@IoU&gt;0,5 de 0,6767 para </w:t>
            </w:r>
            <w:r w:rsidDel="00000000" w:rsidR="00000000" w:rsidRPr="00000000">
              <w:rPr>
                <w:rFonts w:ascii="Times New Roman" w:cs="Times New Roman" w:eastAsia="Times New Roman" w:hAnsi="Times New Roman"/>
                <w:i w:val="1"/>
                <w:iCs w:val="1"/>
                <w:sz w:val="24"/>
                <w:szCs w:val="24"/>
                <w:rtl w:val="0"/>
              </w:rPr>
              <w:t xml:space="preserve">person</w:t>
            </w:r>
            <w:r w:rsidDel="00000000" w:rsidR="00000000" w:rsidRPr="00000000">
              <w:rPr>
                <w:rFonts w:ascii="Times New Roman" w:cs="Times New Roman" w:eastAsia="Times New Roman" w:hAnsi="Times New Roman"/>
                <w:sz w:val="24"/>
                <w:szCs w:val="24"/>
                <w:rtl w:val="0"/>
              </w:rPr>
              <w:t xml:space="preserve">, 0,6493 para detección directa de </w:t>
            </w:r>
            <w:r w:rsidDel="00000000" w:rsidR="00000000" w:rsidRPr="00000000">
              <w:rPr>
                <w:rFonts w:ascii="Times New Roman" w:cs="Times New Roman" w:eastAsia="Times New Roman" w:hAnsi="Times New Roman"/>
                <w:i w:val="1"/>
                <w:iCs w:val="1"/>
                <w:sz w:val="24"/>
                <w:szCs w:val="24"/>
                <w:rtl w:val="0"/>
              </w:rPr>
              <w:t xml:space="preserve">hardhat</w:t>
            </w:r>
            <w:r w:rsidDel="00000000" w:rsidR="00000000" w:rsidRPr="00000000">
              <w:rPr>
                <w:rFonts w:ascii="Times New Roman" w:cs="Times New Roman" w:eastAsia="Times New Roman" w:hAnsi="Times New Roman"/>
                <w:sz w:val="24"/>
                <w:szCs w:val="24"/>
                <w:rtl w:val="0"/>
              </w:rPr>
              <w:t xml:space="preserve">, 0,1024 para la clase </w:t>
            </w:r>
            <w:r w:rsidDel="00000000" w:rsidR="00000000" w:rsidRPr="00000000">
              <w:rPr>
                <w:rFonts w:ascii="Times New Roman" w:cs="Times New Roman" w:eastAsia="Times New Roman" w:hAnsi="Times New Roman"/>
                <w:i w:val="1"/>
                <w:iCs w:val="1"/>
                <w:sz w:val="24"/>
                <w:szCs w:val="24"/>
                <w:rtl w:val="0"/>
              </w:rPr>
              <w:t xml:space="preserve">head </w:t>
            </w:r>
            <w:r w:rsidDel="00000000" w:rsidR="00000000" w:rsidRPr="00000000">
              <w:rPr>
                <w:rFonts w:ascii="Times New Roman" w:cs="Times New Roman" w:eastAsia="Times New Roman" w:hAnsi="Times New Roman"/>
                <w:sz w:val="24"/>
                <w:szCs w:val="24"/>
                <w:rtl w:val="0"/>
              </w:rPr>
              <w:t xml:space="preserve">y 0,2699 para la cascada multietapa. El relevamiento no identificó evaluaciones de Grounding DINO o YOLO-World zero-shot sobre SHEL5K o CHV, ni un benchmark de EPP multi-fuente bajo protocolo COCO.</w:t>
            </w:r>
          </w:p>
        </w:tc>
        <w:tc>
          <w:tcPr>
            <w:tcBorders>
              <w:top w:color="000000" w:space="0" w:sz="0" w:val="nil"/>
              <w:left w:color="000000" w:space="0" w:sz="0" w:val="nil"/>
              <w:bottom w:color="000000" w:space="0" w:sz="12" w:val="single"/>
              <w:right w:color="000000" w:space="0" w:sz="0" w:val="nil"/>
            </w:tcBorders>
            <w:tcMar>
              <w:top w:w="30.0" w:type="dxa"/>
              <w:left w:w="80.0" w:type="dxa"/>
              <w:bottom w:w="30.0" w:type="dxa"/>
              <w:right w:w="80.0" w:type="dxa"/>
            </w:tcMar>
          </w:tcPr>
          <w:p w:rsidR="00000000" w:rsidDel="00000000" w:rsidP="00000000" w:rsidRDefault="00000000" w:rsidRPr="00000000" w14:paraId="000000E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requiere una línea base zero-shot propia y un conjunto de prueba congelado; la respuesta experimental se presenta fuera del estado del arte.</w:t>
            </w:r>
          </w:p>
        </w:tc>
      </w:tr>
    </w:tbl>
    <w:p w:rsidR="00000000" w:rsidDel="00000000" w:rsidP="00000000" w:rsidRDefault="00000000" w:rsidRPr="00000000" w14:paraId="000000F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Nota.</w:t>
      </w:r>
      <w:r w:rsidDel="00000000" w:rsidR="00000000" w:rsidRPr="00000000">
        <w:rPr>
          <w:rFonts w:ascii="Times New Roman" w:cs="Times New Roman" w:eastAsia="Times New Roman" w:hAnsi="Times New Roman"/>
          <w:sz w:val="24"/>
          <w:szCs w:val="24"/>
          <w:rtl w:val="0"/>
        </w:rPr>
        <w:t xml:space="preserve"> Las brechas listadas delimitan problemas técnicos que el protocolo y la arquitectura deben abordar; no se presentan como limitaciones insalvables. Fuente: elaboración propia basada en Choi y Greer (2024), Chen y Zou (2025), Gupta et al. (2019), S. Li et al. (2023), Lin et al. (2014), Liu et al. (2024), Zareian et al. (2021) y Zhou et al. (2022b).</w:t>
      </w:r>
    </w:p>
    <w:p w:rsidR="00000000" w:rsidDel="00000000" w:rsidP="00000000" w:rsidRDefault="00000000" w:rsidRPr="00000000" w14:paraId="000000F1">
      <w:pPr>
        <w:spacing w:line="480" w:lineRule="auto"/>
        <w:rPr>
          <w:rFonts w:ascii="Times New Roman" w:cs="Times New Roman" w:eastAsia="Times New Roman" w:hAnsi="Times New Roman"/>
          <w:b w:val="1"/>
          <w:bCs w:val="1"/>
          <w:sz w:val="24"/>
          <w:szCs w:val="24"/>
        </w:rPr>
        <w:sectPr>
          <w:type w:val="nextPage"/>
          <w:pgSz w:h="12240" w:w="15840" w:orient="landscape"/>
          <w:pgMar w:bottom="1440" w:top="1440" w:left="1440" w:right="1440" w:header="720" w:footer="720"/>
        </w:sectPr>
      </w:pPr>
      <w:r w:rsidDel="00000000" w:rsidR="00000000" w:rsidRPr="00000000">
        <w:rPr>
          <w:rtl w:val="0"/>
        </w:rPr>
      </w:r>
    </w:p>
    <w:p w:rsidR="00000000" w:rsidDel="00000000" w:rsidP="00000000" w:rsidRDefault="00000000" w:rsidRPr="00000000" w14:paraId="000000F2">
      <w:pPr>
        <w:pStyle w:val="Heading3"/>
        <w:spacing w:after="0" w:before="0" w:line="480" w:lineRule="auto"/>
        <w:rPr>
          <w:rFonts w:ascii="Times New Roman" w:cs="Times New Roman" w:eastAsia="Times New Roman" w:hAnsi="Times New Roman"/>
          <w:b w:val="1"/>
          <w:bCs w:val="1"/>
          <w:i w:val="1"/>
          <w:iCs w:val="1"/>
          <w:color w:val="000000"/>
          <w:sz w:val="24"/>
          <w:szCs w:val="24"/>
        </w:rPr>
      </w:pPr>
      <w:bookmarkStart w:colFirst="0" w:colLast="0" w:name="_dfe1i3gpqpoz" w:id="31"/>
      <w:bookmarkEnd w:id="31"/>
      <w:r w:rsidDel="00000000" w:rsidR="00000000" w:rsidRPr="00000000">
        <w:rPr>
          <w:rFonts w:ascii="Times New Roman" w:cs="Times New Roman" w:eastAsia="Times New Roman" w:hAnsi="Times New Roman"/>
          <w:b w:val="1"/>
          <w:bCs w:val="1"/>
          <w:i w:val="1"/>
          <w:iCs w:val="1"/>
          <w:color w:val="000000"/>
          <w:sz w:val="24"/>
          <w:szCs w:val="24"/>
          <w:rtl w:val="0"/>
        </w:rPr>
        <w:t xml:space="preserve">15.2.6. Síntesis de la sección y avance al seguimiento multi-objeto</w:t>
      </w:r>
    </w:p>
    <w:p w:rsidR="00000000" w:rsidDel="00000000" w:rsidP="00000000" w:rsidRDefault="00000000" w:rsidRPr="00000000" w14:paraId="000000F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análisis de los paradigmas OVD evidencia que la viabilidad de su integración en sistemas de monitoreo continuo está condicionada por cuatro factores: balance entre expresividad semántica y eficiencia de inferencia, diseño sistemático de prompts para el dominio específico, mecanismos de compensación de la variabilidad temporal frame-a-frame, y evaluación empírica en condiciones visuales de construcción civil. Los dos últimos factores remiten directamente al problema de persistencia temporal: dado que la OVD produce observaciones instantáneas sin identidad ni continuidad, la sección siguiente analiza los métodos de seguimiento multiobjeto como mecanismo para sostener esas detecciones a lo largo del tiempo.</w:t>
      </w:r>
    </w:p>
    <w:p w:rsidR="00000000" w:rsidDel="00000000" w:rsidP="00000000" w:rsidRDefault="00000000" w:rsidRPr="00000000" w14:paraId="000000F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las secciones posteriores se distinguirá entre calibración operativa y adaptación paramétrica. La primera comprende cambios de resolución de entrada, formulación del vocabulario, umbrales, postproceso y estabilización temporal sin modificar los pesos del modelo; la segunda refiere exclusivamente al ajuste de parámetros mediante fine-tuning u otras técnicas de entrenamiento. Con esta distinción se evita presentar configuraciones de plataforma como si fueran modelos reentrenados.</w:t>
      </w:r>
    </w:p>
    <w:p w:rsidR="00000000" w:rsidDel="00000000" w:rsidP="00000000" w:rsidRDefault="00000000" w:rsidRPr="00000000" w14:paraId="000000F5">
      <w:pPr>
        <w:pStyle w:val="Heading2"/>
        <w:spacing w:after="0" w:before="0" w:line="480" w:lineRule="auto"/>
        <w:rPr>
          <w:rFonts w:ascii="Times New Roman" w:cs="Times New Roman" w:eastAsia="Times New Roman" w:hAnsi="Times New Roman"/>
          <w:b w:val="1"/>
          <w:bCs w:val="1"/>
          <w:sz w:val="24"/>
          <w:szCs w:val="24"/>
        </w:rPr>
      </w:pPr>
      <w:bookmarkStart w:colFirst="0" w:colLast="0" w:name="_mlbxz2156qm1" w:id="32"/>
      <w:bookmarkEnd w:id="32"/>
      <w:r w:rsidDel="00000000" w:rsidR="00000000" w:rsidRPr="00000000">
        <w:rPr>
          <w:rFonts w:ascii="Times New Roman" w:cs="Times New Roman" w:eastAsia="Times New Roman" w:hAnsi="Times New Roman"/>
          <w:b w:val="1"/>
          <w:bCs w:val="1"/>
          <w:sz w:val="24"/>
          <w:szCs w:val="24"/>
          <w:rtl w:val="0"/>
        </w:rPr>
        <w:t xml:space="preserve">15.3. Seguimiento multiobjeto: métodos, métricas y brechas del estado del arte</w:t>
      </w:r>
    </w:p>
    <w:p w:rsidR="00000000" w:rsidDel="00000000" w:rsidP="00000000" w:rsidRDefault="00000000" w:rsidRPr="00000000" w14:paraId="000000F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seguimiento multiobjeto (MOT) constituye el mecanismo que transforma las detecciones instantáneas producidas por el sistema OVD en trayectorias persistentes a lo largo del tiempo, habilitando la agregación temporal de evidencias necesaria para la generación de alertas operativas. En esta sección se analizan los métodos representativos del estado del arte en MOT para sistemas de video en tiempo real, las métricas de evaluación relevantes para el contexto del proyecto y las brechas identificadas en la intersección entre MOT y detección open-vocabulary.</w:t>
      </w:r>
    </w:p>
    <w:p w:rsidR="00000000" w:rsidDel="00000000" w:rsidP="00000000" w:rsidRDefault="00000000" w:rsidRPr="00000000" w14:paraId="000000F7">
      <w:pPr>
        <w:pStyle w:val="Heading3"/>
        <w:spacing w:after="0" w:before="0" w:line="480" w:lineRule="auto"/>
        <w:rPr>
          <w:rFonts w:ascii="Times New Roman" w:cs="Times New Roman" w:eastAsia="Times New Roman" w:hAnsi="Times New Roman"/>
          <w:b w:val="1"/>
          <w:bCs w:val="1"/>
          <w:i w:val="1"/>
          <w:iCs w:val="1"/>
          <w:color w:val="000000"/>
          <w:sz w:val="24"/>
          <w:szCs w:val="24"/>
        </w:rPr>
      </w:pPr>
      <w:bookmarkStart w:colFirst="0" w:colLast="0" w:name="_2dhufm30z8w5" w:id="33"/>
      <w:bookmarkEnd w:id="33"/>
      <w:r w:rsidDel="00000000" w:rsidR="00000000" w:rsidRPr="00000000">
        <w:rPr>
          <w:rFonts w:ascii="Times New Roman" w:cs="Times New Roman" w:eastAsia="Times New Roman" w:hAnsi="Times New Roman"/>
          <w:b w:val="1"/>
          <w:bCs w:val="1"/>
          <w:i w:val="1"/>
          <w:iCs w:val="1"/>
          <w:color w:val="000000"/>
          <w:sz w:val="24"/>
          <w:szCs w:val="24"/>
          <w:rtl w:val="0"/>
        </w:rPr>
        <w:t xml:space="preserve">15.3.1. Métodos Representativos</w:t>
      </w:r>
    </w:p>
    <w:p w:rsidR="00000000" w:rsidDel="00000000" w:rsidP="00000000" w:rsidRDefault="00000000" w:rsidRPr="00000000" w14:paraId="000000F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estado del arte en MOT para sistemas de video en tiempo real está dominado por la familia SORT extendida, cuya evolución refleja el progreso en el manejo de oclusiones, la explotación de detecciones de baja confianza y la eliminación de dependencias de entrenamiento específico por dominio.</w:t>
      </w:r>
    </w:p>
    <w:p w:rsidR="00000000" w:rsidDel="00000000" w:rsidP="00000000" w:rsidRDefault="00000000" w:rsidRPr="00000000" w14:paraId="000000F9">
      <w:pPr>
        <w:pStyle w:val="Heading4"/>
        <w:spacing w:after="0" w:before="0" w:line="480" w:lineRule="auto"/>
        <w:rPr>
          <w:rFonts w:ascii="Times New Roman" w:cs="Times New Roman" w:eastAsia="Times New Roman" w:hAnsi="Times New Roman"/>
          <w:b w:val="1"/>
          <w:bCs w:val="1"/>
          <w:color w:val="000000"/>
        </w:rPr>
      </w:pPr>
      <w:bookmarkStart w:colFirst="0" w:colLast="0" w:name="_krgy1w60dlae" w:id="34"/>
      <w:bookmarkEnd w:id="34"/>
      <w:r w:rsidDel="00000000" w:rsidR="00000000" w:rsidRPr="00000000">
        <w:rPr>
          <w:rFonts w:ascii="Times New Roman" w:cs="Times New Roman" w:eastAsia="Times New Roman" w:hAnsi="Times New Roman"/>
          <w:b w:val="1"/>
          <w:bCs w:val="1"/>
          <w:color w:val="000000"/>
          <w:rtl w:val="0"/>
        </w:rPr>
        <w:t xml:space="preserve">15.3.1.1. SORT</w:t>
      </w:r>
    </w:p>
    <w:p w:rsidR="00000000" w:rsidDel="00000000" w:rsidP="00000000" w:rsidRDefault="00000000" w:rsidRPr="00000000" w14:paraId="000000F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SORT (Simple Online and Realtime Tracking) establece el esquema de referencia del paradigma tracking-by-detection moderno. Combina el filtro de Kalman para el modelado del movimiento con el algoritmo Húngaro para la asignación óptima de detecciones a trayectorias, utilizando IoU como única métrica de similitud. Su diseño minimalista prescinde de cualquier modelado de apariencia, lo que resulta en latencia muy baja —capacidad de operar a tasas superiores a 200 FPS— y ausencia total de dependencias de entrenamiento. La principal limitación de SORT es su baja robustez ante oclusiones: cuando un objeto no es detectado durante varios cuadros consecutivos, la trayectoria se termina y la re-asociación posterior puede producir un cambio de identificador (ID switch), fragmentando la trayectoria en múltiples segmentos (Bewley et al., 2016).</w:t>
      </w:r>
    </w:p>
    <w:p w:rsidR="00000000" w:rsidDel="00000000" w:rsidP="00000000" w:rsidRDefault="00000000" w:rsidRPr="00000000" w14:paraId="000000FB">
      <w:pPr>
        <w:pStyle w:val="Heading4"/>
        <w:spacing w:after="0" w:before="0" w:line="480" w:lineRule="auto"/>
        <w:rPr>
          <w:rFonts w:ascii="Times New Roman" w:cs="Times New Roman" w:eastAsia="Times New Roman" w:hAnsi="Times New Roman"/>
          <w:b w:val="1"/>
          <w:bCs w:val="1"/>
          <w:color w:val="000000"/>
        </w:rPr>
      </w:pPr>
      <w:bookmarkStart w:colFirst="0" w:colLast="0" w:name="_h796uoycq03p" w:id="35"/>
      <w:bookmarkEnd w:id="35"/>
      <w:r w:rsidDel="00000000" w:rsidR="00000000" w:rsidRPr="00000000">
        <w:rPr>
          <w:rFonts w:ascii="Times New Roman" w:cs="Times New Roman" w:eastAsia="Times New Roman" w:hAnsi="Times New Roman"/>
          <w:b w:val="1"/>
          <w:bCs w:val="1"/>
          <w:color w:val="000000"/>
          <w:rtl w:val="0"/>
        </w:rPr>
        <w:t xml:space="preserve">15.3.1.2. Contraste con variantes posteriores</w:t>
      </w:r>
    </w:p>
    <w:p w:rsidR="00000000" w:rsidDel="00000000" w:rsidP="00000000" w:rsidRDefault="00000000" w:rsidRPr="00000000" w14:paraId="000000FC">
      <w:pPr>
        <w:spacing w:after="0" w:before="0" w:line="480" w:lineRule="auto"/>
        <w:rPr/>
      </w:pPr>
      <w:r w:rsidDel="00000000" w:rsidR="00000000" w:rsidRPr="00000000">
        <w:rPr>
          <w:rtl w:val="0"/>
        </w:rPr>
        <w:t xml:space="preserve">Las extensiones de tracking-by-detection introducen distintos mecanismos para mejorar la continuidad: DeepSORT agrega apariencia mediante ReID (Wojke et al., 2017); ByteTrack reutiliza detecciones de baja confianza para sostener trayectorias (Y. Zhang et al., 2022); y OC-SORT corrige la estimación de movimiento durante oclusiones sin requerir apariencia (Cao et al., 2023). En el extremo de mayor complejidad, BoT-SORT combina movimiento y ReID, mientras que TrackFormer y MOTR aprenden detección y asociación de manera conjunta. Estas variantes permiten contrastar robustez, dependencia de entrenamiento y costo computacional, pero no establecen por sí mismas un método preferente para una plataforma OVD modular; la síntesis comparativa se conserva en la Tabla 6.</w:t>
      </w:r>
    </w:p>
    <w:p w:rsidR="00000000" w:rsidDel="00000000" w:rsidP="00000000" w:rsidRDefault="00000000" w:rsidRPr="00000000" w14:paraId="000000FD">
      <w:pPr>
        <w:pStyle w:val="Heading3"/>
        <w:spacing w:after="0" w:before="0" w:line="480" w:lineRule="auto"/>
        <w:rPr>
          <w:rFonts w:ascii="Times New Roman" w:cs="Times New Roman" w:eastAsia="Times New Roman" w:hAnsi="Times New Roman"/>
          <w:b w:val="1"/>
          <w:bCs w:val="1"/>
          <w:i w:val="1"/>
          <w:iCs w:val="1"/>
          <w:color w:val="000000"/>
          <w:sz w:val="24"/>
          <w:szCs w:val="24"/>
        </w:rPr>
      </w:pPr>
      <w:bookmarkStart w:colFirst="0" w:colLast="0" w:name="_my0gzxjtmyzu" w:id="36"/>
      <w:bookmarkEnd w:id="36"/>
      <w:r w:rsidDel="00000000" w:rsidR="00000000" w:rsidRPr="00000000">
        <w:rPr>
          <w:rFonts w:ascii="Times New Roman" w:cs="Times New Roman" w:eastAsia="Times New Roman" w:hAnsi="Times New Roman"/>
          <w:b w:val="1"/>
          <w:bCs w:val="1"/>
          <w:i w:val="1"/>
          <w:iCs w:val="1"/>
          <w:color w:val="000000"/>
          <w:sz w:val="24"/>
          <w:szCs w:val="24"/>
          <w:rtl w:val="0"/>
        </w:rPr>
        <w:t xml:space="preserve">15.3.2. Síntesis comparativa de métodos MOT</w:t>
      </w:r>
    </w:p>
    <w:p w:rsidR="00000000" w:rsidDel="00000000" w:rsidP="00000000" w:rsidRDefault="00000000" w:rsidRPr="00000000" w14:paraId="000000FE">
      <w:pPr>
        <w:spacing w:line="480" w:lineRule="auto"/>
        <w:ind w:firstLine="720"/>
        <w:rPr>
          <w:rFonts w:ascii="Times New Roman" w:cs="Times New Roman" w:eastAsia="Times New Roman" w:hAnsi="Times New Roman"/>
          <w:sz w:val="24"/>
          <w:szCs w:val="24"/>
        </w:rPr>
        <w:sectPr>
          <w:type w:val="nextPage"/>
          <w:pgSz w:h="15840" w:w="12240"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La Tabla 6 sintetiza las características principales de los métodos MOT analizados, con énfasis en las dimensiones más relevantes para su integración en el sistema E-OVRT-VDP: paradigma, modelo de movimiento, estrategia de asociación, robustez ante oclusiones, latencia y dependencias de entrenamiento.</w:t>
      </w:r>
    </w:p>
    <w:p w:rsidR="00000000" w:rsidDel="00000000" w:rsidP="00000000" w:rsidRDefault="00000000" w:rsidRPr="00000000" w14:paraId="000000FF">
      <w:pPr>
        <w:spacing w:line="360" w:lineRule="auto"/>
        <w:rPr>
          <w:rFonts w:ascii="Times New Roman" w:cs="Times New Roman" w:eastAsia="Times New Roman" w:hAnsi="Times New Roman"/>
          <w:sz w:val="24"/>
          <w:szCs w:val="24"/>
        </w:rPr>
      </w:pPr>
      <w:bookmarkStart w:colFirst="0" w:colLast="0" w:name="_jcgymj8lmmgb" w:id="37"/>
      <w:bookmarkEnd w:id="37"/>
      <w:r w:rsidDel="00000000" w:rsidR="00000000" w:rsidRPr="00000000">
        <w:rPr>
          <w:rFonts w:ascii="Times New Roman" w:cs="Times New Roman" w:eastAsia="Times New Roman" w:hAnsi="Times New Roman"/>
          <w:b w:val="1"/>
          <w:bCs w:val="1"/>
          <w:i w:val="1"/>
          <w:iCs w:val="1"/>
          <w:sz w:val="24"/>
          <w:szCs w:val="24"/>
          <w:rtl w:val="0"/>
        </w:rPr>
        <w:t xml:space="preserve">Tabla 6</w:t>
      </w:r>
      <w:r w:rsidDel="00000000" w:rsidR="00000000" w:rsidRPr="00000000">
        <w:rPr>
          <w:rtl w:val="0"/>
        </w:rPr>
      </w:r>
    </w:p>
    <w:p w:rsidR="00000000" w:rsidDel="00000000" w:rsidP="00000000" w:rsidRDefault="00000000" w:rsidRPr="00000000" w14:paraId="0000010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Síntesis comparativa de métodos MOT representativos según dimensiones relevantes para sistemas de video en tiempo real con detección open-vocabulary</w:t>
      </w:r>
      <w:r w:rsidDel="00000000" w:rsidR="00000000" w:rsidRPr="00000000">
        <w:rPr>
          <w:rtl w:val="0"/>
        </w:rPr>
      </w:r>
    </w:p>
    <w:tbl>
      <w:tblPr>
        <w:tblStyle w:val="Table5"/>
        <w:tblW w:w="104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1140"/>
        <w:gridCol w:w="1520"/>
        <w:gridCol w:w="1780"/>
        <w:gridCol w:w="1180"/>
        <w:gridCol w:w="1680"/>
        <w:gridCol w:w="2040"/>
        <w:tblGridChange w:id="0">
          <w:tblGrid>
            <w:gridCol w:w="1100"/>
            <w:gridCol w:w="1140"/>
            <w:gridCol w:w="1520"/>
            <w:gridCol w:w="1780"/>
            <w:gridCol w:w="1180"/>
            <w:gridCol w:w="1680"/>
            <w:gridCol w:w="2040"/>
          </w:tblGrid>
        </w:tblGridChange>
      </w:tblGrid>
      <w:tr>
        <w:trPr>
          <w:cantSplit w:val="0"/>
          <w:tblHeader w:val="1"/>
        </w:trPr>
        <w:tc>
          <w:tcPr>
            <w:tcBorders>
              <w:top w:color="000000" w:space="0" w:sz="12" w:val="single"/>
              <w:left w:color="000000" w:space="0" w:sz="0" w:val="nil"/>
              <w:bottom w:color="000000" w:space="0" w:sz="4" w:val="single"/>
              <w:right w:color="000000" w:space="0" w:sz="0" w:val="nil"/>
            </w:tcBorders>
            <w:tcMar>
              <w:top w:w="30.0" w:type="dxa"/>
              <w:left w:w="80.0" w:type="dxa"/>
              <w:bottom w:w="30.0" w:type="dxa"/>
              <w:right w:w="80.0" w:type="dxa"/>
            </w:tcMar>
          </w:tcPr>
          <w:p w:rsidR="00000000" w:rsidDel="00000000" w:rsidP="00000000" w:rsidRDefault="00000000" w:rsidRPr="00000000" w14:paraId="0000010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Método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30.0" w:type="dxa"/>
              <w:left w:w="80.0" w:type="dxa"/>
              <w:bottom w:w="30.0" w:type="dxa"/>
              <w:right w:w="80.0" w:type="dxa"/>
            </w:tcMar>
          </w:tcPr>
          <w:p w:rsidR="00000000" w:rsidDel="00000000" w:rsidP="00000000" w:rsidRDefault="00000000" w:rsidRPr="00000000" w14:paraId="0000010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Paradigma</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30.0" w:type="dxa"/>
              <w:left w:w="80.0" w:type="dxa"/>
              <w:bottom w:w="30.0" w:type="dxa"/>
              <w:right w:w="80.0" w:type="dxa"/>
            </w:tcMar>
          </w:tcPr>
          <w:p w:rsidR="00000000" w:rsidDel="00000000" w:rsidP="00000000" w:rsidRDefault="00000000" w:rsidRPr="00000000" w14:paraId="0000010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Modelo de movimiento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30.0" w:type="dxa"/>
              <w:left w:w="80.0" w:type="dxa"/>
              <w:bottom w:w="30.0" w:type="dxa"/>
              <w:right w:w="80.0" w:type="dxa"/>
            </w:tcMar>
          </w:tcPr>
          <w:p w:rsidR="00000000" w:rsidDel="00000000" w:rsidP="00000000" w:rsidRDefault="00000000" w:rsidRPr="00000000" w14:paraId="0000010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Asociación de datos</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30.0" w:type="dxa"/>
              <w:left w:w="80.0" w:type="dxa"/>
              <w:bottom w:w="30.0" w:type="dxa"/>
              <w:right w:w="80.0" w:type="dxa"/>
            </w:tcMar>
          </w:tcPr>
          <w:p w:rsidR="00000000" w:rsidDel="00000000" w:rsidP="00000000" w:rsidRDefault="00000000" w:rsidRPr="00000000" w14:paraId="0000010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Robustez a oclusiones</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30.0" w:type="dxa"/>
              <w:left w:w="80.0" w:type="dxa"/>
              <w:bottom w:w="30.0" w:type="dxa"/>
              <w:right w:w="80.0" w:type="dxa"/>
            </w:tcMar>
          </w:tcPr>
          <w:p w:rsidR="00000000" w:rsidDel="00000000" w:rsidP="00000000" w:rsidRDefault="00000000" w:rsidRPr="00000000" w14:paraId="0000010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Latencia / FPS</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30.0" w:type="dxa"/>
              <w:left w:w="80.0" w:type="dxa"/>
              <w:bottom w:w="30.0" w:type="dxa"/>
              <w:right w:w="80.0" w:type="dxa"/>
            </w:tcMar>
          </w:tcPr>
          <w:p w:rsidR="00000000" w:rsidDel="00000000" w:rsidP="00000000" w:rsidRDefault="00000000" w:rsidRPr="00000000" w14:paraId="0000010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Dependencia de entrenamiento</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0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SORT</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0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Tracking-by-</w:t>
              <w:br w:type="textWrapping"/>
              <w:t xml:space="preserve">detection</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0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Kalman lineal</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0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IoU + Húngaro</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0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Baja</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0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Muy alta (&gt;200 FPS)</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0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Ninguna</w:t>
            </w:r>
          </w:p>
        </w:tc>
      </w:tr>
      <w:tr>
        <w:trPr>
          <w:cantSplit w:val="0"/>
          <w:tblHeader w:val="0"/>
        </w:trPr>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0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DeepSORT</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1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Tracking-by-</w:t>
              <w:br w:type="textWrapping"/>
              <w:t xml:space="preserve">detection</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1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Kalman lineal</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1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Cascada: movimiento + apariencia</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1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Media-Alta</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1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1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Modelo ReID preentrenado</w:t>
            </w:r>
          </w:p>
        </w:tc>
      </w:tr>
      <w:tr>
        <w:trPr>
          <w:cantSplit w:val="0"/>
          <w:tblHeader w:val="0"/>
        </w:trPr>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1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ByteTrack</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1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Tracking-by-</w:t>
              <w:br w:type="textWrapping"/>
              <w:t xml:space="preserve">detection</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1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Kalman lineal</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1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Jerárquica: alta/baja confianza + IoU</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1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1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Muy alta (&gt;170 FPS)</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1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Ninguna</w:t>
            </w:r>
          </w:p>
        </w:tc>
      </w:tr>
      <w:tr>
        <w:trPr>
          <w:cantSplit w:val="0"/>
          <w:tblHeader w:val="0"/>
        </w:trPr>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1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OC-SORT</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1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Tracking-by-</w:t>
              <w:br w:type="textWrapping"/>
              <w:t xml:space="preserve">detection</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1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Kalman + correcciones OC</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2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IoU + consistencia de momento (OCM)</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2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Media-Alta</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2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Muy alta</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2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Ninguna</w:t>
            </w:r>
          </w:p>
        </w:tc>
      </w:tr>
      <w:tr>
        <w:trPr>
          <w:cantSplit w:val="0"/>
          <w:tblHeader w:val="0"/>
        </w:trPr>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2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BoT-SORT</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2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Tracking-by-</w:t>
              <w:br w:type="textWrapping"/>
              <w:t xml:space="preserve">detection</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2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Kalman mejorado + CMC</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2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Fusión IoU-ReID</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2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2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2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Modelo ReID preentrenado</w:t>
            </w:r>
          </w:p>
        </w:tc>
      </w:tr>
      <w:tr>
        <w:trPr>
          <w:cantSplit w:val="0"/>
          <w:tblHeader w:val="0"/>
        </w:trPr>
        <w:tc>
          <w:tcPr>
            <w:tcBorders>
              <w:top w:color="000000" w:space="0" w:sz="0" w:val="nil"/>
              <w:left w:color="000000" w:space="0" w:sz="0" w:val="nil"/>
              <w:bottom w:color="000000" w:space="0" w:sz="12" w:val="single"/>
              <w:right w:color="000000" w:space="0" w:sz="0" w:val="nil"/>
            </w:tcBorders>
            <w:tcMar>
              <w:top w:w="30.0" w:type="dxa"/>
              <w:left w:w="80.0" w:type="dxa"/>
              <w:bottom w:w="30.0" w:type="dxa"/>
              <w:right w:w="80.0" w:type="dxa"/>
            </w:tcMar>
          </w:tcPr>
          <w:p w:rsidR="00000000" w:rsidDel="00000000" w:rsidP="00000000" w:rsidRDefault="00000000" w:rsidRPr="00000000" w14:paraId="0000012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TrackFormer / MOTR</w:t>
            </w:r>
          </w:p>
        </w:tc>
        <w:tc>
          <w:tcPr>
            <w:tcBorders>
              <w:top w:color="000000" w:space="0" w:sz="0" w:val="nil"/>
              <w:left w:color="000000" w:space="0" w:sz="0" w:val="nil"/>
              <w:bottom w:color="000000" w:space="0" w:sz="12" w:val="single"/>
              <w:right w:color="000000" w:space="0" w:sz="0" w:val="nil"/>
            </w:tcBorders>
            <w:tcMar>
              <w:top w:w="30.0" w:type="dxa"/>
              <w:left w:w="80.0" w:type="dxa"/>
              <w:bottom w:w="30.0" w:type="dxa"/>
              <w:right w:w="80.0" w:type="dxa"/>
            </w:tcMar>
          </w:tcPr>
          <w:p w:rsidR="00000000" w:rsidDel="00000000" w:rsidP="00000000" w:rsidRDefault="00000000" w:rsidRPr="00000000" w14:paraId="0000012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End-to-end (Transformer)</w:t>
            </w:r>
          </w:p>
        </w:tc>
        <w:tc>
          <w:tcPr>
            <w:tcBorders>
              <w:top w:color="000000" w:space="0" w:sz="0" w:val="nil"/>
              <w:left w:color="000000" w:space="0" w:sz="0" w:val="nil"/>
              <w:bottom w:color="000000" w:space="0" w:sz="12" w:val="single"/>
              <w:right w:color="000000" w:space="0" w:sz="0" w:val="nil"/>
            </w:tcBorders>
            <w:tcMar>
              <w:top w:w="30.0" w:type="dxa"/>
              <w:left w:w="80.0" w:type="dxa"/>
              <w:bottom w:w="30.0" w:type="dxa"/>
              <w:right w:w="80.0" w:type="dxa"/>
            </w:tcMar>
          </w:tcPr>
          <w:p w:rsidR="00000000" w:rsidDel="00000000" w:rsidP="00000000" w:rsidRDefault="00000000" w:rsidRPr="00000000" w14:paraId="0000012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Atención temporal aprendida</w:t>
            </w:r>
          </w:p>
        </w:tc>
        <w:tc>
          <w:tcPr>
            <w:tcBorders>
              <w:top w:color="000000" w:space="0" w:sz="0" w:val="nil"/>
              <w:left w:color="000000" w:space="0" w:sz="0" w:val="nil"/>
              <w:bottom w:color="000000" w:space="0" w:sz="12" w:val="single"/>
              <w:right w:color="000000" w:space="0" w:sz="0" w:val="nil"/>
            </w:tcBorders>
            <w:tcMar>
              <w:top w:w="30.0" w:type="dxa"/>
              <w:left w:w="80.0" w:type="dxa"/>
              <w:bottom w:w="30.0" w:type="dxa"/>
              <w:right w:w="80.0" w:type="dxa"/>
            </w:tcMar>
          </w:tcPr>
          <w:p w:rsidR="00000000" w:rsidDel="00000000" w:rsidP="00000000" w:rsidRDefault="00000000" w:rsidRPr="00000000" w14:paraId="0000012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Mecanismo de atención global</w:t>
            </w:r>
          </w:p>
        </w:tc>
        <w:tc>
          <w:tcPr>
            <w:tcBorders>
              <w:top w:color="000000" w:space="0" w:sz="0" w:val="nil"/>
              <w:left w:color="000000" w:space="0" w:sz="0" w:val="nil"/>
              <w:bottom w:color="000000" w:space="0" w:sz="12" w:val="single"/>
              <w:right w:color="000000" w:space="0" w:sz="0" w:val="nil"/>
            </w:tcBorders>
            <w:tcMar>
              <w:top w:w="30.0" w:type="dxa"/>
              <w:left w:w="80.0" w:type="dxa"/>
              <w:bottom w:w="30.0" w:type="dxa"/>
              <w:right w:w="80.0" w:type="dxa"/>
            </w:tcMar>
          </w:tcPr>
          <w:p w:rsidR="00000000" w:rsidDel="00000000" w:rsidP="00000000" w:rsidRDefault="00000000" w:rsidRPr="00000000" w14:paraId="0000012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Muy alta</w:t>
            </w:r>
          </w:p>
        </w:tc>
        <w:tc>
          <w:tcPr>
            <w:tcBorders>
              <w:top w:color="000000" w:space="0" w:sz="0" w:val="nil"/>
              <w:left w:color="000000" w:space="0" w:sz="0" w:val="nil"/>
              <w:bottom w:color="000000" w:space="0" w:sz="12" w:val="single"/>
              <w:right w:color="000000" w:space="0" w:sz="0" w:val="nil"/>
            </w:tcBorders>
            <w:tcMar>
              <w:top w:w="30.0" w:type="dxa"/>
              <w:left w:w="80.0" w:type="dxa"/>
              <w:bottom w:w="30.0" w:type="dxa"/>
              <w:right w:w="80.0" w:type="dxa"/>
            </w:tcMar>
          </w:tcPr>
          <w:p w:rsidR="00000000" w:rsidDel="00000000" w:rsidP="00000000" w:rsidRDefault="00000000" w:rsidRPr="00000000" w14:paraId="0000013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Baja</w:t>
            </w:r>
          </w:p>
        </w:tc>
        <w:tc>
          <w:tcPr>
            <w:tcBorders>
              <w:top w:color="000000" w:space="0" w:sz="0" w:val="nil"/>
              <w:left w:color="000000" w:space="0" w:sz="0" w:val="nil"/>
              <w:bottom w:color="000000" w:space="0" w:sz="12" w:val="single"/>
              <w:right w:color="000000" w:space="0" w:sz="0" w:val="nil"/>
            </w:tcBorders>
            <w:tcMar>
              <w:top w:w="30.0" w:type="dxa"/>
              <w:left w:w="80.0" w:type="dxa"/>
              <w:bottom w:w="30.0" w:type="dxa"/>
              <w:right w:w="80.0" w:type="dxa"/>
            </w:tcMar>
          </w:tcPr>
          <w:p w:rsidR="00000000" w:rsidDel="00000000" w:rsidP="00000000" w:rsidRDefault="00000000" w:rsidRPr="00000000" w14:paraId="0000013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Entrenamiento conjunto requerido</w:t>
            </w:r>
          </w:p>
        </w:tc>
      </w:tr>
    </w:tbl>
    <w:p w:rsidR="00000000" w:rsidDel="00000000" w:rsidP="00000000" w:rsidRDefault="00000000" w:rsidRPr="00000000" w14:paraId="00000132">
      <w:pPr>
        <w:spacing w:line="480" w:lineRule="auto"/>
        <w:rPr>
          <w:rFonts w:ascii="Times New Roman" w:cs="Times New Roman" w:eastAsia="Times New Roman" w:hAnsi="Times New Roman"/>
          <w:sz w:val="24"/>
          <w:szCs w:val="24"/>
        </w:rPr>
        <w:sectPr>
          <w:type w:val="nextPage"/>
          <w:pgSz w:h="12240" w:w="15840" w:orient="landscape"/>
          <w:pgMar w:bottom="1440" w:top="1440" w:left="1440" w:right="1440" w:header="720" w:footer="720"/>
        </w:sectPr>
      </w:pPr>
      <w:r w:rsidDel="00000000" w:rsidR="00000000" w:rsidRPr="00000000">
        <w:rPr>
          <w:rFonts w:ascii="Times New Roman" w:cs="Times New Roman" w:eastAsia="Times New Roman" w:hAnsi="Times New Roman"/>
          <w:b w:val="1"/>
          <w:bCs w:val="1"/>
          <w:sz w:val="24"/>
          <w:szCs w:val="24"/>
          <w:rtl w:val="0"/>
        </w:rPr>
        <w:t xml:space="preserve">Nota. </w:t>
      </w:r>
      <w:r w:rsidDel="00000000" w:rsidR="00000000" w:rsidRPr="00000000">
        <w:rPr>
          <w:rFonts w:ascii="Times New Roman" w:cs="Times New Roman" w:eastAsia="Times New Roman" w:hAnsi="Times New Roman"/>
          <w:sz w:val="24"/>
          <w:szCs w:val="24"/>
          <w:rtl w:val="0"/>
        </w:rPr>
        <w:t xml:space="preserve">CMC = Compensación de Movimiento de Cámara (Camera Motion Compensation). OC = Observation-Centric. La columna 'Dependencia de entrenamiento' refiere a componentes adicionales al detector base que requieren entrenamiento supervisado. FPS estimados corresponden a las configuraciones reportadas en los trabajos originales sobre hardware de referencia; pueden variar significativamente según el hardware y la resolución de entrada. Fuente: Elaboración propia basada en las fuentes citadas </w:t>
      </w:r>
      <w:hyperlink r:id="rId10">
        <w:r w:rsidDel="00000000" w:rsidR="00000000" w:rsidRPr="00000000">
          <w:rPr>
            <w:rFonts w:ascii="Times New Roman" w:cs="Times New Roman" w:eastAsia="Times New Roman" w:hAnsi="Times New Roman"/>
            <w:sz w:val="24"/>
            <w:szCs w:val="24"/>
            <w:rtl w:val="0"/>
          </w:rPr>
          <w:t xml:space="preserve">(Adžemović, 2025; Aharon et al., 2022; Bewley et al., 2016; Cao et al., 2023; Wojke et al., 2017; Y. Zhang et al., 2022)</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33">
      <w:pPr>
        <w:pStyle w:val="Heading4"/>
        <w:spacing w:after="0" w:before="0" w:line="480" w:lineRule="auto"/>
        <w:rPr>
          <w:rFonts w:ascii="Times New Roman" w:cs="Times New Roman" w:eastAsia="Times New Roman" w:hAnsi="Times New Roman"/>
          <w:b w:val="1"/>
          <w:bCs w:val="1"/>
          <w:color w:val="000000"/>
        </w:rPr>
      </w:pPr>
      <w:bookmarkStart w:colFirst="0" w:colLast="0" w:name="_joslkqqs72l4" w:id="38"/>
      <w:bookmarkEnd w:id="38"/>
      <w:r w:rsidDel="00000000" w:rsidR="00000000" w:rsidRPr="00000000">
        <w:rPr>
          <w:rFonts w:ascii="Times New Roman" w:cs="Times New Roman" w:eastAsia="Times New Roman" w:hAnsi="Times New Roman"/>
          <w:b w:val="1"/>
          <w:bCs w:val="1"/>
          <w:color w:val="000000"/>
          <w:rtl w:val="0"/>
        </w:rPr>
        <w:t xml:space="preserve">15.3.2.1. Observaciones críticas sobre la comparativa</w:t>
      </w:r>
    </w:p>
    <w:p w:rsidR="00000000" w:rsidDel="00000000" w:rsidP="00000000" w:rsidRDefault="00000000" w:rsidRPr="00000000" w14:paraId="0000013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literatura comparativa muestra que los métodos de seguimiento difieren no sólo en sus resultados agregados, sino también en las dependencias que introducen. Los enfoques geométricos sin modelos de apariencia pueden acoplarse a detectores externos sin requerir entrenamiento adicional de ReID, mientras que las variantes basadas en apariencia o entrenamiento conjunto dependen de datos y componentes específicos (Adžemović, 2025; Wojke et al., 2017). Esta diferencia delimita un compromiso entre simplicidad de integración y robustez de asociación; por sí sola, no determina la elección de un tracker para una plataforma OVD.</w:t>
      </w:r>
    </w:p>
    <w:p w:rsidR="00000000" w:rsidDel="00000000" w:rsidP="00000000" w:rsidRDefault="00000000" w:rsidRPr="00000000" w14:paraId="00000135">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6">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7">
      <w:pPr>
        <w:pStyle w:val="Heading3"/>
        <w:spacing w:after="0" w:before="0" w:line="480" w:lineRule="auto"/>
        <w:rPr>
          <w:rFonts w:ascii="Times New Roman" w:cs="Times New Roman" w:eastAsia="Times New Roman" w:hAnsi="Times New Roman"/>
          <w:b w:val="1"/>
          <w:bCs w:val="1"/>
          <w:i w:val="1"/>
          <w:iCs w:val="1"/>
          <w:color w:val="000000"/>
          <w:sz w:val="24"/>
          <w:szCs w:val="24"/>
        </w:rPr>
      </w:pPr>
      <w:bookmarkStart w:colFirst="0" w:colLast="0" w:name="_1iuvgfnmsa7c" w:id="39"/>
      <w:bookmarkEnd w:id="39"/>
      <w:r w:rsidDel="00000000" w:rsidR="00000000" w:rsidRPr="00000000">
        <w:rPr>
          <w:rFonts w:ascii="Times New Roman" w:cs="Times New Roman" w:eastAsia="Times New Roman" w:hAnsi="Times New Roman"/>
          <w:b w:val="1"/>
          <w:bCs w:val="1"/>
          <w:i w:val="1"/>
          <w:iCs w:val="1"/>
          <w:color w:val="000000"/>
          <w:sz w:val="24"/>
          <w:szCs w:val="24"/>
          <w:rtl w:val="0"/>
        </w:rPr>
        <w:t xml:space="preserve">15.3.3. Métricas de evaluación para MOT</w:t>
      </w:r>
    </w:p>
    <w:p w:rsidR="00000000" w:rsidDel="00000000" w:rsidP="00000000" w:rsidRDefault="00000000" w:rsidRPr="00000000" w14:paraId="00000138">
      <w:pPr>
        <w:spacing w:after="0" w:before="0" w:line="480" w:lineRule="auto"/>
        <w:rPr/>
      </w:pPr>
      <w:r w:rsidDel="00000000" w:rsidR="00000000" w:rsidRPr="00000000">
        <w:rPr>
          <w:rtl w:val="0"/>
        </w:rPr>
        <w:t xml:space="preserve">MOTA resume falsos negativos, falsos positivos y cambios de identidad respecto del ground truth, aunque su lectura está fuertemente condicionada por los errores de detección (Bernardin &amp; Stiefelhagen, 2008). IDF1 enfatiza la consistencia de identidad a lo largo de la secuencia (Ristani et al., 2016), mientras que HOTA separa y combina calidad de detección, asociación y localización (Luiten et al., 2021). Estas métricas caracterizan al tracker, pero no miden el valor temporal de una alerta; la evaluación de un sistema asistivo exige niveles adicionales, cuya definición corresponde al protocolo experimental.</w:t>
      </w:r>
    </w:p>
    <w:p w:rsidR="00000000" w:rsidDel="00000000" w:rsidP="00000000" w:rsidRDefault="00000000" w:rsidRPr="00000000" w14:paraId="00000139">
      <w:pPr>
        <w:spacing w:after="0" w:before="0" w:line="480" w:lineRule="auto"/>
        <w:rPr/>
      </w:pPr>
      <w:r w:rsidDel="00000000" w:rsidR="00000000" w:rsidRPr="00000000">
        <w:rPr>
          <w:rtl w:val="0"/>
        </w:rPr>
      </w:r>
    </w:p>
    <w:p w:rsidR="00000000" w:rsidDel="00000000" w:rsidP="00000000" w:rsidRDefault="00000000" w:rsidRPr="00000000" w14:paraId="0000013A">
      <w:pPr>
        <w:pStyle w:val="Heading3"/>
        <w:spacing w:after="0" w:before="0" w:line="480" w:lineRule="auto"/>
        <w:rPr>
          <w:rFonts w:ascii="Times New Roman" w:cs="Times New Roman" w:eastAsia="Times New Roman" w:hAnsi="Times New Roman"/>
          <w:b w:val="1"/>
          <w:bCs w:val="1"/>
          <w:i w:val="1"/>
          <w:iCs w:val="1"/>
          <w:color w:val="000000"/>
          <w:sz w:val="24"/>
          <w:szCs w:val="24"/>
        </w:rPr>
      </w:pPr>
      <w:bookmarkStart w:colFirst="0" w:colLast="0" w:name="_5dwerulhiw1t" w:id="40"/>
      <w:bookmarkEnd w:id="40"/>
      <w:r w:rsidDel="00000000" w:rsidR="00000000" w:rsidRPr="00000000">
        <w:rPr>
          <w:rFonts w:ascii="Times New Roman" w:cs="Times New Roman" w:eastAsia="Times New Roman" w:hAnsi="Times New Roman"/>
          <w:b w:val="1"/>
          <w:bCs w:val="1"/>
          <w:i w:val="1"/>
          <w:iCs w:val="1"/>
          <w:color w:val="000000"/>
          <w:sz w:val="24"/>
          <w:szCs w:val="24"/>
          <w:rtl w:val="0"/>
        </w:rPr>
        <w:t xml:space="preserve">15.3.4. Brechas identificadas y desafíos para el prototipo</w:t>
      </w:r>
    </w:p>
    <w:p w:rsidR="00000000" w:rsidDel="00000000" w:rsidP="00000000" w:rsidRDefault="00000000" w:rsidRPr="00000000" w14:paraId="0000013B">
      <w:pPr>
        <w:spacing w:line="480" w:lineRule="auto"/>
        <w:ind w:firstLine="720"/>
        <w:rPr>
          <w:rFonts w:ascii="Times New Roman" w:cs="Times New Roman" w:eastAsia="Times New Roman" w:hAnsi="Times New Roman"/>
          <w:sz w:val="24"/>
          <w:szCs w:val="24"/>
        </w:rPr>
        <w:sectPr>
          <w:type w:val="nextPage"/>
          <w:pgSz w:h="15840" w:w="12240"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El análisis del estado del arte en MOT revela un conjunto de brechas que condicionan el diseño del prototipo y las decisiones metodológicas de la consolidación metodológica posterior. La Tabla 7 organiza estas brechas con su descripción técnica y su implicación específica para el proyecto.</w:t>
      </w:r>
    </w:p>
    <w:p w:rsidR="00000000" w:rsidDel="00000000" w:rsidP="00000000" w:rsidRDefault="00000000" w:rsidRPr="00000000" w14:paraId="0000013C">
      <w:pPr>
        <w:spacing w:line="360" w:lineRule="auto"/>
        <w:rPr>
          <w:rFonts w:ascii="Times New Roman" w:cs="Times New Roman" w:eastAsia="Times New Roman" w:hAnsi="Times New Roman"/>
          <w:b w:val="1"/>
          <w:bCs w:val="1"/>
          <w:sz w:val="24"/>
          <w:szCs w:val="24"/>
        </w:rPr>
      </w:pPr>
      <w:bookmarkStart w:colFirst="0" w:colLast="0" w:name="_a5a9wf2onj99" w:id="41"/>
      <w:bookmarkEnd w:id="41"/>
      <w:r w:rsidDel="00000000" w:rsidR="00000000" w:rsidRPr="00000000">
        <w:rPr>
          <w:rFonts w:ascii="Times New Roman" w:cs="Times New Roman" w:eastAsia="Times New Roman" w:hAnsi="Times New Roman"/>
          <w:b w:val="1"/>
          <w:bCs w:val="1"/>
          <w:i w:val="1"/>
          <w:iCs w:val="1"/>
          <w:sz w:val="24"/>
          <w:szCs w:val="24"/>
          <w:rtl w:val="0"/>
        </w:rPr>
        <w:t xml:space="preserve">Tabla 7</w:t>
      </w:r>
      <w:r w:rsidDel="00000000" w:rsidR="00000000" w:rsidRPr="00000000">
        <w:rPr>
          <w:rtl w:val="0"/>
        </w:rPr>
      </w:r>
    </w:p>
    <w:p w:rsidR="00000000" w:rsidDel="00000000" w:rsidP="00000000" w:rsidRDefault="00000000" w:rsidRPr="00000000" w14:paraId="0000013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Brechas identificadas en la aplicación de métodos MOT al contexto de seguridad en construcción civil en combinación con detección open-vocabulary</w:t>
      </w:r>
      <w:r w:rsidDel="00000000" w:rsidR="00000000" w:rsidRPr="00000000">
        <w:rPr>
          <w:rtl w:val="0"/>
        </w:rPr>
      </w:r>
    </w:p>
    <w:tbl>
      <w:tblPr>
        <w:tblStyle w:val="Table6"/>
        <w:tblW w:w="104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80"/>
        <w:gridCol w:w="4500"/>
        <w:gridCol w:w="4080"/>
        <w:tblGridChange w:id="0">
          <w:tblGrid>
            <w:gridCol w:w="1880"/>
            <w:gridCol w:w="4500"/>
            <w:gridCol w:w="4080"/>
          </w:tblGrid>
        </w:tblGridChange>
      </w:tblGrid>
      <w:tr>
        <w:trPr>
          <w:cantSplit w:val="0"/>
          <w:tblHeader w:val="1"/>
        </w:trPr>
        <w:tc>
          <w:tcPr>
            <w:tcBorders>
              <w:top w:color="000000" w:space="0" w:sz="12" w:val="single"/>
              <w:left w:color="000000" w:space="0" w:sz="0" w:val="nil"/>
              <w:bottom w:color="000000" w:space="0" w:sz="4" w:val="single"/>
              <w:right w:color="000000" w:space="0" w:sz="0" w:val="nil"/>
            </w:tcBorders>
            <w:tcMar>
              <w:top w:w="30.0" w:type="dxa"/>
              <w:left w:w="80.0" w:type="dxa"/>
              <w:bottom w:w="30.0" w:type="dxa"/>
              <w:right w:w="80.0" w:type="dxa"/>
            </w:tcMar>
          </w:tcPr>
          <w:p w:rsidR="00000000" w:rsidDel="00000000" w:rsidP="00000000" w:rsidRDefault="00000000" w:rsidRPr="00000000" w14:paraId="0000013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Brecha identificada</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30.0" w:type="dxa"/>
              <w:left w:w="80.0" w:type="dxa"/>
              <w:bottom w:w="30.0" w:type="dxa"/>
              <w:right w:w="80.0" w:type="dxa"/>
            </w:tcMar>
          </w:tcPr>
          <w:p w:rsidR="00000000" w:rsidDel="00000000" w:rsidP="00000000" w:rsidRDefault="00000000" w:rsidRPr="00000000" w14:paraId="0000013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30.0" w:type="dxa"/>
              <w:left w:w="80.0" w:type="dxa"/>
              <w:bottom w:w="30.0" w:type="dxa"/>
              <w:right w:w="80.0" w:type="dxa"/>
            </w:tcMar>
          </w:tcPr>
          <w:p w:rsidR="00000000" w:rsidDel="00000000" w:rsidP="00000000" w:rsidRDefault="00000000" w:rsidRPr="00000000" w14:paraId="0000014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Implicación para el proyecto</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4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Dependencia de la calidad del detector subyacente</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4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rendimiento del MOT está fuertemente acoplado al desempeño del detector. Errores de detección —FP, FN, bounding boxes inestables— se propagan al tracking, produciendo fragmentación de trayectorias, pérdidas de identidad y asociaciones erróneas </w:t>
            </w:r>
            <w:hyperlink r:id="rId11">
              <w:r w:rsidDel="00000000" w:rsidR="00000000" w:rsidRPr="00000000">
                <w:rPr>
                  <w:rFonts w:ascii="Times New Roman" w:cs="Times New Roman" w:eastAsia="Times New Roman" w:hAnsi="Times New Roman"/>
                  <w:sz w:val="24"/>
                  <w:szCs w:val="24"/>
                  <w:rtl w:val="0"/>
                </w:rPr>
                <w:t xml:space="preserve">(S. Li et al., 2025)</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4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el pipeline OVD + MOT, la variabilidad inherente de la detección open-vocabulary puede amplificar errores de asociación; el diseño del sistema debe contemplar estrategias de filtrado y umbralización que reduzcan el ruido de entrada al tracker</w:t>
            </w:r>
          </w:p>
        </w:tc>
      </w:tr>
      <w:tr>
        <w:trPr>
          <w:cantSplit w:val="0"/>
          <w:tblHeader w:val="0"/>
        </w:trPr>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4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Fragilidad ante oclusiones prolongadas</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4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Aunque los métodos modernos manejan oclusiones breves, las oclusiones de larga duración producen terminación prematura de trayectorias, re-asociaciones inciertas y aumento de ID switches </w:t>
            </w:r>
            <w:hyperlink r:id="rId12">
              <w:r w:rsidDel="00000000" w:rsidR="00000000" w:rsidRPr="00000000">
                <w:rPr>
                  <w:rFonts w:ascii="Times New Roman" w:cs="Times New Roman" w:eastAsia="Times New Roman" w:hAnsi="Times New Roman"/>
                  <w:sz w:val="24"/>
                  <w:szCs w:val="24"/>
                  <w:rtl w:val="0"/>
                </w:rPr>
                <w:t xml:space="preserve">(Du et al., 2024)</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4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entornos de obra civil con alta densidad de obstrucciones (andamios, maquinaria, materiales), la robustez ante oclusiones es una restricción de diseño relevante que debe evaluarse empíricamente</w:t>
            </w:r>
          </w:p>
        </w:tc>
      </w:tr>
      <w:tr>
        <w:trPr>
          <w:cantSplit w:val="0"/>
          <w:tblHeader w:val="0"/>
        </w:trPr>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4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Métricas estándar no alineadas con objetivos operativos de seguridad</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4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métricas MOTA, IDF1 y HOTA evalúan el desempeño del tracking frame-a-frame sin considerar el impacto operativo diferenciado de distintos tipos de error en el contexto de seguridad laboral </w:t>
            </w:r>
            <w:hyperlink r:id="rId13">
              <w:r w:rsidDel="00000000" w:rsidR="00000000" w:rsidRPr="00000000">
                <w:rPr>
                  <w:rFonts w:ascii="Times New Roman" w:cs="Times New Roman" w:eastAsia="Times New Roman" w:hAnsi="Times New Roman"/>
                  <w:sz w:val="24"/>
                  <w:szCs w:val="24"/>
                  <w:rtl w:val="0"/>
                </w:rPr>
                <w:t xml:space="preserve">(Luiten et al., 2021)</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4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deben definir criterios de evaluación del componente MOT alineados con el dominio: persistencia mínima para disparar alertas, penalización diferenciada de ID switches en condiciones de riesgo, y tolerancia ante falsos positivos por oclusión</w:t>
            </w:r>
          </w:p>
        </w:tc>
      </w:tr>
      <w:tr>
        <w:trPr>
          <w:cantSplit w:val="0"/>
          <w:tblHeader w:val="0"/>
        </w:trPr>
        <w:tc>
          <w:tcPr>
            <w:tcBorders>
              <w:top w:color="000000" w:space="0" w:sz="0" w:val="nil"/>
              <w:left w:color="000000" w:space="0" w:sz="0" w:val="nil"/>
              <w:bottom w:color="000000" w:space="0" w:sz="12" w:val="single"/>
              <w:right w:color="000000" w:space="0" w:sz="0" w:val="nil"/>
            </w:tcBorders>
            <w:tcMar>
              <w:top w:w="30.0" w:type="dxa"/>
              <w:left w:w="80.0" w:type="dxa"/>
              <w:bottom w:w="30.0" w:type="dxa"/>
              <w:right w:w="80.0" w:type="dxa"/>
            </w:tcMar>
          </w:tcPr>
          <w:p w:rsidR="00000000" w:rsidDel="00000000" w:rsidP="00000000" w:rsidRDefault="00000000" w:rsidRPr="00000000" w14:paraId="0000014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Ausencia de datasets de construcción con anotaciones de tracking</w:t>
            </w:r>
          </w:p>
        </w:tc>
        <w:tc>
          <w:tcPr>
            <w:tcBorders>
              <w:top w:color="000000" w:space="0" w:sz="0" w:val="nil"/>
              <w:left w:color="000000" w:space="0" w:sz="0" w:val="nil"/>
              <w:bottom w:color="000000" w:space="0" w:sz="12" w:val="single"/>
              <w:right w:color="000000" w:space="0" w:sz="0" w:val="nil"/>
            </w:tcBorders>
            <w:tcMar>
              <w:top w:w="30.0" w:type="dxa"/>
              <w:left w:w="80.0" w:type="dxa"/>
              <w:bottom w:w="30.0" w:type="dxa"/>
              <w:right w:w="80.0" w:type="dxa"/>
            </w:tcMar>
          </w:tcPr>
          <w:p w:rsidR="00000000" w:rsidDel="00000000" w:rsidP="00000000" w:rsidRDefault="00000000" w:rsidRPr="00000000" w14:paraId="0000014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benchmarks estándar de MOT (MOT17, MOT20, DanceTrack) no contemplan el dominio de obras civiles; la evaluación del tracker en condiciones representativas requiere datos del dominio específico </w:t>
            </w:r>
            <w:hyperlink r:id="rId14">
              <w:r w:rsidDel="00000000" w:rsidR="00000000" w:rsidRPr="00000000">
                <w:rPr>
                  <w:rFonts w:ascii="Times New Roman" w:cs="Times New Roman" w:eastAsia="Times New Roman" w:hAnsi="Times New Roman"/>
                  <w:sz w:val="24"/>
                  <w:szCs w:val="24"/>
                  <w:rtl w:val="0"/>
                </w:rPr>
                <w:t xml:space="preserve">(Dendorfer et al., 2020; Milan et al., 2016)</w:t>
              </w:r>
            </w:hyperlink>
            <w:r w:rsidDel="00000000" w:rsidR="00000000" w:rsidRPr="00000000">
              <w:rPr>
                <w:rtl w:val="0"/>
              </w:rPr>
            </w:r>
          </w:p>
        </w:tc>
        <w:tc>
          <w:tcPr>
            <w:tcBorders>
              <w:top w:color="000000" w:space="0" w:sz="0" w:val="nil"/>
              <w:left w:color="000000" w:space="0" w:sz="0" w:val="nil"/>
              <w:bottom w:color="000000" w:space="0" w:sz="12" w:val="single"/>
              <w:right w:color="000000" w:space="0" w:sz="0" w:val="nil"/>
            </w:tcBorders>
            <w:tcMar>
              <w:top w:w="30.0" w:type="dxa"/>
              <w:left w:w="80.0" w:type="dxa"/>
              <w:bottom w:w="30.0" w:type="dxa"/>
              <w:right w:w="80.0" w:type="dxa"/>
            </w:tcMar>
          </w:tcPr>
          <w:p w:rsidR="00000000" w:rsidDel="00000000" w:rsidP="00000000" w:rsidRDefault="00000000" w:rsidRPr="00000000" w14:paraId="0000014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validación del componente MOT en el prototipo no puede apoyarse en benchmarks estándar; se requiere la definición de un protocolo de evaluación propio con datos recopilados en el contexto del proyecto</w:t>
            </w:r>
          </w:p>
        </w:tc>
      </w:tr>
    </w:tbl>
    <w:p w:rsidR="00000000" w:rsidDel="00000000" w:rsidP="00000000" w:rsidRDefault="00000000" w:rsidRPr="00000000" w14:paraId="0000014D">
      <w:pPr>
        <w:spacing w:line="480" w:lineRule="auto"/>
        <w:rPr>
          <w:rFonts w:ascii="Times New Roman" w:cs="Times New Roman" w:eastAsia="Times New Roman" w:hAnsi="Times New Roman"/>
          <w:sz w:val="24"/>
          <w:szCs w:val="24"/>
        </w:rPr>
        <w:sectPr>
          <w:type w:val="nextPage"/>
          <w:pgSz w:h="12240" w:w="15840" w:orient="landscape"/>
          <w:pgMar w:bottom="1440" w:top="1440" w:left="1440" w:right="1440" w:header="720" w:footer="720"/>
        </w:sectPr>
      </w:pPr>
      <w:r w:rsidDel="00000000" w:rsidR="00000000" w:rsidRPr="00000000">
        <w:rPr>
          <w:rFonts w:ascii="Times New Roman" w:cs="Times New Roman" w:eastAsia="Times New Roman" w:hAnsi="Times New Roman"/>
          <w:b w:val="1"/>
          <w:bCs w:val="1"/>
          <w:sz w:val="24"/>
          <w:szCs w:val="24"/>
          <w:rtl w:val="0"/>
        </w:rPr>
        <w:t xml:space="preserve">Nota. </w:t>
      </w:r>
      <w:r w:rsidDel="00000000" w:rsidR="00000000" w:rsidRPr="00000000">
        <w:rPr>
          <w:rFonts w:ascii="Times New Roman" w:cs="Times New Roman" w:eastAsia="Times New Roman" w:hAnsi="Times New Roman"/>
          <w:sz w:val="24"/>
          <w:szCs w:val="24"/>
          <w:rtl w:val="0"/>
        </w:rPr>
        <w:t xml:space="preserve">Las brechas listadas definen el espacio de problemas abiertos que deben abordarse en el diseño experimental (etapa 2) y en la implementación del prototipo (etapa 4). Fuente: Elaboración propia basada en las fuentes citadas </w:t>
      </w:r>
      <w:hyperlink r:id="rId15">
        <w:r w:rsidDel="00000000" w:rsidR="00000000" w:rsidRPr="00000000">
          <w:rPr>
            <w:rFonts w:ascii="Times New Roman" w:cs="Times New Roman" w:eastAsia="Times New Roman" w:hAnsi="Times New Roman"/>
            <w:sz w:val="24"/>
            <w:szCs w:val="24"/>
            <w:rtl w:val="0"/>
          </w:rPr>
          <w:t xml:space="preserve">(Adžemović, 2025; Dendorfer et al., 2020; Du et al., 2024; S. Li et al., 2025; Luiten et al., 2021; Milan et al., 2016)</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4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brecha de ausencia de datasets de construcción con anotaciones de tracking merece una consideración adicional. Los benchmarks estándar de MOT —MOT17, MOT20, DanceTrack— fueron diseñados para escenarios de peatones en entornos urbanos y eventos de danza respectivamente, con distribuciones visuales que difieren significativamente de una obra civil: densidad de cámara fija en planos elevados, entidades heterogéneas (personas, maquinaria, materiales), indumentaria de protección que puede confundir a los modelos de apariencia, y configuraciones de oclusión determinadas por la geometría de la obra. Esta brecha no puede resolverse mediante adaptación de los benchmarks existentes; requiere la definición de un protocolo de evaluación propio que se apoyará en los datos recopilados durante la fase experimental del proyecto.</w:t>
      </w:r>
    </w:p>
    <w:p w:rsidR="00000000" w:rsidDel="00000000" w:rsidP="00000000" w:rsidRDefault="00000000" w:rsidRPr="00000000" w14:paraId="0000014F">
      <w:pPr>
        <w:pStyle w:val="Heading2"/>
        <w:spacing w:after="0" w:before="0" w:line="480" w:lineRule="auto"/>
        <w:rPr>
          <w:rFonts w:ascii="Times New Roman" w:cs="Times New Roman" w:eastAsia="Times New Roman" w:hAnsi="Times New Roman"/>
          <w:b w:val="1"/>
          <w:bCs w:val="1"/>
          <w:sz w:val="24"/>
          <w:szCs w:val="24"/>
        </w:rPr>
      </w:pPr>
      <w:bookmarkStart w:colFirst="0" w:colLast="0" w:name="_9ehy907b8rmm" w:id="42"/>
      <w:bookmarkEnd w:id="42"/>
      <w:r w:rsidDel="00000000" w:rsidR="00000000" w:rsidRPr="00000000">
        <w:rPr>
          <w:rFonts w:ascii="Times New Roman" w:cs="Times New Roman" w:eastAsia="Times New Roman" w:hAnsi="Times New Roman"/>
          <w:b w:val="1"/>
          <w:bCs w:val="1"/>
          <w:sz w:val="24"/>
          <w:szCs w:val="24"/>
          <w:rtl w:val="0"/>
        </w:rPr>
        <w:t xml:space="preserve">15.4. Video en tiempo real y streaming: protocolos, servidores y brechas del estado del arte</w:t>
      </w:r>
    </w:p>
    <w:p w:rsidR="00000000" w:rsidDel="00000000" w:rsidP="00000000" w:rsidRDefault="00000000" w:rsidRPr="00000000" w14:paraId="00000150">
      <w:pPr>
        <w:pStyle w:val="Heading3"/>
        <w:spacing w:after="0" w:before="0" w:line="480" w:lineRule="auto"/>
        <w:rPr>
          <w:rFonts w:ascii="Times New Roman" w:cs="Times New Roman" w:eastAsia="Times New Roman" w:hAnsi="Times New Roman"/>
          <w:b w:val="1"/>
          <w:bCs w:val="1"/>
          <w:i w:val="1"/>
          <w:iCs w:val="1"/>
          <w:color w:val="000000"/>
          <w:sz w:val="24"/>
          <w:szCs w:val="24"/>
        </w:rPr>
      </w:pPr>
      <w:bookmarkStart w:colFirst="0" w:colLast="0" w:name="_igzgaaqt8bsj" w:id="43"/>
      <w:bookmarkEnd w:id="43"/>
      <w:r w:rsidDel="00000000" w:rsidR="00000000" w:rsidRPr="00000000">
        <w:rPr>
          <w:rFonts w:ascii="Times New Roman" w:cs="Times New Roman" w:eastAsia="Times New Roman" w:hAnsi="Times New Roman"/>
          <w:b w:val="1"/>
          <w:bCs w:val="1"/>
          <w:i w:val="1"/>
          <w:iCs w:val="1"/>
          <w:color w:val="000000"/>
          <w:sz w:val="24"/>
          <w:szCs w:val="24"/>
          <w:rtl w:val="0"/>
        </w:rPr>
        <w:t xml:space="preserve">15.4.1. Protocolos de transmisión de video de baja latencia</w:t>
      </w:r>
    </w:p>
    <w:p w:rsidR="00000000" w:rsidDel="00000000" w:rsidP="00000000" w:rsidRDefault="00000000" w:rsidRPr="00000000" w14:paraId="0000015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protocolos de transmisión de vídeo constituyen un componente relevante dentro del análisis de sistemas de vídeo en tiempo real, debido a que condicionan la forma en que los flujos provenientes de cámaras o fuentes de vídeo son transportados hacia los módulos de procesamiento, visualización o almacenamiento. En el contexto del presente proyecto, su estudio resulta necesario porque la detección open-vocabulary no opera sobre imágenes aisladas, sino sobre secuencias continuas que deben ser recibidas, decodificadas y procesadas con una latencia compatible con la generación oportuna de alertas.</w:t>
      </w:r>
    </w:p>
    <w:p w:rsidR="00000000" w:rsidDel="00000000" w:rsidP="00000000" w:rsidRDefault="00000000" w:rsidRPr="00000000" w14:paraId="0000015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Desde una perspectiva general, los protocolos de streaming pueden diferenciarse por dimensiones como el modelo de entrega, el esquema de distribución, la tolerancia a pérdidas, los mecanismos de buffering y el orden de magnitud de latencia que suelen alcanzar bajo determinadas condiciones de red y configuración. Sin embargo, estos valores no deben interpretarse como propiedades absolutas de cada protocolo, ya que la latencia final depende del pipeline completo: captura, codificación, transporte, decodificación, inferencia, evaluación de patrones y comunicación de resultados. Estos componentes serán retomados con mayor detalle en el marco teórico y en la descripción técnica del sistema, donde se analizará su impacto dentro de la arquitectura experimental.</w:t>
      </w:r>
    </w:p>
    <w:p w:rsidR="00000000" w:rsidDel="00000000" w:rsidP="00000000" w:rsidRDefault="00000000" w:rsidRPr="00000000" w14:paraId="0000015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esta sección, el análisis se limita a revisar los protocolos y familias de transmisión más relevantes para aplicaciones de baja latencia, identificando sus características principales, sus restricciones prácticas y su grado de compatibilidad con un sistema de análisis automatizado de vídeo. Esta revisión permite establecer criterios preliminares para la selección posterior del stack de medios, sin definir todavía una implementación definitiva.</w:t>
      </w:r>
    </w:p>
    <w:p w:rsidR="00000000" w:rsidDel="00000000" w:rsidP="00000000" w:rsidRDefault="00000000" w:rsidRPr="00000000" w14:paraId="00000154">
      <w:pPr>
        <w:pStyle w:val="Heading4"/>
        <w:spacing w:after="0" w:before="0" w:line="480" w:lineRule="auto"/>
        <w:rPr>
          <w:rFonts w:ascii="Times New Roman" w:cs="Times New Roman" w:eastAsia="Times New Roman" w:hAnsi="Times New Roman"/>
          <w:b w:val="1"/>
          <w:bCs w:val="1"/>
          <w:color w:val="000000"/>
        </w:rPr>
      </w:pPr>
      <w:bookmarkStart w:colFirst="0" w:colLast="0" w:name="_qwjy2ubjh0uy" w:id="44"/>
      <w:bookmarkEnd w:id="44"/>
      <w:r w:rsidDel="00000000" w:rsidR="00000000" w:rsidRPr="00000000">
        <w:rPr>
          <w:rFonts w:ascii="Times New Roman" w:cs="Times New Roman" w:eastAsia="Times New Roman" w:hAnsi="Times New Roman"/>
          <w:b w:val="1"/>
          <w:bCs w:val="1"/>
          <w:color w:val="000000"/>
          <w:rtl w:val="0"/>
        </w:rPr>
        <w:t xml:space="preserve">15.4.1.1. Criterios de clasificación de protocolos</w:t>
      </w:r>
    </w:p>
    <w:p w:rsidR="00000000" w:rsidDel="00000000" w:rsidP="00000000" w:rsidRDefault="00000000" w:rsidRPr="00000000" w14:paraId="0000015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Modelo de entrega push. </w:t>
      </w:r>
      <w:r w:rsidDel="00000000" w:rsidR="00000000" w:rsidRPr="00000000">
        <w:rPr>
          <w:rFonts w:ascii="Times New Roman" w:cs="Times New Roman" w:eastAsia="Times New Roman" w:hAnsi="Times New Roman"/>
          <w:sz w:val="24"/>
          <w:szCs w:val="24"/>
          <w:rtl w:val="0"/>
        </w:rPr>
        <w:t xml:space="preserve">En el modelo push, una vez establecida la sesión, el emisor entrega el flujo de manera continua hacia el receptor (típicamente sobre UDP o sobre una sesión persistente), minimizando esperas asociadas a la solicitud de unidades discretas de contenido. Protocolos de tiempo real, como RTP y flujos interactivos como WebRTC, se alinean más naturalmente con push (ISO/IEC, 2022; May, 2017a).</w:t>
      </w:r>
    </w:p>
    <w:p w:rsidR="00000000" w:rsidDel="00000000" w:rsidP="00000000" w:rsidRDefault="00000000" w:rsidRPr="00000000" w14:paraId="0000015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Modelo de entrega pull. </w:t>
      </w:r>
      <w:r w:rsidDel="00000000" w:rsidR="00000000" w:rsidRPr="00000000">
        <w:rPr>
          <w:rFonts w:ascii="Times New Roman" w:cs="Times New Roman" w:eastAsia="Times New Roman" w:hAnsi="Times New Roman"/>
          <w:sz w:val="24"/>
          <w:szCs w:val="24"/>
          <w:rtl w:val="0"/>
        </w:rPr>
        <w:t xml:space="preserve">En el modelo pull, el control de la entrega reside principalmente en el cliente: el receptor solicita (por HTTP) segmentos o partes de segmentos en forma sucesiva, habilitando escalabilidad y cacheo, pero introduciendo buffering y latencias asociadas a segmentación y recarga. Los esquemas adaptativos sobre HTTP, como HLS y MPEG-DASH, responden al patrón pull (cliente-driven).</w:t>
      </w:r>
    </w:p>
    <w:p w:rsidR="00000000" w:rsidDel="00000000" w:rsidP="00000000" w:rsidRDefault="00000000" w:rsidRPr="00000000" w14:paraId="0000015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Esquema de distribución unicast. </w:t>
      </w:r>
      <w:r w:rsidDel="00000000" w:rsidR="00000000" w:rsidRPr="00000000">
        <w:rPr>
          <w:rFonts w:ascii="Times New Roman" w:cs="Times New Roman" w:eastAsia="Times New Roman" w:hAnsi="Times New Roman"/>
          <w:sz w:val="24"/>
          <w:szCs w:val="24"/>
          <w:rtl w:val="0"/>
        </w:rPr>
        <w:t xml:space="preserve">En unicast, cada cliente mantiene una conexión individual y recibe un flujo dedicado, lo que simplifica control por receptor (adaptación, seguridad, métricas), pero escala el consumo de ancho de banda en el emisor.</w:t>
      </w:r>
    </w:p>
    <w:p w:rsidR="00000000" w:rsidDel="00000000" w:rsidP="00000000" w:rsidRDefault="00000000" w:rsidRPr="00000000" w14:paraId="0000015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Esquema de distribución multicast. </w:t>
      </w:r>
      <w:r w:rsidDel="00000000" w:rsidR="00000000" w:rsidRPr="00000000">
        <w:rPr>
          <w:rFonts w:ascii="Times New Roman" w:cs="Times New Roman" w:eastAsia="Times New Roman" w:hAnsi="Times New Roman"/>
          <w:sz w:val="24"/>
          <w:szCs w:val="24"/>
          <w:rtl w:val="0"/>
        </w:rPr>
        <w:t xml:space="preserve">En multicast, el emisor envía un único flujo a un grupo multicast y la red replica hacia múltiples receptores, siendo eficiente en redes administradas. Protocolos basados en RTP pueden operar sobre unicast o multicast; sin embargo, el multicast IP no es viable en Internet abierta (en general no es ruteable extremo-a-extremo y complica control de congestión por receptor).</w:t>
      </w:r>
    </w:p>
    <w:p w:rsidR="00000000" w:rsidDel="00000000" w:rsidP="00000000" w:rsidRDefault="00000000" w:rsidRPr="00000000" w14:paraId="0000015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Orden de magnitud de latencia. </w:t>
      </w:r>
      <w:r w:rsidDel="00000000" w:rsidR="00000000" w:rsidRPr="00000000">
        <w:rPr>
          <w:rFonts w:ascii="Times New Roman" w:cs="Times New Roman" w:eastAsia="Times New Roman" w:hAnsi="Times New Roman"/>
          <w:sz w:val="24"/>
          <w:szCs w:val="24"/>
          <w:rtl w:val="0"/>
        </w:rPr>
        <w:t xml:space="preserve">Otra forma práctica de categorizar protocolos es por la latencia end-to-end típica que habilitan bajo configuraciones habituales. En términos operativos pueden distinguirse tres rangos:</w:t>
      </w:r>
    </w:p>
    <w:p w:rsidR="00000000" w:rsidDel="00000000" w:rsidP="00000000" w:rsidRDefault="00000000" w:rsidRPr="00000000" w14:paraId="0000015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Alta latencia (&gt;~3 s)</w:t>
      </w:r>
      <w:r w:rsidDel="00000000" w:rsidR="00000000" w:rsidRPr="00000000">
        <w:rPr>
          <w:rFonts w:ascii="Times New Roman" w:cs="Times New Roman" w:eastAsia="Times New Roman" w:hAnsi="Times New Roman"/>
          <w:sz w:val="24"/>
          <w:szCs w:val="24"/>
          <w:rtl w:val="0"/>
        </w:rPr>
        <w:t xml:space="preserve">. Protocolos orientados a distribución masiva y robustez. Aquí se ubican implementaciones “clásicas” de HLS y MPEG-DASH con segmentos de varios segundos. Al apoyarse en HTTP/HTTPS y CDN, priorizan escalabilidad y tolerancia a fallos, usualmente con latencias del orden de varios segundos a decenas de segundos (ISO/IEC, 2022; May, 2017a).</w:t>
      </w:r>
    </w:p>
    <w:p w:rsidR="00000000" w:rsidDel="00000000" w:rsidP="00000000" w:rsidRDefault="00000000" w:rsidRPr="00000000" w14:paraId="0000015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Latencia media (~0,5 a 3 s)</w:t>
      </w:r>
      <w:r w:rsidDel="00000000" w:rsidR="00000000" w:rsidRPr="00000000">
        <w:rPr>
          <w:rFonts w:ascii="Times New Roman" w:cs="Times New Roman" w:eastAsia="Times New Roman" w:hAnsi="Times New Roman"/>
          <w:sz w:val="24"/>
          <w:szCs w:val="24"/>
          <w:rtl w:val="0"/>
        </w:rPr>
        <w:t xml:space="preserve">. Incluye protocolos como RTMP (en ingesta), RTSP cuando se opera con buffers conservadores o sobre TCP, y variantes de baja latencia de HLS/DASH basadas en segmentación fina y entrega parcial.</w:t>
      </w:r>
    </w:p>
    <w:p w:rsidR="00000000" w:rsidDel="00000000" w:rsidP="00000000" w:rsidRDefault="00000000" w:rsidRPr="00000000" w14:paraId="0000015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Baja latencia (&lt;~500 ms)</w:t>
      </w:r>
      <w:r w:rsidDel="00000000" w:rsidR="00000000" w:rsidRPr="00000000">
        <w:rPr>
          <w:rFonts w:ascii="Times New Roman" w:cs="Times New Roman" w:eastAsia="Times New Roman" w:hAnsi="Times New Roman"/>
          <w:sz w:val="24"/>
          <w:szCs w:val="24"/>
          <w:rtl w:val="0"/>
        </w:rPr>
        <w:t xml:space="preserve">. Protocolos diseñados para interactividad estricta y respuesta casi en tiempo real: WebRTC, SRT, RIST y flujos RTP con mínima capa de sesión. En general emplean UDP para evitar la penalidad de retransmisiones fuera de plazo y operan con buffers pequeños, compensando la pérdida con estrategias específicas (p. ej., ARQ “dentro de un presupuesto de tiempo” en SRT/ RIST). En WebRTC, además, la conectividad extremo-a-extremo depende de mecanismos de traversal NAT como ICE, que influyen en la latencia efectiva según el tipo de red (Keranen et al., 2018; Nakagawa et al., 2021; Schulzrinne et al., 2003b; M. P. Sharabayko et al., 2024; Video Services Forum, 2020).</w:t>
      </w:r>
    </w:p>
    <w:p w:rsidR="00000000" w:rsidDel="00000000" w:rsidP="00000000" w:rsidRDefault="00000000" w:rsidRPr="00000000" w14:paraId="0000015D">
      <w:pPr>
        <w:pStyle w:val="Heading4"/>
        <w:spacing w:after="0" w:before="0" w:line="480" w:lineRule="auto"/>
        <w:rPr>
          <w:rFonts w:ascii="Times New Roman" w:cs="Times New Roman" w:eastAsia="Times New Roman" w:hAnsi="Times New Roman"/>
          <w:b w:val="1"/>
          <w:bCs w:val="1"/>
          <w:color w:val="000000"/>
        </w:rPr>
      </w:pPr>
      <w:bookmarkStart w:colFirst="0" w:colLast="0" w:name="_n4hkzez8utps" w:id="45"/>
      <w:bookmarkEnd w:id="45"/>
      <w:r w:rsidDel="00000000" w:rsidR="00000000" w:rsidRPr="00000000">
        <w:rPr>
          <w:rFonts w:ascii="Times New Roman" w:cs="Times New Roman" w:eastAsia="Times New Roman" w:hAnsi="Times New Roman"/>
          <w:b w:val="1"/>
          <w:bCs w:val="1"/>
          <w:color w:val="000000"/>
          <w:rtl w:val="0"/>
        </w:rPr>
        <w:t xml:space="preserve">15.4.1.2. Mapa de familias de protocolos según los criterios de clasificación</w:t>
      </w:r>
    </w:p>
    <w:p w:rsidR="00000000" w:rsidDel="00000000" w:rsidP="00000000" w:rsidRDefault="00000000" w:rsidRPr="00000000" w14:paraId="0000015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esta sección, se analizan los protocolos más relevantes aplicando sistemáticamente (i) modelo de entrega, (ii) esquema de distribución y (iii) latencia típica, además de consideraciones prácticas pertinentes a cada protocolo (NAT, resiliencia, seguridad, tooling).</w:t>
      </w:r>
    </w:p>
    <w:p w:rsidR="00000000" w:rsidDel="00000000" w:rsidP="00000000" w:rsidRDefault="00000000" w:rsidRPr="00000000" w14:paraId="0000015F">
      <w:pPr>
        <w:spacing w:after="0" w:before="0" w:line="480" w:lineRule="auto"/>
        <w:rPr/>
      </w:pPr>
      <w:r w:rsidDel="00000000" w:rsidR="00000000" w:rsidRPr="00000000">
        <w:rPr>
          <w:rtl w:val="0"/>
        </w:rPr>
        <w:t xml:space="preserve">RTSP/RTP: el estándar de cámaras IP industriales. El Real-Time Streaming Protocol (RTSP) es un protocolo de capa de aplicación orientado al control de sesiones de streaming. Fue especificado inicialmente en el RFC 2326 (Schulzrinne et al., 1998a) y posteriormente revisado en RTSP 2.0 mediante el RFC 7826 (Schulzrinne et al., 2016). RTSP opera como plano de control: el cliente describe la sesión, negocia parámetros y ejecuta acciones de control, mientras que el audio y el video suelen transportarse mediante un protocolo de medios separado.</w:t>
      </w:r>
    </w:p>
    <w:p w:rsidR="00000000" w:rsidDel="00000000" w:rsidP="00000000" w:rsidRDefault="00000000" w:rsidRPr="00000000" w14:paraId="00000160">
      <w:pPr>
        <w:spacing w:after="0" w:before="0" w:line="480" w:lineRule="auto"/>
        <w:rPr/>
      </w:pPr>
      <w:r w:rsidDel="00000000" w:rsidR="00000000" w:rsidRPr="00000000">
        <w:rPr>
          <w:rtl w:val="0"/>
        </w:rPr>
      </w:r>
    </w:p>
    <w:p w:rsidR="00000000" w:rsidDel="00000000" w:rsidP="00000000" w:rsidRDefault="00000000" w:rsidRPr="00000000" w14:paraId="00000161">
      <w:pPr>
        <w:spacing w:after="0" w:before="0" w:line="480" w:lineRule="auto"/>
        <w:rPr/>
      </w:pPr>
      <w:r w:rsidDel="00000000" w:rsidR="00000000" w:rsidRPr="00000000">
        <w:rPr>
          <w:rtl w:val="0"/>
        </w:rPr>
        <w:t xml:space="preserve">En este esquema, el transporte de medios suele realizarse con Real-time Transport Protocol (RTP), definido en el RFC 3550, acompañado por RTCP para informar pérdida y jitter (Schulzrinne et al., 2003b). RTP se encapsula típicamente sobre UDP e incorpora timestamps y números de secuencia para facilitar la reconstrucción temporal y el manejo del jitter. RTSP/RTP se adoptó ampliamente en videovigilancia y cámaras IP por su madurez y compatibilidad; ONVIF Profile S lo utiliza como mecanismo central de consumo y control de streams (ONVIF, 2019). En redes controladas puede utilizar UDP para el transporte, mientras que RTP/RTCP interleaved sobre la conexión TCP de RTSP simplifica el cruce de firewalls a costa de los compromisos propios de TCP (Schulzrinne et al., 1998a, 2016).</w:t>
      </w:r>
    </w:p>
    <w:p w:rsidR="00000000" w:rsidDel="00000000" w:rsidP="00000000" w:rsidRDefault="00000000" w:rsidRPr="00000000" w14:paraId="00000162">
      <w:pPr>
        <w:spacing w:after="0" w:before="0" w:line="480" w:lineRule="auto"/>
        <w:rPr/>
      </w:pPr>
      <w:r w:rsidDel="00000000" w:rsidR="00000000" w:rsidRPr="00000000">
        <w:rPr>
          <w:rtl w:val="0"/>
        </w:rPr>
      </w:r>
    </w:p>
    <w:p w:rsidR="00000000" w:rsidDel="00000000" w:rsidP="00000000" w:rsidRDefault="00000000" w:rsidRPr="00000000" w14:paraId="00000163">
      <w:pPr>
        <w:spacing w:after="0" w:before="0" w:line="480" w:lineRule="auto"/>
        <w:rPr/>
      </w:pPr>
      <w:r w:rsidDel="00000000" w:rsidR="00000000" w:rsidRPr="00000000">
        <w:rPr>
          <w:rtl w:val="0"/>
        </w:rPr>
        <w:t xml:space="preserve">En cuanto a latencia, los valores reportados para un protocolo son rangos típicos y no compromisos del estándar. La latencia end-to-end depende de captura, codificación, red, decodificación y, de manera marcada, del buffer del receptor. Axis Communications AB (2015) identifica el play-out buffer como un componente que puede dominar el retardo cuando se prioriza estabilidad frente a jitter. Bajo condiciones favorables, RTSP/RTP puede operar en el orden de cientos de milisegundos —aproximadamente 200–800 ms—; configuraciones de videovigilancia con buffering conservador pueden elevar ese valor a 1.000–2.000 ms o más (Axis Communications AB, 2015).</w:t>
      </w:r>
    </w:p>
    <w:p w:rsidR="00000000" w:rsidDel="00000000" w:rsidP="00000000" w:rsidRDefault="00000000" w:rsidRPr="00000000" w14:paraId="00000164">
      <w:pPr>
        <w:pStyle w:val="Heading3"/>
        <w:spacing w:after="0" w:before="0" w:line="480" w:lineRule="auto"/>
        <w:rPr>
          <w:rFonts w:ascii="Times New Roman" w:cs="Times New Roman" w:eastAsia="Times New Roman" w:hAnsi="Times New Roman"/>
          <w:b w:val="1"/>
          <w:bCs w:val="1"/>
          <w:i w:val="1"/>
          <w:iCs w:val="1"/>
          <w:color w:val="000000"/>
          <w:sz w:val="24"/>
          <w:szCs w:val="24"/>
        </w:rPr>
      </w:pPr>
      <w:bookmarkStart w:colFirst="0" w:colLast="0" w:name="_cqtwgr49o6v6" w:id="46"/>
      <w:bookmarkEnd w:id="46"/>
      <w:r w:rsidDel="00000000" w:rsidR="00000000" w:rsidRPr="00000000">
        <w:rPr>
          <w:rtl w:val="0"/>
        </w:rPr>
      </w:r>
    </w:p>
    <w:p w:rsidR="00000000" w:rsidDel="00000000" w:rsidP="00000000" w:rsidRDefault="00000000" w:rsidRPr="00000000" w14:paraId="00000165">
      <w:pPr>
        <w:pStyle w:val="Heading3"/>
        <w:spacing w:after="0" w:before="0" w:line="480" w:lineRule="auto"/>
        <w:rPr>
          <w:rFonts w:ascii="Times New Roman" w:cs="Times New Roman" w:eastAsia="Times New Roman" w:hAnsi="Times New Roman"/>
          <w:b w:val="1"/>
          <w:bCs w:val="1"/>
          <w:i w:val="1"/>
          <w:iCs w:val="1"/>
          <w:color w:val="000000"/>
          <w:sz w:val="24"/>
          <w:szCs w:val="24"/>
        </w:rPr>
      </w:pPr>
      <w:bookmarkStart w:colFirst="0" w:colLast="0" w:name="_o6w5qe1ptvmp" w:id="47"/>
      <w:bookmarkEnd w:id="47"/>
      <w:r w:rsidDel="00000000" w:rsidR="00000000" w:rsidRPr="00000000">
        <w:rPr>
          <w:rFonts w:ascii="Times New Roman" w:cs="Times New Roman" w:eastAsia="Times New Roman" w:hAnsi="Times New Roman"/>
          <w:b w:val="1"/>
          <w:bCs w:val="1"/>
          <w:i w:val="1"/>
          <w:iCs w:val="1"/>
          <w:color w:val="000000"/>
          <w:sz w:val="24"/>
          <w:szCs w:val="24"/>
          <w:rtl w:val="0"/>
        </w:rPr>
        <w:t xml:space="preserve">15.4.2. Alternativas complementarias de ingesta, transporte y distribución</w:t>
      </w:r>
    </w:p>
    <w:p w:rsidR="00000000" w:rsidDel="00000000" w:rsidP="00000000" w:rsidRDefault="00000000" w:rsidRPr="00000000" w14:paraId="00000166">
      <w:pPr>
        <w:spacing w:after="0" w:before="0" w:line="480" w:lineRule="auto"/>
        <w:rPr/>
      </w:pPr>
      <w:r w:rsidDel="00000000" w:rsidR="00000000" w:rsidRPr="00000000">
        <w:rPr>
          <w:rtl w:val="0"/>
        </w:rPr>
        <w:t xml:space="preserve">Además de RTSP/RTP, la literatura de transmisión de baja latencia comprende familias con compromisos diferentes. Los esquemas HTTP adaptativos —HLS y MPEG-DASH, incluidas sus extensiones de baja latencia— priorizan escalabilidad y robustez mediante segmentación; WebRTC integra negociación, transporte y control de congestión para interacción sub-segundo; y SRT/RIST agregan recuperación selectiva de pérdidas sobre UDP para enlaces variables. Estas alternativas no son directamente equivalentes: la latencia observada depende del códec, los buffers, la red y la implementación, por lo que su comparación debe interpretarse como un mapa de propiedades y no como un ranking universal. La Tabla 8 resume estas diferencias.</w:t>
      </w:r>
    </w:p>
    <w:p w:rsidR="00000000" w:rsidDel="00000000" w:rsidP="00000000" w:rsidRDefault="00000000" w:rsidRPr="00000000" w14:paraId="00000167">
      <w:pPr>
        <w:spacing w:after="0" w:before="0" w:line="480" w:lineRule="auto"/>
        <w:rPr/>
      </w:pPr>
      <w:r w:rsidDel="00000000" w:rsidR="00000000" w:rsidRPr="00000000">
        <w:rPr>
          <w:rtl w:val="0"/>
        </w:rPr>
      </w:r>
    </w:p>
    <w:p w:rsidR="00000000" w:rsidDel="00000000" w:rsidP="00000000" w:rsidRDefault="00000000" w:rsidRPr="00000000" w14:paraId="00000168">
      <w:pPr>
        <w:spacing w:after="0" w:before="0" w:line="480" w:lineRule="auto"/>
        <w:rPr/>
      </w:pPr>
      <w:r w:rsidDel="00000000" w:rsidR="00000000" w:rsidRPr="00000000">
        <w:rPr>
          <w:rtl w:val="0"/>
        </w:rPr>
        <w:t xml:space="preserve">La captura mediante SDK constituye una alternativa distinta del consumo de un stream ya codificado. En cámaras inteligentes, el host puede gobernar un pipeline ejecutado en el dispositivo y recibir las unidades visuales o salidas requeridas para el procesamiento posterior. Esta modalidad permite desplazar operaciones acotadas de adquisición o preprocesamiento hacia la fuente sin equipararla a inferencia OVD en el borde (Luxonis, s. f.).</w:t>
      </w:r>
    </w:p>
    <w:p w:rsidR="00000000" w:rsidDel="00000000" w:rsidP="00000000" w:rsidRDefault="00000000" w:rsidRPr="00000000" w14:paraId="00000169">
      <w:pPr>
        <w:spacing w:after="0" w:before="0" w:line="480" w:lineRule="auto"/>
        <w:rPr/>
      </w:pPr>
      <w:r w:rsidDel="00000000" w:rsidR="00000000" w:rsidRPr="00000000">
        <w:rPr>
          <w:rtl w:val="0"/>
        </w:rPr>
      </w:r>
    </w:p>
    <w:p w:rsidR="00000000" w:rsidDel="00000000" w:rsidP="00000000" w:rsidRDefault="00000000" w:rsidRPr="00000000" w14:paraId="0000016A">
      <w:pPr>
        <w:spacing w:after="0" w:before="0" w:line="480" w:lineRule="auto"/>
        <w:rPr/>
      </w:pPr>
      <w:r w:rsidDel="00000000" w:rsidR="00000000" w:rsidRPr="00000000">
        <w:rPr>
          <w:rtl w:val="0"/>
        </w:rPr>
        <w:t xml:space="preserve">Los servidores de medios implementan combinaciones de retransmisión, pasarela, reempaquetamiento o transcodificación. Su aporte a la latencia depende de si transforman el contenido o sólo lo reenvían: la transcodificación incorpora decodificación y recodificación, mientras que un relay agrega principalmente un salto de red y gestión de colas. Para un pipeline de analítica visual, esta distinción resulta más relevante que un catálogo extenso de productos, porque permite separar el costo del transporte del costo de transformación multimedia (Ahmad et al., 2005; Amirante et al., 2014, 2015).</w:t>
      </w:r>
    </w:p>
    <w:p w:rsidR="00000000" w:rsidDel="00000000" w:rsidP="00000000" w:rsidRDefault="00000000" w:rsidRPr="00000000" w14:paraId="0000016B">
      <w:pPr>
        <w:spacing w:after="0" w:before="0" w:line="480" w:lineRule="auto"/>
        <w:rPr/>
      </w:pPr>
      <w:r w:rsidDel="00000000" w:rsidR="00000000" w:rsidRPr="00000000">
        <w:rPr>
          <w:rtl w:val="0"/>
        </w:rPr>
      </w:r>
    </w:p>
    <w:p w:rsidR="00000000" w:rsidDel="00000000" w:rsidP="00000000" w:rsidRDefault="00000000" w:rsidRPr="00000000" w14:paraId="0000016C">
      <w:pPr>
        <w:spacing w:after="0" w:before="0" w:line="480" w:lineRule="auto"/>
        <w:rPr/>
      </w:pPr>
      <w:r w:rsidDel="00000000" w:rsidR="00000000" w:rsidRPr="00000000">
        <w:rPr>
          <w:rtl w:val="0"/>
        </w:rPr>
        <w:t xml:space="preserve">En la salida del pipeline, los patrones publicador-suscriptor permiten desacoplar la generación de eventos de sus consumidores. MQTT formaliza distintos niveles de calidad de servicio; QoS 1 garantiza entrega al menos una vez mediante confirmación PUBACK, por lo que una aplicación debe tolerar posibles reentregas y controlar idempotencia cuando un mismo evento no deba producir efectos duplicados (OASIS, 2019). Esta propiedad permite distinguir la generación interna de una alerta de su distribución posterior.</w:t>
      </w:r>
    </w:p>
    <w:p w:rsidR="00000000" w:rsidDel="00000000" w:rsidP="00000000" w:rsidRDefault="00000000" w:rsidRPr="00000000" w14:paraId="0000016D">
      <w:pPr>
        <w:pStyle w:val="Heading3"/>
        <w:spacing w:after="0" w:before="0" w:line="480" w:lineRule="auto"/>
        <w:rPr>
          <w:rFonts w:ascii="Times New Roman" w:cs="Times New Roman" w:eastAsia="Times New Roman" w:hAnsi="Times New Roman"/>
          <w:b w:val="1"/>
          <w:bCs w:val="1"/>
          <w:i w:val="1"/>
          <w:iCs w:val="1"/>
          <w:color w:val="000000"/>
          <w:sz w:val="24"/>
          <w:szCs w:val="24"/>
        </w:rPr>
      </w:pPr>
      <w:bookmarkStart w:colFirst="0" w:colLast="0" w:name="_2g1s50actmzy" w:id="48"/>
      <w:bookmarkEnd w:id="48"/>
      <w:r w:rsidDel="00000000" w:rsidR="00000000" w:rsidRPr="00000000">
        <w:rPr>
          <w:rtl w:val="0"/>
        </w:rPr>
      </w:r>
    </w:p>
    <w:p w:rsidR="00000000" w:rsidDel="00000000" w:rsidP="00000000" w:rsidRDefault="00000000" w:rsidRPr="00000000" w14:paraId="0000016E">
      <w:pPr>
        <w:pStyle w:val="Heading3"/>
        <w:spacing w:after="0" w:before="0" w:line="480" w:lineRule="auto"/>
        <w:rPr>
          <w:rFonts w:ascii="Times New Roman" w:cs="Times New Roman" w:eastAsia="Times New Roman" w:hAnsi="Times New Roman"/>
          <w:b w:val="1"/>
          <w:bCs w:val="1"/>
          <w:i w:val="1"/>
          <w:iCs w:val="1"/>
          <w:color w:val="000000"/>
          <w:sz w:val="24"/>
          <w:szCs w:val="24"/>
        </w:rPr>
      </w:pPr>
      <w:bookmarkStart w:colFirst="0" w:colLast="0" w:name="_j2t3dzw0zkwp" w:id="49"/>
      <w:bookmarkEnd w:id="49"/>
      <w:r w:rsidDel="00000000" w:rsidR="00000000" w:rsidRPr="00000000">
        <w:rPr>
          <w:rFonts w:ascii="Times New Roman" w:cs="Times New Roman" w:eastAsia="Times New Roman" w:hAnsi="Times New Roman"/>
          <w:b w:val="1"/>
          <w:bCs w:val="1"/>
          <w:i w:val="1"/>
          <w:iCs w:val="1"/>
          <w:color w:val="000000"/>
          <w:sz w:val="24"/>
          <w:szCs w:val="24"/>
          <w:rtl w:val="0"/>
        </w:rPr>
        <w:t xml:space="preserve">15.4.3. Brechas del estado del arte en el streaming/OVD</w:t>
      </w:r>
    </w:p>
    <w:p w:rsidR="00000000" w:rsidDel="00000000" w:rsidP="00000000" w:rsidRDefault="00000000" w:rsidRPr="00000000" w14:paraId="0000016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tecnologías y arquitecturas actuales de streaming presentan un conjunto de limitaciones que condicionan directamente el diseño del pipeline experimental.</w:t>
      </w:r>
    </w:p>
    <w:p w:rsidR="00000000" w:rsidDel="00000000" w:rsidP="00000000" w:rsidRDefault="00000000" w:rsidRPr="00000000" w14:paraId="00000170">
      <w:pPr>
        <w:pStyle w:val="Heading4"/>
        <w:spacing w:after="0" w:before="0" w:line="480" w:lineRule="auto"/>
        <w:rPr>
          <w:rFonts w:ascii="Times New Roman" w:cs="Times New Roman" w:eastAsia="Times New Roman" w:hAnsi="Times New Roman"/>
          <w:b w:val="1"/>
          <w:bCs w:val="1"/>
          <w:color w:val="000000"/>
        </w:rPr>
      </w:pPr>
      <w:bookmarkStart w:colFirst="0" w:colLast="0" w:name="_xd574axlfb72" w:id="50"/>
      <w:bookmarkEnd w:id="50"/>
      <w:r w:rsidDel="00000000" w:rsidR="00000000" w:rsidRPr="00000000">
        <w:rPr>
          <w:rFonts w:ascii="Times New Roman" w:cs="Times New Roman" w:eastAsia="Times New Roman" w:hAnsi="Times New Roman"/>
          <w:b w:val="1"/>
          <w:bCs w:val="1"/>
          <w:color w:val="000000"/>
          <w:rtl w:val="0"/>
        </w:rPr>
        <w:t xml:space="preserve">15.4.3.1. Ausencia de benchmarks end-to-end integrados para pipelines OVD</w:t>
      </w:r>
    </w:p>
    <w:p w:rsidR="00000000" w:rsidDel="00000000" w:rsidP="00000000" w:rsidRDefault="00000000" w:rsidRPr="00000000" w14:paraId="0000017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literatura revisada evidencia una fragmentación sistemática en la evaluación de desempeño: los benchmarks de inferencia de modelos OVD (p. ej., AP en COCO/LVIS, FPS en GPU aislada) operan de forma independiente respecto de los benchmarks de streaming (latencia de transporte, throughput de protocolo) y de las métricas de plataformas de edge computing (TOPS, FPS bajo carga térmica). Para una plataforma como E-OVRT-VDP el criterio de selección debe basarse en mediciones reproducibles del pipeline completo, y no extrapolarse directamente de métricas parciales o aisladas.</w:t>
      </w:r>
    </w:p>
    <w:p w:rsidR="00000000" w:rsidDel="00000000" w:rsidP="00000000" w:rsidRDefault="00000000" w:rsidRPr="00000000" w14:paraId="0000017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brecha implica que no existen referentes directos en la literatura que permitan predecir con confianza el desempeño de un sistema que combina ingesta multi-protocolo, decodificación acelerada, inferencia OVD y emisión de eventos bajo restricciones de latencia propias de operación en tiempo real. En consecuencia, la validación empírica del pipeline completo constituye una contribución necesaria del proyecto, y la definición de protocolos de medición reproducibles deberá abordarse como parte del diseño experimental en la etapa 2.</w:t>
      </w:r>
    </w:p>
    <w:p w:rsidR="00000000" w:rsidDel="00000000" w:rsidP="00000000" w:rsidRDefault="00000000" w:rsidRPr="00000000" w14:paraId="00000173">
      <w:pPr>
        <w:pStyle w:val="Heading4"/>
        <w:spacing w:after="0" w:before="0" w:line="480" w:lineRule="auto"/>
        <w:rPr>
          <w:rFonts w:ascii="Times New Roman" w:cs="Times New Roman" w:eastAsia="Times New Roman" w:hAnsi="Times New Roman"/>
          <w:b w:val="1"/>
          <w:bCs w:val="1"/>
          <w:color w:val="000000"/>
        </w:rPr>
      </w:pPr>
      <w:bookmarkStart w:colFirst="0" w:colLast="0" w:name="_jycngw4nc971" w:id="51"/>
      <w:bookmarkEnd w:id="51"/>
      <w:r w:rsidDel="00000000" w:rsidR="00000000" w:rsidRPr="00000000">
        <w:rPr>
          <w:rFonts w:ascii="Times New Roman" w:cs="Times New Roman" w:eastAsia="Times New Roman" w:hAnsi="Times New Roman"/>
          <w:b w:val="1"/>
          <w:bCs w:val="1"/>
          <w:color w:val="000000"/>
          <w:rtl w:val="0"/>
        </w:rPr>
        <w:t xml:space="preserve">15.4.3.2. Integración de modelos OVD dentro de pipelines de streaming optimizados</w:t>
      </w:r>
    </w:p>
    <w:p w:rsidR="00000000" w:rsidDel="00000000" w:rsidP="00000000" w:rsidRDefault="00000000" w:rsidRPr="00000000" w14:paraId="0000017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frameworks de streaming más maduros para video analytics en tiempo real, como NVIDIA DeepStream, han sido históricamente diseñados y optimizados para detectores de clases fijas con arquitecturas convolucionales estándar, cuyos patrones de integración asumen una entrada de imagen y un conjunto predefinido de clases de salida (NVIDIA, 2024). Si bien el ecosistema ha comenzado a incorporar soporte para modelos open-vocabulary —por ejemplo, NVIDIA TAO Toolkit incluye flujos de exportación y despliegue para Grounding DINO (NVIDIA, s. f.-g)—, la integración de estos modelos en pipelines de streaming presenta desafíos técnicos que no se resuelven con la misma inmediatez que los detectores convencionales.</w:t>
      </w:r>
    </w:p>
    <w:p w:rsidR="00000000" w:rsidDel="00000000" w:rsidP="00000000" w:rsidRDefault="00000000" w:rsidRPr="00000000" w14:paraId="0000017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particular, la conversión de modelos OVD a formatos optimizados como TensorRT puede requerir adaptaciones no triviales cuando la arquitectura incluye operadores no soportados nativamente o componentes dinámicos asociados a la codificación de prompts textuales. Dado que TensorRT no admite entradas de tipo texto, la etapa de tokenización debe separarse del grafo del modelo y gestionarse externamente (NVIDIA, s. f.-g), lo que introduce complejidad adicional en el diseño del pipeline. Más ampliamente, la arquitectura multi-modal que caracteriza a los modelos OVD —con un encoder visual y un encoder textual que interactúan mediante mecanismos de fusión— no se alinea directamente con los patrones de integración nativos de los plugins de inferencia estándar de estos frameworks, aunque rutas alternativas como la integración con Triton Inference Server ofrecen mayor flexibilidad al soportar modelos en múltiples formatos y frameworks (NVIDIA, s. f.-h). Esta brecha, si bien se está reduciendo, sugiere que la integración de modelos OVD dentro del pipeline de streaming requerirá capas de adaptación específicas cuya complejidad y costo deberán evaluarse empíricamente.</w:t>
      </w:r>
    </w:p>
    <w:p w:rsidR="00000000" w:rsidDel="00000000" w:rsidP="00000000" w:rsidRDefault="00000000" w:rsidRPr="00000000" w14:paraId="00000176">
      <w:pPr>
        <w:pStyle w:val="Heading4"/>
        <w:spacing w:after="0" w:before="0" w:line="480" w:lineRule="auto"/>
        <w:rPr>
          <w:rFonts w:ascii="Times New Roman" w:cs="Times New Roman" w:eastAsia="Times New Roman" w:hAnsi="Times New Roman"/>
          <w:b w:val="1"/>
          <w:bCs w:val="1"/>
          <w:color w:val="000000"/>
        </w:rPr>
      </w:pPr>
      <w:bookmarkStart w:colFirst="0" w:colLast="0" w:name="_irpnkvkgdepj" w:id="52"/>
      <w:bookmarkEnd w:id="52"/>
      <w:r w:rsidDel="00000000" w:rsidR="00000000" w:rsidRPr="00000000">
        <w:rPr>
          <w:rFonts w:ascii="Times New Roman" w:cs="Times New Roman" w:eastAsia="Times New Roman" w:hAnsi="Times New Roman"/>
          <w:b w:val="1"/>
          <w:bCs w:val="1"/>
          <w:color w:val="000000"/>
          <w:rtl w:val="0"/>
        </w:rPr>
        <w:t xml:space="preserve">15.4.3.3. Interoperabilidad efectiva entre protocolos heterogéneos</w:t>
      </w:r>
    </w:p>
    <w:p w:rsidR="00000000" w:rsidDel="00000000" w:rsidP="00000000" w:rsidRDefault="00000000" w:rsidRPr="00000000" w14:paraId="0000017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Aun cuando la literatura describe los roles del servidor de medios y las funciones de pasarela, reempaquetamiento y transcodificación (§15.4.2), no ofrece evidencia consolidada sobre el overhead real introducido por las conversiones entre protocolos —por ejemplo, de RTSP a WebRTC o de RTMP a SRT— en condiciones de operación representativas. La transcodificación, el reempaquetamiento entre contenedores de medios —como MPEG-TS, FLV o fMP4— y la adaptación entre pilas de transporte pueden agregar latencia y puntos de fallo que no quedan reflejados en las especificaciones de cada protocolo por separado.</w:t>
      </w:r>
    </w:p>
    <w:p w:rsidR="00000000" w:rsidDel="00000000" w:rsidP="00000000" w:rsidRDefault="00000000" w:rsidRPr="00000000" w14:paraId="00000178">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brecha resulta relevante en el contexto de E-OVRT-VDP, dado que en entornos reales de obra el parque de cámaras puede exponer flujos mediante protocolos diversos. Si bien el prototipo experimental operará previsiblemente con un conjunto acotado de fuentes y protocolos, la identificación de este vacío en la literatura permite anticipar un factor de complejidad para escenarios de despliegue más amplios y orienta el diseño hacia soluciones que no introduzcan dependencias rígidas con un único protocolo de ingesta.</w:t>
      </w:r>
    </w:p>
    <w:p w:rsidR="00000000" w:rsidDel="00000000" w:rsidP="00000000" w:rsidRDefault="00000000" w:rsidRPr="00000000" w14:paraId="0000017A">
      <w:pPr>
        <w:pStyle w:val="Heading4"/>
        <w:spacing w:after="0" w:before="0" w:line="480" w:lineRule="auto"/>
        <w:rPr>
          <w:rFonts w:ascii="Times New Roman" w:cs="Times New Roman" w:eastAsia="Times New Roman" w:hAnsi="Times New Roman"/>
          <w:b w:val="1"/>
          <w:bCs w:val="1"/>
          <w:color w:val="000000"/>
        </w:rPr>
      </w:pPr>
      <w:bookmarkStart w:colFirst="0" w:colLast="0" w:name="_ghdwqum8nqtb" w:id="53"/>
      <w:bookmarkEnd w:id="53"/>
      <w:r w:rsidDel="00000000" w:rsidR="00000000" w:rsidRPr="00000000">
        <w:rPr>
          <w:rFonts w:ascii="Times New Roman" w:cs="Times New Roman" w:eastAsia="Times New Roman" w:hAnsi="Times New Roman"/>
          <w:b w:val="1"/>
          <w:bCs w:val="1"/>
          <w:color w:val="000000"/>
          <w:rtl w:val="0"/>
        </w:rPr>
        <w:t xml:space="preserve">15.4.3.4. Métricas de evaluación alineadas con objetivos de seguridad laboral</w:t>
      </w:r>
    </w:p>
    <w:p w:rsidR="00000000" w:rsidDel="00000000" w:rsidP="00000000" w:rsidRDefault="00000000" w:rsidRPr="00000000" w14:paraId="0000017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métricas estándar de evaluación de sistemas de streaming, tales como latencia media, throughput, tasa de pérdida de paquetes y calidad visual (PSNR/SSIM), no capturan adecuadamente el valor operativo de un sistema orientado a la detección asistiva de riesgos en obra. De manera análoga a lo identificado en la sección de OVD respecto de las métricas de detección, las métricas de streaming convencionales no consideran aspectos como el tiempo transcurrido entre el inicio de una condición de riesgo y la notificación al operador, la continuidad de detección bajo variaciones de calidad del stream, o el impacto diferenciado de artefactos de compresión sobre la detectabilidad de elementos de protección personal.</w:t>
      </w:r>
    </w:p>
    <w:p w:rsidR="00000000" w:rsidDel="00000000" w:rsidP="00000000" w:rsidRDefault="00000000" w:rsidRPr="00000000" w14:paraId="0000017C">
      <w:pPr>
        <w:pStyle w:val="Heading3"/>
        <w:spacing w:after="0" w:before="0" w:line="480" w:lineRule="auto"/>
        <w:rPr>
          <w:rFonts w:ascii="Times New Roman" w:cs="Times New Roman" w:eastAsia="Times New Roman" w:hAnsi="Times New Roman"/>
          <w:b w:val="1"/>
          <w:bCs w:val="1"/>
          <w:i w:val="1"/>
          <w:iCs w:val="1"/>
          <w:color w:val="000000"/>
          <w:sz w:val="24"/>
          <w:szCs w:val="24"/>
        </w:rPr>
      </w:pPr>
      <w:bookmarkStart w:colFirst="0" w:colLast="0" w:name="_zazyw9bw5icm" w:id="54"/>
      <w:bookmarkEnd w:id="54"/>
      <w:r w:rsidDel="00000000" w:rsidR="00000000" w:rsidRPr="00000000">
        <w:rPr>
          <w:rFonts w:ascii="Times New Roman" w:cs="Times New Roman" w:eastAsia="Times New Roman" w:hAnsi="Times New Roman"/>
          <w:b w:val="1"/>
          <w:bCs w:val="1"/>
          <w:i w:val="1"/>
          <w:iCs w:val="1"/>
          <w:color w:val="000000"/>
          <w:sz w:val="24"/>
          <w:szCs w:val="24"/>
          <w:rtl w:val="0"/>
        </w:rPr>
        <w:t xml:space="preserve">15.4.4. Síntesis comparativa de protocolos</w:t>
      </w:r>
    </w:p>
    <w:p w:rsidR="00000000" w:rsidDel="00000000" w:rsidP="00000000" w:rsidRDefault="00000000" w:rsidRPr="00000000" w14:paraId="0000017D">
      <w:pPr>
        <w:spacing w:line="480" w:lineRule="auto"/>
        <w:ind w:firstLine="720"/>
        <w:rPr>
          <w:rFonts w:ascii="Times New Roman" w:cs="Times New Roman" w:eastAsia="Times New Roman" w:hAnsi="Times New Roman"/>
          <w:sz w:val="24"/>
          <w:szCs w:val="24"/>
        </w:rPr>
        <w:sectPr>
          <w:type w:val="nextPage"/>
          <w:pgSz w:h="15840" w:w="12240"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La Tabla 8 sintetiza las características principales de los protocolos analizados, con énfasis en las dimensiones de mayor relevancia para el diseño del sistema E-OVRT-VDP.</w:t>
      </w:r>
    </w:p>
    <w:p w:rsidR="00000000" w:rsidDel="00000000" w:rsidP="00000000" w:rsidRDefault="00000000" w:rsidRPr="00000000" w14:paraId="0000017E">
      <w:pPr>
        <w:spacing w:line="360" w:lineRule="auto"/>
        <w:rPr>
          <w:rFonts w:ascii="Times New Roman" w:cs="Times New Roman" w:eastAsia="Times New Roman" w:hAnsi="Times New Roman"/>
          <w:b w:val="1"/>
          <w:bCs w:val="1"/>
          <w:sz w:val="24"/>
          <w:szCs w:val="24"/>
        </w:rPr>
      </w:pPr>
      <w:bookmarkStart w:colFirst="0" w:colLast="0" w:name="_e4w97rpb6h68" w:id="55"/>
      <w:bookmarkEnd w:id="55"/>
      <w:r w:rsidDel="00000000" w:rsidR="00000000" w:rsidRPr="00000000">
        <w:rPr>
          <w:rFonts w:ascii="Times New Roman" w:cs="Times New Roman" w:eastAsia="Times New Roman" w:hAnsi="Times New Roman"/>
          <w:b w:val="1"/>
          <w:bCs w:val="1"/>
          <w:i w:val="1"/>
          <w:iCs w:val="1"/>
          <w:sz w:val="24"/>
          <w:szCs w:val="24"/>
          <w:rtl w:val="0"/>
        </w:rPr>
        <w:t xml:space="preserve">Tabla 8</w:t>
      </w:r>
      <w:r w:rsidDel="00000000" w:rsidR="00000000" w:rsidRPr="00000000">
        <w:rPr>
          <w:rtl w:val="0"/>
        </w:rPr>
      </w:r>
    </w:p>
    <w:p w:rsidR="00000000" w:rsidDel="00000000" w:rsidP="00000000" w:rsidRDefault="00000000" w:rsidRPr="00000000" w14:paraId="0000017F">
      <w:pPr>
        <w:spacing w:line="48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Comparativa de protocolos de transmisión de video de baja latencia para sistemas de video analítico en tiempo real</w:t>
      </w:r>
    </w:p>
    <w:tbl>
      <w:tblPr>
        <w:tblStyle w:val="Table7"/>
        <w:tblW w:w="104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1300"/>
        <w:gridCol w:w="1300"/>
        <w:gridCol w:w="1440"/>
        <w:gridCol w:w="1660"/>
        <w:gridCol w:w="1340"/>
        <w:gridCol w:w="2220"/>
        <w:tblGridChange w:id="0">
          <w:tblGrid>
            <w:gridCol w:w="1200"/>
            <w:gridCol w:w="1300"/>
            <w:gridCol w:w="1300"/>
            <w:gridCol w:w="1440"/>
            <w:gridCol w:w="1660"/>
            <w:gridCol w:w="1340"/>
            <w:gridCol w:w="2220"/>
          </w:tblGrid>
        </w:tblGridChange>
      </w:tblGrid>
      <w:tr>
        <w:trPr>
          <w:cantSplit w:val="0"/>
          <w:tblHeader w:val="1"/>
        </w:trPr>
        <w:tc>
          <w:tcPr>
            <w:tcBorders>
              <w:top w:color="000000" w:space="0" w:sz="4" w:val="single"/>
              <w:left w:color="000000" w:space="0" w:sz="0" w:val="nil"/>
              <w:bottom w:color="000000" w:space="0" w:sz="4" w:val="single"/>
              <w:right w:color="000000" w:space="0" w:sz="0" w:val="nil"/>
            </w:tcBorders>
            <w:tcMar>
              <w:top w:w="40.0" w:type="dxa"/>
              <w:left w:w="80.0" w:type="dxa"/>
              <w:bottom w:w="40.0" w:type="dxa"/>
              <w:right w:w="80.0" w:type="dxa"/>
            </w:tcMar>
          </w:tcPr>
          <w:p w:rsidR="00000000" w:rsidDel="00000000" w:rsidP="00000000" w:rsidRDefault="00000000" w:rsidRPr="00000000" w14:paraId="0000018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Protocolo</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40.0" w:type="dxa"/>
              <w:left w:w="80.0" w:type="dxa"/>
              <w:bottom w:w="40.0" w:type="dxa"/>
              <w:right w:w="80.0" w:type="dxa"/>
            </w:tcMar>
          </w:tcPr>
          <w:p w:rsidR="00000000" w:rsidDel="00000000" w:rsidP="00000000" w:rsidRDefault="00000000" w:rsidRPr="00000000" w14:paraId="0000018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Latencia típica E2E</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40.0" w:type="dxa"/>
              <w:left w:w="80.0" w:type="dxa"/>
              <w:bottom w:w="40.0" w:type="dxa"/>
              <w:right w:w="80.0" w:type="dxa"/>
            </w:tcMar>
          </w:tcPr>
          <w:p w:rsidR="00000000" w:rsidDel="00000000" w:rsidP="00000000" w:rsidRDefault="00000000" w:rsidRPr="00000000" w14:paraId="0000018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Transporte base</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40.0" w:type="dxa"/>
              <w:left w:w="80.0" w:type="dxa"/>
              <w:bottom w:w="40.0" w:type="dxa"/>
              <w:right w:w="80.0" w:type="dxa"/>
            </w:tcMar>
          </w:tcPr>
          <w:p w:rsidR="00000000" w:rsidDel="00000000" w:rsidP="00000000" w:rsidRDefault="00000000" w:rsidRPr="00000000" w14:paraId="0000018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Modelo de entrega</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40.0" w:type="dxa"/>
              <w:left w:w="80.0" w:type="dxa"/>
              <w:bottom w:w="40.0" w:type="dxa"/>
              <w:right w:w="80.0" w:type="dxa"/>
            </w:tcMar>
          </w:tcPr>
          <w:p w:rsidR="00000000" w:rsidDel="00000000" w:rsidP="00000000" w:rsidRDefault="00000000" w:rsidRPr="00000000" w14:paraId="0000018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Resiliencia a pérdida</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40.0" w:type="dxa"/>
              <w:left w:w="80.0" w:type="dxa"/>
              <w:bottom w:w="40.0" w:type="dxa"/>
              <w:right w:w="80.0" w:type="dxa"/>
            </w:tcMar>
          </w:tcPr>
          <w:p w:rsidR="00000000" w:rsidDel="00000000" w:rsidP="00000000" w:rsidRDefault="00000000" w:rsidRPr="00000000" w14:paraId="0000018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Cifrado nativo</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40.0" w:type="dxa"/>
              <w:left w:w="80.0" w:type="dxa"/>
              <w:bottom w:w="40.0" w:type="dxa"/>
              <w:right w:w="80.0" w:type="dxa"/>
            </w:tcMar>
          </w:tcPr>
          <w:p w:rsidR="00000000" w:rsidDel="00000000" w:rsidP="00000000" w:rsidRDefault="00000000" w:rsidRPr="00000000" w14:paraId="0000018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Caso de uso principal</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8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RTSP/RTP</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8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~200–800 ms</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8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UDP (o TCP)</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8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RTSP controla la sesión; RTP transporta el flujo</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8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 (con RTCP)</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8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Opcional (RTSPS)</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8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Cámaras IP industriales, CCTV, entornos LAN controlados</w:t>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8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RTMP</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8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 s</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9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TCP</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9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Push</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9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 (TCP garantiza entrega)</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9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Sí (RTMPS/TLS)</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9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Ingesta a plataformas de streaming; encoders hacia servidores</w:t>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9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HLS / MPEG-DASH</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9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~5–45 s (LL: ~2–10 s)</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9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HTTP/TCP</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9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Pull (segmentado)</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9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 (CDN + HTTP)</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9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Sí (HTTPS)</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9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Distribución masiva de contenido; viewers simultáneos elevados</w:t>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9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WebRTC</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9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 500 ms</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9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UDP (SRTP sobre DTLS)</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9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Push/Pull (P2P o SFU)</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A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 (con NACK/FEC)</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A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Sí (DTLS-SRTP, obligatorio)</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A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Interactividad ultra-baja latencia; videoconferencia; monitoreo P2P</w:t>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A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SRT</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A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~120–500 ms (configurable)</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A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UDP + ARQ selectivo</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A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Push o Pull</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A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 (ARQ con presupuesto de tiempo)</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A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Sí (AES-128/256)</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A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Contribución broadcast; enlaces WAN no confiables; 4G/5G</w:t>
            </w:r>
          </w:p>
        </w:tc>
      </w:tr>
      <w:tr>
        <w:trPr>
          <w:cantSplit w:val="0"/>
          <w:tblHeader w:val="0"/>
        </w:trPr>
        <w:tc>
          <w:tcPr>
            <w:tcBorders>
              <w:top w:color="000000" w:space="0" w:sz="0" w:val="nil"/>
              <w:left w:color="000000" w:space="0" w:sz="0" w:val="nil"/>
              <w:bottom w:color="000000" w:space="0" w:sz="4" w:val="single"/>
              <w:right w:color="000000" w:space="0" w:sz="0" w:val="nil"/>
            </w:tcBorders>
            <w:tcMar>
              <w:top w:w="40.0" w:type="dxa"/>
              <w:left w:w="80.0" w:type="dxa"/>
              <w:bottom w:w="40.0" w:type="dxa"/>
              <w:right w:w="80.0" w:type="dxa"/>
            </w:tcMar>
          </w:tcPr>
          <w:p w:rsidR="00000000" w:rsidDel="00000000" w:rsidP="00000000" w:rsidRDefault="00000000" w:rsidRPr="00000000" w14:paraId="000001A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RIST</w:t>
            </w:r>
          </w:p>
        </w:tc>
        <w:tc>
          <w:tcPr>
            <w:tcBorders>
              <w:top w:color="000000" w:space="0" w:sz="0" w:val="nil"/>
              <w:left w:color="000000" w:space="0" w:sz="0" w:val="nil"/>
              <w:bottom w:color="000000" w:space="0" w:sz="4" w:val="single"/>
              <w:right w:color="000000" w:space="0" w:sz="0" w:val="nil"/>
            </w:tcBorders>
            <w:tcMar>
              <w:top w:w="40.0" w:type="dxa"/>
              <w:left w:w="80.0" w:type="dxa"/>
              <w:bottom w:w="40.0" w:type="dxa"/>
              <w:right w:w="80.0" w:type="dxa"/>
            </w:tcMar>
          </w:tcPr>
          <w:p w:rsidR="00000000" w:rsidDel="00000000" w:rsidP="00000000" w:rsidRDefault="00000000" w:rsidRPr="00000000" w14:paraId="000001A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~120–500 ms</w:t>
            </w:r>
          </w:p>
        </w:tc>
        <w:tc>
          <w:tcPr>
            <w:tcBorders>
              <w:top w:color="000000" w:space="0" w:sz="0" w:val="nil"/>
              <w:left w:color="000000" w:space="0" w:sz="0" w:val="nil"/>
              <w:bottom w:color="000000" w:space="0" w:sz="4" w:val="single"/>
              <w:right w:color="000000" w:space="0" w:sz="0" w:val="nil"/>
            </w:tcBorders>
            <w:tcMar>
              <w:top w:w="40.0" w:type="dxa"/>
              <w:left w:w="80.0" w:type="dxa"/>
              <w:bottom w:w="40.0" w:type="dxa"/>
              <w:right w:w="80.0" w:type="dxa"/>
            </w:tcMar>
          </w:tcPr>
          <w:p w:rsidR="00000000" w:rsidDel="00000000" w:rsidP="00000000" w:rsidRDefault="00000000" w:rsidRPr="00000000" w14:paraId="000001A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RTP + ARQ (RTCP FB)</w:t>
            </w:r>
          </w:p>
        </w:tc>
        <w:tc>
          <w:tcPr>
            <w:tcBorders>
              <w:top w:color="000000" w:space="0" w:sz="0" w:val="nil"/>
              <w:left w:color="000000" w:space="0" w:sz="0" w:val="nil"/>
              <w:bottom w:color="000000" w:space="0" w:sz="4" w:val="single"/>
              <w:right w:color="000000" w:space="0" w:sz="0" w:val="nil"/>
            </w:tcBorders>
            <w:tcMar>
              <w:top w:w="40.0" w:type="dxa"/>
              <w:left w:w="80.0" w:type="dxa"/>
              <w:bottom w:w="40.0" w:type="dxa"/>
              <w:right w:w="80.0" w:type="dxa"/>
            </w:tcMar>
          </w:tcPr>
          <w:p w:rsidR="00000000" w:rsidDel="00000000" w:rsidP="00000000" w:rsidRDefault="00000000" w:rsidRPr="00000000" w14:paraId="000001A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Push o Pull (multicast posible)</w:t>
            </w:r>
          </w:p>
        </w:tc>
        <w:tc>
          <w:tcPr>
            <w:tcBorders>
              <w:top w:color="000000" w:space="0" w:sz="0" w:val="nil"/>
              <w:left w:color="000000" w:space="0" w:sz="0" w:val="nil"/>
              <w:bottom w:color="000000" w:space="0" w:sz="4" w:val="single"/>
              <w:right w:color="000000" w:space="0" w:sz="0" w:val="nil"/>
            </w:tcBorders>
            <w:tcMar>
              <w:top w:w="40.0" w:type="dxa"/>
              <w:left w:w="80.0" w:type="dxa"/>
              <w:bottom w:w="40.0" w:type="dxa"/>
              <w:right w:w="80.0" w:type="dxa"/>
            </w:tcMar>
          </w:tcPr>
          <w:p w:rsidR="00000000" w:rsidDel="00000000" w:rsidP="00000000" w:rsidRDefault="00000000" w:rsidRPr="00000000" w14:paraId="000001A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 (ARQ + FEC)</w:t>
            </w:r>
          </w:p>
        </w:tc>
        <w:tc>
          <w:tcPr>
            <w:tcBorders>
              <w:top w:color="000000" w:space="0" w:sz="0" w:val="nil"/>
              <w:left w:color="000000" w:space="0" w:sz="0" w:val="nil"/>
              <w:bottom w:color="000000" w:space="0" w:sz="4" w:val="single"/>
              <w:right w:color="000000" w:space="0" w:sz="0" w:val="nil"/>
            </w:tcBorders>
            <w:tcMar>
              <w:top w:w="40.0" w:type="dxa"/>
              <w:left w:w="80.0" w:type="dxa"/>
              <w:bottom w:w="40.0" w:type="dxa"/>
              <w:right w:w="80.0" w:type="dxa"/>
            </w:tcMar>
          </w:tcPr>
          <w:p w:rsidR="00000000" w:rsidDel="00000000" w:rsidP="00000000" w:rsidRDefault="00000000" w:rsidRPr="00000000" w14:paraId="000001A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Sí (DTLS)</w:t>
            </w:r>
          </w:p>
        </w:tc>
        <w:tc>
          <w:tcPr>
            <w:tcBorders>
              <w:top w:color="000000" w:space="0" w:sz="0" w:val="nil"/>
              <w:left w:color="000000" w:space="0" w:sz="0" w:val="nil"/>
              <w:bottom w:color="000000" w:space="0" w:sz="4" w:val="single"/>
              <w:right w:color="000000" w:space="0" w:sz="0" w:val="nil"/>
            </w:tcBorders>
            <w:tcMar>
              <w:top w:w="40.0" w:type="dxa"/>
              <w:left w:w="80.0" w:type="dxa"/>
              <w:bottom w:w="40.0" w:type="dxa"/>
              <w:right w:w="80.0" w:type="dxa"/>
            </w:tcMar>
          </w:tcPr>
          <w:p w:rsidR="00000000" w:rsidDel="00000000" w:rsidP="00000000" w:rsidRDefault="00000000" w:rsidRPr="00000000" w14:paraId="000001B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Broadcast profesional; distribución multicast en redes gestionadas</w:t>
            </w:r>
          </w:p>
        </w:tc>
      </w:tr>
    </w:tbl>
    <w:p w:rsidR="00000000" w:rsidDel="00000000" w:rsidP="00000000" w:rsidRDefault="00000000" w:rsidRPr="00000000" w14:paraId="000001B1">
      <w:pPr>
        <w:spacing w:line="480" w:lineRule="auto"/>
        <w:rPr>
          <w:rFonts w:ascii="Times New Roman" w:cs="Times New Roman" w:eastAsia="Times New Roman" w:hAnsi="Times New Roman"/>
          <w:sz w:val="24"/>
          <w:szCs w:val="24"/>
        </w:rPr>
        <w:sectPr>
          <w:type w:val="nextPage"/>
          <w:pgSz w:h="12240" w:w="15840" w:orient="landscape"/>
          <w:pgMar w:bottom="1440" w:top="1440" w:left="1440" w:right="1440" w:header="720" w:footer="720"/>
        </w:sectPr>
      </w:pPr>
      <w:r w:rsidDel="00000000" w:rsidR="00000000" w:rsidRPr="00000000">
        <w:rPr>
          <w:rFonts w:ascii="Times New Roman" w:cs="Times New Roman" w:eastAsia="Times New Roman" w:hAnsi="Times New Roman"/>
          <w:b w:val="1"/>
          <w:bCs w:val="1"/>
          <w:sz w:val="24"/>
          <w:szCs w:val="24"/>
          <w:rtl w:val="0"/>
        </w:rPr>
        <w:t xml:space="preserve">Nota</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Los rangos de latencia E2E reportados son valores típicos dependientes de configuración, no compromisos de los estándares. La latencia final está determinada por el pipeline completo (captura, codificación, transporte, decodificación, inferencia), no únicamente por el protocolo. HLS/DASH LL = Low-Latency HLS / DASH. DTLS-SRTP = combinación de Datagram TLS y Secure RTP (cifrado obligatorio en WebRTC). ARQ = Automatic Repeat reQuest. FEC = Forward Error Correction. Fuente: Elaboración propia basada en Axis Communications AB (2015), DASH Industry Forum (2020), ISO/IEC (2022), Keranen et al. (2018), May (2017), Pantos (2025), Parmar y Thornburgh (2012), Roy (2024), Schulzrinne et al. (1998, 2003, 2016), Sharabayko et al. (2024), Sonono (2019), Video Services Forum (2020, 2024) y World Wide Web Consortium (2025).</w:t>
      </w:r>
    </w:p>
    <w:p w:rsidR="00000000" w:rsidDel="00000000" w:rsidP="00000000" w:rsidRDefault="00000000" w:rsidRPr="00000000" w14:paraId="000001B2">
      <w:pPr>
        <w:spacing w:line="480" w:lineRule="auto"/>
        <w:ind w:firstLine="720"/>
        <w:rPr/>
      </w:pPr>
      <w:r w:rsidDel="00000000" w:rsidR="00000000" w:rsidRPr="00000000">
        <w:rPr>
          <w:rFonts w:ascii="Times New Roman" w:cs="Times New Roman" w:eastAsia="Times New Roman" w:hAnsi="Times New Roman"/>
          <w:sz w:val="24"/>
          <w:szCs w:val="24"/>
          <w:rtl w:val="0"/>
        </w:rPr>
        <w:t xml:space="preserve">La tabla muestra que no existe un protocolo que maximice simultáneamente latencia mínima, alta resiliencia a pérdidas y escalabilidad, lo cual es coherente con el enfoque de diseño de cada estándar, orientado a prioridades diferentes según el contexto de aplicación. En arquitecturas comúnmente adoptadas, esta situación suele abordarse mediante esquemas híbridos que emplean protocolos distintos por tramo del flujo de video: uno para ingesta y transporte desde el origen hacia un servidor o plataforma de medios (en entornos LAN o WAN con distintos niveles de control), y otro para distribución/visualización hacia clientes finales, donde los requerimientos de interactividad, número de usuarios y compatibilidad con navegadores influyen de manera determinante. De forma complementaria, también es habitual que los protocolos HTTP adaptativos (HLS/DASH) se reserven para consumo masivo, reproducción diferida o escenarios donde la prioridad sea la escalabilidad y la tolerancia a variaciones de red, más que la inmediatez. En consecuencia, la evidencia comparativa respalda que la selección de protocolos debe abordarse como una decisión dependiente del escenario y de la infraestructura, y suele validarse mediante pruebas empíricas sobre el pipeline completo (captura, codificación, transporte, decodificación e integración con analítica), antes de su adopción en un sistema específico.</w:t>
      </w:r>
      <w:r w:rsidDel="00000000" w:rsidR="00000000" w:rsidRPr="00000000">
        <w:rPr>
          <w:rtl w:val="0"/>
        </w:rPr>
      </w:r>
    </w:p>
    <w:sectPr>
      <w:type w:val="nextPage"/>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zotero.org/google-docs/?EJbmoO" TargetMode="External"/><Relationship Id="rId10" Type="http://schemas.openxmlformats.org/officeDocument/2006/relationships/hyperlink" Target="https://www.zotero.org/google-docs/?b9GG8T" TargetMode="External"/><Relationship Id="rId13" Type="http://schemas.openxmlformats.org/officeDocument/2006/relationships/hyperlink" Target="https://www.zotero.org/google-docs/?A7BpnU" TargetMode="External"/><Relationship Id="rId12" Type="http://schemas.openxmlformats.org/officeDocument/2006/relationships/hyperlink" Target="https://www.zotero.org/google-docs/?ytG2P2"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zotero.org/google-docs/?gm5pG6" TargetMode="External"/><Relationship Id="rId15" Type="http://schemas.openxmlformats.org/officeDocument/2006/relationships/hyperlink" Target="https://www.zotero.org/google-docs/?kiBZGp" TargetMode="External"/><Relationship Id="rId14" Type="http://schemas.openxmlformats.org/officeDocument/2006/relationships/hyperlink" Target="https://www.zotero.org/google-docs/?6bdl21" TargetMode="External"/><Relationship Id="rId5" Type="http://schemas.openxmlformats.org/officeDocument/2006/relationships/styles" Target="styles.xml"/><Relationship Id="rId6" Type="http://schemas.openxmlformats.org/officeDocument/2006/relationships/hyperlink" Target="https://www.zotero.org/google-docs/?UnnoA1" TargetMode="External"/><Relationship Id="rId7" Type="http://schemas.openxmlformats.org/officeDocument/2006/relationships/hyperlink" Target="https://www.zotero.org/google-docs/?QCjNbB" TargetMode="External"/><Relationship Id="rId8" Type="http://schemas.openxmlformats.org/officeDocument/2006/relationships/hyperlink" Target="https://www.zotero.org/google-docs/?N8gvPh"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