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La familia fue extendida posteriormente en implementaciones de Ultralytics sobre YOLO11 y YOLO26; por lo tanto, los resultados publicados para YOLOE-v8 no deben utilizarse como si fueran una medición de las variantes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end-to-end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tracking para reducir inestabilidad frame-to-frame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Riesgo 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Normativa como Fuente de Condiciones de 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Cumplimiento 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Principio de 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Reglamentación 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Reglamento Específico de 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Programas y Coordinación 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Voluntarios de 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Sistemas de Gestión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Prescripción Normativa y Observable 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Categorías de 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Evidencias 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Sistemas de Monitoreo 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fotograma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Fotograma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frame-a-frame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fotograma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al frame rate.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Brecha Transversal y Preguntas 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Ético-Normativa como Brecha 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Rectoras para la Consolidación 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tracking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tracking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