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5A">
      <w:pPr>
        <w:pStyle w:val="Heading4"/>
        <w:keepNext/>
        <w:widowControl/>
        <w:spacing w:after="0" w:before="0" w:line="480" w:lineRule="auto"/>
        <w:ind w:firstLine="0"/>
        <w:rPr/>
      </w:pPr>
      <w:r>
        <w:rPr>
          <w:i w:val="0"/>
          <w:iCs w:val="0"/>
          <w:rtl w:val="0"/>
        </w:rPr>
        <w:t>17.3.3.2. Capacidades arquitectónicas requeridas</w:t>
      </w:r>
    </w:p>
    <w:p w:rsidR="00000000" w:rsidDel="00000000" w:rsidP="00000000" w:rsidRDefault="00000000" w:rsidRPr="00000000" w14:paraId="0000005B">
      <w:pPr>
        <w:widowControl/>
        <w:spacing w:after="0" w:before="0" w:line="480" w:lineRule="auto"/>
        <w:ind w:firstLine="720"/>
        <w:rPr/>
      </w:pPr>
      <w:r>
        <w:rPr>
          <w:rtl w:val="0"/>
        </w:rPr>
        <w:t>A partir del alcance definido, la arquitectura debe habilitar un conjunto mínimo de capacidades que permitan desarrollar un prototipo experimental medible, trazable y extensible. Estas capacidades no describen todavía componentes de implementación, sino responsabilidades que el diseño debe contemplar para que el sistema pueda procesar fuentes visuales, ejecutar inferencia open-vocabulary, evaluar patrones, registrar alertas, distribuir avisos y producir evidencia experimental. La enumeración reúne únicamente responsabilidades: los criterios de exclusión y las cualidades exigidas al diseño se tratan, respectivamente, entre las decisiones arquitectónicas iniciales y los requisitos no funcionales de referencia.</w:t>
      </w:r>
    </w:p>
    <w:p w:rsidR="00000000" w:rsidDel="00000000" w:rsidP="00000000" w:rsidRDefault="00000000" w:rsidRPr="00000000" w14:paraId="0000005C">
      <w:pPr>
        <w:widowControl/>
        <w:spacing w:after="0" w:before="0" w:line="480" w:lineRule="auto"/>
        <w:ind w:firstLine="720"/>
        <w:rPr/>
        <w:sectPr>
          <w:headerReference w:type="default" r:id="rId9"/>
          <w:footerReference w:type="default" r:id="rId10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>
        <w:rPr>
          <w:rtl w:val="0"/>
        </w:rPr>
        <w:t>La clasificación declara el régimen de cada capacidad mediante cinco compromisos —núcleo, complementario previsto, capacidad opcional, extensión condicionada y rama comparativa condicionada—, cuyo alcance se precisa en la nota de la tabla. Esta separación permite ordenar el desarrollo sin convertir funcionalidades deseables en dependencias obligatorias del flujo base y evita que una capacidad quede habilitada de manera implícita. La Tabla 39 resume las capacidades requeridas y el compromiso que el diseño asume con cada una.</w:t>
      </w:r>
    </w:p>
    <w:p w:rsidR="00000000" w:rsidDel="00000000" w:rsidP="00000000" w:rsidRDefault="00000000" w:rsidRPr="00000000" w14:paraId="0000005D">
      <w:pPr>
        <w:widowControl/>
        <w:spacing w:after="0" w:before="0" w:line="480" w:lineRule="auto"/>
        <w:ind w:firstLine="720"/>
        <w:rPr>
          <w:b w:val="1"/>
          <w:bCs w:val="1"/>
        </w:rPr>
      </w:pPr>
      <w:r>
        <w:rPr>
          <w:rtl w:val="0"/>
          <w:b w:val="1"/>
          <w:bCs w:val="1"/>
        </w:rPr>
        <w:t>Tabla 39</w:t>
      </w:r>
    </w:p>
    <w:p w:rsidR="00000000" w:rsidDel="00000000" w:rsidP="00000000" w:rsidRDefault="00000000" w:rsidRPr="00000000" w14:paraId="0000005E">
      <w:pPr>
        <w:widowControl/>
        <w:spacing w:after="0" w:before="0" w:line="480" w:lineRule="auto"/>
        <w:ind w:firstLine="720"/>
        <w:rPr>
          <w:i w:val="1"/>
          <w:iCs w:val="1"/>
        </w:rPr>
      </w:pPr>
      <w:r>
        <w:rPr>
          <w:rtl w:val="0"/>
          <w:i w:val="1"/>
          <w:iCs w:val="1"/>
        </w:rPr>
        <w:t>Capacidades arquitectónicas y su tratamiento en el diseño</w:t>
      </w:r>
    </w:p>
    <w:tbl>
      <w:tblPr>
        <w:tblStyle w:val="Table3"/>
        <w:tblW w:w="9360.0" w:type="dxa"/>
        <w:jc w:val="center"/>
        <w:tblBorders>
          <w:top w:color="000000" w:space="0" w:sz="8" w:val="single"/>
          <w:left w:color="000000" w:space="0" w:sz="0" w:val="nil"/>
          <w:bottom w:color="000000" w:space="0" w:sz="8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400"/>
      </w:tblPr>
      <w:tblGrid>
        <w:gridCol w:w="2520"/>
        <w:gridCol w:w="2016"/>
        <w:gridCol w:w="4824"/>
        <w:tblGridChange w:id="0">
          <w:tblGrid>
            <w:gridCol w:w="2295"/>
            <w:gridCol w:w="1485"/>
            <w:gridCol w:w="5580"/>
          </w:tblGrid>
        </w:tblGridChange>
      </w:tblGrid>
      <w:tr>
        <w:trPr>
          <w:cantSplit w:val="0"/>
          <w:tblHeader w:val="1"/>
          <w:tblHeader w:val="true"/>
          <w:cantSplit/>
        </w:trPr>
        <w:tc>
          <w:tcPr>
            <w:tcW w:type="dxa" w:w="2520"/>
            <w:tcBorders>
              <w:bottom w:color="000000" w:space="0" w:sz="8" w:val="single"/>
            </w:tcBorders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  <w:b w:val="1"/>
                <w:bCs w:val="1"/>
              </w:rPr>
              <w:t>Capacidad requerida</w:t>
            </w:r>
          </w:p>
        </w:tc>
        <w:tc>
          <w:tcPr>
            <w:tcW w:type="dxa" w:w="2016"/>
            <w:tcBorders>
              <w:bottom w:color="000000" w:space="0" w:sz="8" w:val="single"/>
            </w:tcBorders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  <w:b w:val="1"/>
                <w:bCs w:val="1"/>
              </w:rPr>
              <w:t>Compromiso</w:t>
            </w:r>
          </w:p>
        </w:tc>
        <w:tc>
          <w:tcPr>
            <w:tcW w:type="dxa" w:w="4824"/>
            <w:tcBorders>
              <w:bottom w:color="000000" w:space="0" w:sz="8" w:val="single"/>
            </w:tcBorders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  <w:b w:val="1"/>
                <w:bCs w:val="1"/>
              </w:rPr>
              <w:t>Lectura de diseño</w:t>
            </w:r>
          </w:p>
        </w:tc>
      </w:tr>
      <w:tr>
        <w:trPr>
          <w:cantSplit w:val="0"/>
          <w:tblHeader w:val="0"/>
          <w:cantSplit/>
        </w:trPr>
        <w:tc>
          <w:tcPr>
            <w:tcW w:type="dxa" w:w="2520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Gestión y gobierno de la corrida</w:t>
            </w:r>
          </w:p>
        </w:tc>
        <w:tc>
          <w:tcPr>
            <w:tcW w:type="dxa" w:w="2016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Núcleo</w:t>
            </w:r>
          </w:p>
        </w:tc>
        <w:tc>
          <w:tcPr>
            <w:tcW w:type="dxa" w:w="4824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Debe existir un punto explícito para congelar la configuración efectiva de cada ejecución, gobernar su ciclo de vida —creación, consulta, cancelación y cierre— y ordenar el disparo entre módulos.</w:t>
            </w:r>
          </w:p>
        </w:tc>
      </w:tr>
      <w:tr>
        <w:trPr>
          <w:cantSplit w:val="0"/>
          <w:tblHeader w:val="0"/>
          <w:cantSplit/>
        </w:trPr>
        <w:tc>
          <w:tcPr>
            <w:tcW w:type="dxa" w:w="2520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Operación sobre fuentes reproducibles</w:t>
            </w:r>
          </w:p>
        </w:tc>
        <w:tc>
          <w:tcPr>
            <w:tcW w:type="dxa" w:w="2016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Núcleo</w:t>
            </w:r>
          </w:p>
        </w:tc>
        <w:tc>
          <w:tcPr>
            <w:tcW w:type="dxa" w:w="4824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Debe operar sobre imágenes, datasets o videos locales cuya lectura pueda regularse, repetirse y detenerse sin alterar el contenido. Este escenario estabiliza inferencia, contratos, eventos y métricas antes de incorporar captura continua.</w:t>
            </w:r>
          </w:p>
        </w:tc>
      </w:tr>
      <w:tr>
        <w:trPr>
          <w:cantSplit w:val="0"/>
          <w:tblHeader w:val="0"/>
          <w:cantSplit/>
        </w:trPr>
        <w:tc>
          <w:tcPr>
            <w:tcW w:type="dxa" w:w="2520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Operación sobre fuentes en vivo</w:t>
            </w:r>
          </w:p>
        </w:tc>
        <w:tc>
          <w:tcPr>
            <w:tcW w:type="dxa" w:w="2016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Complementario previsto</w:t>
            </w:r>
          </w:p>
        </w:tc>
        <w:tc>
          <w:tcPr>
            <w:tcW w:type="dxa" w:w="4824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Debe admitir captura o streaming controlado, donde la fuente continúa evolucionando aunque el procesamiento no sostenga la cadencia, para observar el comportamiento operativo del sistema.</w:t>
            </w:r>
          </w:p>
        </w:tc>
      </w:tr>
      <w:tr>
        <w:trPr>
          <w:cantSplit w:val="0"/>
          <w:tblHeader w:val="0"/>
          <w:cantSplit/>
        </w:trPr>
        <w:tc>
          <w:tcPr>
            <w:tcW w:type="dxa" w:w="2520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Normalización de entrada visual</w:t>
            </w:r>
          </w:p>
        </w:tc>
        <w:tc>
          <w:tcPr>
            <w:tcW w:type="dxa" w:w="2016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Núcleo</w:t>
            </w:r>
          </w:p>
        </w:tc>
        <w:tc>
          <w:tcPr>
            <w:tcW w:type="dxa" w:w="4824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Cada frame debe incluir metadatos de corrida, fuente, orden temporal, resolución y muestreo, para compartir el pipeline sin ocultar las diferencias temporales entre fuentes.</w:t>
            </w:r>
          </w:p>
        </w:tc>
      </w:tr>
      <w:tr>
        <w:trPr>
          <w:cantSplit w:val="0"/>
          <w:tblHeader w:val="0"/>
          <w:cantSplit/>
        </w:trPr>
        <w:tc>
          <w:tcPr>
            <w:tcW w:type="dxa" w:w="2520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Inferencia OVD configurable</w:t>
            </w:r>
          </w:p>
        </w:tc>
        <w:tc>
          <w:tcPr>
            <w:tcW w:type="dxa" w:w="2016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Núcleo</w:t>
            </w:r>
          </w:p>
        </w:tc>
        <w:tc>
          <w:tcPr>
            <w:tcW w:type="dxa" w:w="4824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Debe integrar modelos OVD mediante adaptadores, de modo que puedan sustituirse o compararse sin rediseñar la cadena.</w:t>
            </w:r>
          </w:p>
        </w:tc>
      </w:tr>
      <w:tr>
        <w:trPr>
          <w:cantSplit w:val="0"/>
          <w:tblHeader w:val="0"/>
          <w:cantSplit/>
        </w:trPr>
        <w:tc>
          <w:tcPr>
            <w:tcW w:type="dxa" w:w="2520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Gestión de prompts y vocabulario activo</w:t>
            </w:r>
          </w:p>
        </w:tc>
        <w:tc>
          <w:tcPr>
            <w:tcW w:type="dxa" w:w="2016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Núcleo</w:t>
            </w:r>
          </w:p>
        </w:tc>
        <w:tc>
          <w:tcPr>
            <w:tcW w:type="dxa" w:w="4824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Debe versionar formulaciones, aliases, estrategias de detección, vocabulario activo y umbrales asociados.</w:t>
            </w:r>
          </w:p>
        </w:tc>
      </w:tr>
      <w:tr>
        <w:trPr>
          <w:cantSplit w:val="0"/>
          <w:tblHeader w:val="0"/>
          <w:cantSplit/>
        </w:trPr>
        <w:tc>
          <w:tcPr>
            <w:tcW w:type="dxa" w:w="2520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Normalización de detecciones</w:t>
            </w:r>
          </w:p>
        </w:tc>
        <w:tc>
          <w:tcPr>
            <w:tcW w:type="dxa" w:w="2016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Núcleo</w:t>
            </w:r>
          </w:p>
        </w:tc>
        <w:tc>
          <w:tcPr>
            <w:tcW w:type="dxa" w:w="4824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La salida del plano de medios debe usar un evento de percepción versionado como única unidad de evidencia compartida para interpretar patrones, persistir y releer corridas.</w:t>
            </w:r>
          </w:p>
        </w:tc>
      </w:tr>
      <w:tr>
        <w:trPr>
          <w:cantSplit w:val="0"/>
          <w:tblHeader w:val="0"/>
          <w:cantSplit/>
        </w:trPr>
        <w:tc>
          <w:tcPr>
            <w:tcW w:type="dxa" w:w="2520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Evaluación de patrones de Nivel 1</w:t>
            </w:r>
          </w:p>
        </w:tc>
        <w:tc>
          <w:tcPr>
            <w:tcW w:type="dxa" w:w="2016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Núcleo</w:t>
            </w:r>
          </w:p>
        </w:tc>
        <w:tc>
          <w:tcPr>
            <w:tcW w:type="dxa" w:w="4824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Las detecciones positivas deben asociarse por sujeto, convertirse en un estado evaluable de ausencia y estabilizarse mediante persistencia temporal e histéresis.</w:t>
            </w:r>
          </w:p>
        </w:tc>
      </w:tr>
      <w:tr>
        <w:trPr>
          <w:cantSplit w:val="0"/>
          <w:tblHeader w:val="0"/>
          <w:cantSplit/>
        </w:trPr>
        <w:tc>
          <w:tcPr>
            <w:tcW w:type="dxa" w:w="2520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Registro de alertas asistivas</w:t>
            </w:r>
          </w:p>
        </w:tc>
        <w:tc>
          <w:tcPr>
            <w:tcW w:type="dxa" w:w="2016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Núcleo</w:t>
            </w:r>
          </w:p>
        </w:tc>
        <w:tc>
          <w:tcPr>
            <w:tcW w:type="dxa" w:w="4824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Las alertas deben registrarse al confirmarse un patrón, sin constituir un juicio normativo automático.</w:t>
            </w:r>
          </w:p>
        </w:tc>
      </w:tr>
      <w:tr>
        <w:trPr>
          <w:cantSplit w:val="0"/>
          <w:tblHeader w:val="0"/>
          <w:cantSplit/>
        </w:trPr>
        <w:tc>
          <w:tcPr>
            <w:tcW w:type="dxa" w:w="2520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Publicación y persistencia de eventos</w:t>
            </w:r>
          </w:p>
        </w:tc>
        <w:tc>
          <w:tcPr>
            <w:tcW w:type="dxa" w:w="2016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Núcleo</w:t>
            </w:r>
          </w:p>
        </w:tc>
        <w:tc>
          <w:tcPr>
            <w:tcW w:type="dxa" w:w="4824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La publicación debe desacoplar productores y consumidores sin bloquear la ruta crítica; la persistencia debe conservar un historial de sólo adición que sobreviva a la corrida y permita su relectura.</w:t>
            </w:r>
          </w:p>
        </w:tc>
      </w:tr>
      <w:tr>
        <w:trPr>
          <w:cantSplit w:val="0"/>
          <w:tblHeader w:val="0"/>
          <w:cantSplit/>
        </w:trPr>
        <w:tc>
          <w:tcPr>
            <w:tcW w:type="dxa" w:w="2520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Observabilidad y métricas</w:t>
            </w:r>
          </w:p>
        </w:tc>
        <w:tc>
          <w:tcPr>
            <w:tcW w:type="dxa" w:w="2016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Núcleo</w:t>
            </w:r>
          </w:p>
        </w:tc>
        <w:tc>
          <w:tcPr>
            <w:tcW w:type="dxa" w:w="4824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La instrumentación debe integrarse al pipeline: cada tramo emite sus mediciones, sin reconstruirlas después desde artefactos que no las registraron.</w:t>
            </w:r>
          </w:p>
        </w:tc>
      </w:tr>
      <w:tr>
        <w:trPr>
          <w:cantSplit w:val="0"/>
          <w:tblHeader w:val="0"/>
          <w:cantSplit/>
        </w:trPr>
        <w:tc>
          <w:tcPr>
            <w:tcW w:type="dxa" w:w="2520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Reporte experimental</w:t>
            </w:r>
          </w:p>
        </w:tc>
        <w:tc>
          <w:tcPr>
            <w:tcW w:type="dxa" w:w="2016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Núcleo</w:t>
            </w:r>
          </w:p>
        </w:tc>
        <w:tc>
          <w:tcPr>
            <w:tcW w:type="dxa" w:w="4824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Cada corrida debe persistir una síntesis de configuración, resultados y limitaciones, legible sin acceso al sistema en ejecución.</w:t>
            </w:r>
          </w:p>
        </w:tc>
      </w:tr>
      <w:tr>
        <w:trPr>
          <w:cantSplit w:val="0"/>
          <w:tblHeader w:val="0"/>
          <w:cantSplit/>
        </w:trPr>
        <w:tc>
          <w:tcPr>
            <w:tcW w:type="dxa" w:w="2520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Inspección mínima de resultados</w:t>
            </w:r>
          </w:p>
        </w:tc>
        <w:tc>
          <w:tcPr>
            <w:tcW w:type="dxa" w:w="2016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Núcleo</w:t>
            </w:r>
          </w:p>
        </w:tc>
        <w:tc>
          <w:tcPr>
            <w:tcW w:type="dxa" w:w="4824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Debe ofrecer una interfaz acotada para revisar corridas, alertas, métricas y evidencia, sin convertirse en un tablero operativo.</w:t>
            </w:r>
          </w:p>
        </w:tc>
      </w:tr>
      <w:tr>
        <w:trPr>
          <w:cantSplit w:val="0"/>
          <w:tblHeader w:val="0"/>
          <w:cantSplit/>
        </w:trPr>
        <w:tc>
          <w:tcPr>
            <w:tcW w:type="dxa" w:w="2520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Gestión de evidencia visual controlada</w:t>
            </w:r>
          </w:p>
        </w:tc>
        <w:tc>
          <w:tcPr>
            <w:tcW w:type="dxa" w:w="2016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Complementario previsto</w:t>
            </w:r>
          </w:p>
        </w:tc>
        <w:tc>
          <w:tcPr>
            <w:tcW w:type="dxa" w:w="4824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Debe admitir clips, snapshots o recortes justificados para validación, revisión técnica o comunicación académica.</w:t>
            </w:r>
          </w:p>
        </w:tc>
      </w:tr>
      <w:tr>
        <w:trPr>
          <w:cantSplit w:val="0"/>
          <w:tblHeader w:val="0"/>
          <w:cantSplit/>
        </w:trPr>
        <w:tc>
          <w:tcPr>
            <w:tcW w:type="dxa" w:w="2520"/>
            <w:tcBorders>
              <w:bottom w:color="000000" w:space="0" w:sz="0" w:val="nil"/>
            </w:tcBorders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Distribución de alertas confirmadas</w:t>
            </w:r>
          </w:p>
        </w:tc>
        <w:tc>
          <w:tcPr>
            <w:tcW w:type="dxa" w:w="2016"/>
            <w:tcBorders>
              <w:bottom w:color="000000" w:space="0" w:sz="0" w:val="nil"/>
            </w:tcBorders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Capacidad opcional</w:t>
            </w:r>
          </w:p>
        </w:tc>
        <w:tc>
          <w:tcPr>
            <w:tcW w:type="dxa" w:w="4824"/>
            <w:tcBorders>
              <w:bottom w:color="000000" w:space="0" w:sz="0" w:val="nil"/>
            </w:tcBorders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Debe convertir alertas confirmadas en intentos de entrega registrados, después del registro interno y fuera del razonamiento del patrón, para que fallas externas no afecten al motor.</w:t>
            </w:r>
          </w:p>
        </w:tc>
      </w:tr>
      <w:tr>
        <w:trPr>
          <w:cantSplit w:val="0"/>
          <w:tblHeader w:val="0"/>
          <w:cantSplit/>
        </w:trPr>
        <w:tc>
          <w:tcPr>
            <w:tcW w:type="dxa" w:w="2520"/>
            <w:tcBorders>
              <w:bottom w:color="000000" w:space="0" w:sz="0" w:val="nil"/>
            </w:tcBorders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Preselección liviana en el rol de captura</w:t>
            </w:r>
          </w:p>
        </w:tc>
        <w:tc>
          <w:tcPr>
            <w:tcW w:type="dxa" w:w="2016"/>
            <w:tcBorders>
              <w:bottom w:color="000000" w:space="0" w:sz="0" w:val="nil"/>
            </w:tcBorders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Capacidad opcional</w:t>
            </w:r>
          </w:p>
        </w:tc>
        <w:tc>
          <w:tcPr>
            <w:tcW w:type="dxa" w:w="4824"/>
            <w:tcBorders>
              <w:bottom w:color="000000" w:space="0" w:sz="0" w:val="nil"/>
            </w:tcBorders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Debe reducir carga antes de la inferencia con un preselector conservador: ante falla o incertidumbre, la unidad continúa por el flujo principal; el borde no es fuente de verdad y todo descarte queda visible.</w:t>
            </w:r>
          </w:p>
        </w:tc>
      </w:tr>
      <w:tr>
        <w:trPr>
          <w:cantSplit w:val="0"/>
          <w:tblHeader w:val="0"/>
          <w:cantSplit/>
        </w:trPr>
        <w:tc>
          <w:tcPr>
            <w:tcW w:type="dxa" w:w="2520"/>
            <w:tcBorders>
              <w:bottom w:color="000000" w:space="0" w:sz="0" w:val="nil"/>
            </w:tcBorders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Identidad temporal de sujeto</w:t>
            </w:r>
          </w:p>
        </w:tc>
        <w:tc>
          <w:tcPr>
            <w:tcW w:type="dxa" w:w="2016"/>
            <w:tcBorders>
              <w:bottom w:color="000000" w:space="0" w:sz="0" w:val="nil"/>
            </w:tcBorders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Capacidad opcional</w:t>
            </w:r>
          </w:p>
        </w:tc>
        <w:tc>
          <w:tcPr>
            <w:tcW w:type="dxa" w:w="4824"/>
            <w:tcBorders>
              <w:bottom w:color="000000" w:space="0" w:sz="0" w:val="nil"/>
            </w:tcBorders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Debe admitir granularidad por sujeto mediante identidad temporal válida. Las métricas formales de seguimiento multiobjeto no condicionan la evaluación del núcleo ni se confunden con esta capacidad.</w:t>
            </w:r>
          </w:p>
        </w:tc>
      </w:tr>
      <w:tr>
        <w:trPr>
          <w:cantSplit w:val="0"/>
          <w:tblHeader w:val="0"/>
          <w:cantSplit/>
        </w:trPr>
        <w:tc>
          <w:tcPr>
            <w:tcW w:type="dxa" w:w="2520"/>
            <w:tcBorders>
              <w:top w:color="000000" w:space="0" w:sz="0" w:val="nil"/>
            </w:tcBorders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Capacidades contextuales y relacionales</w:t>
            </w:r>
          </w:p>
        </w:tc>
        <w:tc>
          <w:tcPr>
            <w:tcW w:type="dxa" w:w="2016"/>
            <w:tcBorders>
              <w:top w:color="000000" w:space="0" w:sz="0" w:val="nil"/>
            </w:tcBorders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Extensión condicionada</w:t>
            </w:r>
          </w:p>
        </w:tc>
        <w:tc>
          <w:tcPr>
            <w:tcW w:type="dxa" w:w="4824"/>
            <w:tcBorders>
              <w:top w:color="000000" w:space="0" w:sz="0" w:val="nil"/>
            </w:tcBorders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Debe prever contexto, zonas, proximidad y evaluadores relacionales para condiciones de Nivel 2 y 3, sin bloquear CR-01 y CR-02. Su habilitación exige evidencia e instrumentación adecuadas.</w:t>
            </w:r>
          </w:p>
        </w:tc>
      </w:tr>
      <w:tr>
        <w:trPr>
          <w:cantSplit w:val="0"/>
          <w:tblHeader w:val="0"/>
          <w:cantSplit/>
        </w:trPr>
        <w:tc>
          <w:tcPr>
            <w:tcW w:type="dxa" w:w="2520"/>
            <w:tcBorders>
              <w:top w:color="000000" w:space="0" w:sz="0" w:val="nil"/>
            </w:tcBorders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Adaptación al dominio (fine-tuning)</w:t>
            </w:r>
          </w:p>
        </w:tc>
        <w:tc>
          <w:tcPr>
            <w:tcW w:type="dxa" w:w="2016"/>
            <w:tcBorders>
              <w:top w:color="000000" w:space="0" w:sz="0" w:val="nil"/>
            </w:tcBorders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Rama comparativa condicionada</w:t>
            </w:r>
          </w:p>
        </w:tc>
        <w:tc>
          <w:tcPr>
            <w:tcW w:type="dxa" w:w="4824"/>
            <w:tcBorders>
              <w:top w:color="000000" w:space="0" w:sz="0" w:val="nil"/>
            </w:tcBorders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/>
              <w:spacing w:after="0" w:before="0" w:line="480" w:lineRule="auto"/>
              <w:ind w:firstLine="0"/>
              <w:rPr>
                <w:sz w:val="28"/>
                <w:szCs w:val="28"/>
              </w:rPr>
            </w:pPr>
            <w:r>
              <w:rPr>
                <w:sz w:val="22"/>
                <w:szCs w:val="22"/>
                <w:rtl w:val="0"/>
              </w:rPr>
              <w:t>Sólo corresponde con una línea base preentrenada congelada, datos suficientes, partición disjunta y criterios de escalamiento fijados antes de los resultados.</w:t>
            </w:r>
          </w:p>
        </w:tc>
      </w:tr>
    </w:tbl>
    <w:p w:rsidR="00000000" w:rsidDel="00000000" w:rsidP="00000000" w:rsidRDefault="00000000" w:rsidRPr="00000000" w14:paraId="00000092">
      <w:pPr>
        <w:widowControl/>
        <w:spacing w:after="0" w:before="0" w:line="480" w:lineRule="auto"/>
        <w:ind w:firstLine="720"/>
        <w:rPr/>
      </w:pPr>
      <w:r>
        <w:rPr>
          <w:i w:val="1"/>
          <w:iCs w:val="1"/>
        </w:rPr>
        <w:t>Nota.</w:t>
      </w:r>
      <w:r>
        <w:t xml:space="preserve"> El compromiso declara el régimen de cada capacidad. “Núcleo” identifica capacidades necesarias para el flujo base; “complementario previsto” agrupa capacidades útiles para la validación, la revisión técnica o la comunicación académica; “capacidad opcional” identifica capacidades que el diseño contempla pero que se declaran en la configuración de cada corrida y permanecen deshabilitadas por defecto, de modo que ninguna pueda operar como comportamiento implícito; “extensión condicionada” identifica capacidades previstas cuya habilitación exige evidencia e instrumentación adicionales; y “rama comparativa condicionada” refiere a variantes que sólo deben incorporarse si se cumplen las condiciones metodológicas correspondientes. La tabla enumera responsabilidades del diseño y no componentes de implementación.</w:t>
      </w:r>
    </w:p>
    <w:sectPr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Courier New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="48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="480" w:lineRule="auto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line="48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footer" Target="footer1.xml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16" Type="http://schemas.openxmlformats.org/officeDocument/2006/relationships/image" Target="media/image5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i+y3KrGCmxuEEpG1fraR2/aGPw==">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