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0"/>
          <w:i w:val="0"/>
          <w:bCs w:val="1"/>
          <w:b w:val="1"/>
          <w:sz w:val="24"/>
          <w:szCs w:val="24"/>
          <w:color w:val="000000"/>
        </w:rPr>
        <w:t>17. Desarrollo del producto</w:t>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0"/>
          <w:i w:val="0"/>
          <w:bCs w:val="1"/>
          <w:b w:val="1"/>
          <w:sz w:val="24"/>
          <w:szCs w:val="24"/>
          <w:color w:val="000000"/>
        </w:rPr>
        <w:t>17.1. Consolidación metodológica del protocolo experimental</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1"/>
          <w:i w:val="1"/>
          <w:bCs w:val="1"/>
          <w:b w:val="1"/>
          <w:sz w:val="24"/>
          <w:szCs w:val="24"/>
          <w:color w:val="000000"/>
        </w:rPr>
        <w:t>17.1.1. Función y alcance de la consolidación metodológica</w:t>
      </w:r>
    </w:p>
    <w:p w:rsidR="00000000" w:rsidDel="00000000" w:rsidP="00000000" w:rsidRDefault="00000000" w:rsidRPr="00000000" w14:paraId="00000007">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17.1.1.1. Función metodológica dentro del trabajo</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principal de esta parte del trabajo es ordenar la transición entre la fundamentación teórica y las instancias posteriores de diseño, implementación y validación. Para ello, la consolidación metodológica no se limita a enumerar componentes técnicos, sino que define el modo en que esos componentes serán evaluados, comparados e interpretados dentro del alcance experimental declarado.</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es un marco de trabajo que ordena el diseño, la implementación y la validación del prototipo, y que permite comparar variantes, medir desempeño e interpretar la evidencia bajo criterios consistentes.</w:t>
      </w:r>
    </w:p>
    <w:p w:rsidR="00000000" w:rsidDel="00000000" w:rsidP="00000000" w:rsidRDefault="00000000" w:rsidRPr="00000000" w14:paraId="0000000C">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17.1.1.2. Articulación entre los desarrollos metodológicos</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se apoya en cuatro dimensiones temáticas. La primera caracteriza la infraestructura, los escenarios y las restricciones de ejecución; la segunda define el catálogo de condiciones, sus niveles de complejidad y la política de prompts; la tercera establece cobertura, brechas y reglas de partición de datos; y la cuarta organiza la evidencia mínima que el prototipo deberá producir.</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t>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bCs w:val="1"/>
          <w:b w:val="1"/>
          <w:sz w:val="24"/>
          <w:szCs w:val="24"/>
        </w:rPr>
        <w:t>Tabla 16</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Articulación entre las dimensiones metodológicas de la consolidación experimental</w:t>
      </w:r>
    </w:p>
    <w:tbl>
      <w:tblPr>
        <w:tblStyle w:val="Table1"/>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740"/>
        <w:gridCol w:w="4320"/>
        <w:tblGridChange w:id="0">
          <w:tblGrid>
            <w:gridCol w:w="2400"/>
            <w:gridCol w:w="3740"/>
            <w:gridCol w:w="4320"/>
          </w:tblGrid>
        </w:tblGridChange>
      </w:tblGrid>
      <w:tr>
        <w:trPr>
          <w:cantSplit w:val="0"/>
          <w:tblHeader w:val="true"/>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metodológica</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 principal</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consolidada</w:t>
            </w:r>
            <w:r w:rsidDel="00000000" w:rsidR="00000000" w:rsidRPr="00000000">
              <w:rPr>
                <w:rtl w:val="0"/>
                <w:b/>
              </w:rPr>
            </w:r>
          </w:p>
        </w:tc>
      </w:tr>
      <w:tr>
        <w:trPr>
          <w:cantSplit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experimental</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CPN, EN, TN, escenarios DBE y EBE, y restricciones de hardware y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 la viabilidad operativa en el CPN, separa entrenamiento de inferencia y formaliza el rol metodológico de cada escenario.</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 riesgo y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 las condiciones de riesgo por niveles de complejidad y fija el protocolo de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 el núcleo obligatorio del prototipo en condiciones de detección directa de Nivel 1 y ordena el resto del catálogo como extensión condicionada.</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y benchmarks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 un inventario de datasets, benchmarks, cobertura por condición y reglas de partición.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qué condiciones tienen soporte suficiente para evaluación directa, qué módulos requieren benchmarks externos y qué brechas exigen prudencia metodológica.</w:t>
            </w:r>
          </w:p>
        </w:tc>
      </w:tr>
      <w:tr>
        <w:trPr>
          <w:cantSplit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de métricas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Jerarquiza métricas, define latencia de alerta, fija niveles de compromiso y establece criterios de ejecutabilidad experimental.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 la evidencia mínima del prototipo y separa métricas obligatorias, deseables y conceptuales según el alcance implementado.</w:t>
            </w:r>
          </w:p>
        </w:tc>
      </w:tr>
    </w:tbl>
    <w:p w:rsidR="00000000" w:rsidDel="00000000" w:rsidP="00000000" w:rsidRDefault="00000000" w:rsidRPr="00000000" w14:paraId="000000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La tabla resume cómo cada dimensión metodológica aporta una parte del protocolo experimental integrado y qué decisión transversal queda consolidada para la continuidad del proyecto.</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17.1.2. Alcance experimental consolidado del prototipo</w:t>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17.1.2.1. Delimitación del catálogo de condiciones de riesgo</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17.1.2.2. Núcleo obligatorio y extensiones condicionadas</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p>
    <w:p w:rsidR="00000000" w:rsidDel="00000000" w:rsidP="00000000" w:rsidRDefault="00000000" w:rsidRPr="00000000" w14:paraId="00000028">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bCs w:val="1"/>
          <w:b w:val="1"/>
          <w:sz w:val="24"/>
          <w:szCs w:val="24"/>
        </w:rPr>
        <w:t>Tabla 17</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Catálogo consolidado de condiciones de riesgo y rol experimental</w:t>
      </w:r>
    </w:p>
    <w:tbl>
      <w:tblPr>
        <w:tblStyle w:val="Table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600"/>
        <w:gridCol w:w="2880"/>
        <w:gridCol w:w="1980"/>
        <w:gridCol w:w="2560"/>
        <w:tblGridChange w:id="0">
          <w:tblGrid>
            <w:gridCol w:w="2440"/>
            <w:gridCol w:w="600"/>
            <w:gridCol w:w="2880"/>
            <w:gridCol w:w="1980"/>
            <w:gridCol w:w="2560"/>
          </w:tblGrid>
        </w:tblGridChange>
      </w:tblGrid>
      <w:tr>
        <w:trPr>
          <w:cantSplit w:val="0"/>
          <w:tblHeader w:val="true"/>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y condición</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 dominante</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Módulos requeridos</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metodológico</w:t>
            </w:r>
            <w:r w:rsidDel="00000000" w:rsidR="00000000" w:rsidRPr="00000000">
              <w:rPr>
                <w:rtl w:val="0"/>
                <w:b/>
              </w:rPr>
            </w:r>
          </w:p>
        </w:tc>
      </w:tr>
      <w:tr>
        <w:trPr>
          <w:cantSplit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 estrategia directa o indirecta.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obligatorio del prototipo experimental; condición prioritaria para comparación y aceptación.</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 estrategia directa o indirecta.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obligatorio del prototipo experimental; condición prioritaria para comparación y aceptación.</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Persona en posición elevada sin sistema anticaídas visible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estructura elevada y ausencia visible de arnés o línea de vida.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reglas espaciales intracuadro.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exploratoria y condicionada a datos complementarios y visibilidad suficiente.</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 con personas próximas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sin protección colectiva y proximidad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reglas espaciales intracuadro.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exploratoria y condicionada; no bloquea la aceptación del núcleo del prototipo.</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en operación cerca de peatones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y personas bajo distancia de seguridad.</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Extensión condicionada a módulo relacional y datos contextuales adecuados.</w:t>
            </w:r>
          </w:p>
        </w:tc>
      </w:tr>
      <w:tr>
        <w:trPr>
          <w:cantSplit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dentro de zona restringida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un área previamente parametrizada como restringida.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región de interés fija.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Extensión condicionada; requiere cámara fija o parametrización espacial externa al prompt.</w:t>
            </w:r>
          </w:p>
        </w:tc>
      </w:tr>
    </w:tbl>
    <w:p w:rsidR="00000000" w:rsidDel="00000000" w:rsidP="00000000" w:rsidRDefault="00000000" w:rsidRPr="00000000" w14:paraId="0000004D">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La distinción entre núcleo obligatorio y extensión condicionada no elimina condiciones del catálogo. Explicita el nivel de compromiso que esta instancia puede sostener con los datos, la instrumentación y la complejidad disponible.</w:t>
      </w:r>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17.1.3.1. Patrón de riesgo como unidad de análisis</w:t>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17.1.3.2. Cadena operativa mínima y motor de patrones</w:t>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en esta instancia como una abstracción lógica del plano de control. Este componente recibe eventos de detección normalizados, información de seguimiento cuando exista, configuración de prompts y reglas de patrón; aplica criterios de persistencia, severidad, histéresis y lógica espacial o contextual; y emite cambios de estado del patrón. Sólo cuando un patrón alcanza el estado confirmado puede registrarse una alerta interna dentro del sistema.</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supervisor humano. Esta secuencia permite vincular la medición experimental con una lógica de ejecución trazable, sin atribuir al sistema una capacidad autónoma de decisión sobre el cumplimiento normativo o la gestión efectiva de la obra.</w:t>
      </w:r>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17.1.3.3. Escenarios de evaluación</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funciona como ámbito primario de comparación controlada, repetible y cuantificable. El Escenario B, o Environment-Based Evaluation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17.1.3.4. Decisiones estructurales del diseño metodológico</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Tabla 18</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Decisiones estructurales del diseño metodológico</w:t>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Change w:id="0">
          <w:tblGrid>
            <w:gridCol w:w="2120"/>
            <w:gridCol w:w="5040"/>
            <w:gridCol w:w="3300"/>
          </w:tblGrid>
        </w:tblGridChange>
      </w:tblGrid>
      <w:tr>
        <w:trPr>
          <w:cantSplit w:val="0"/>
          <w:tblHeader w:val="true"/>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b/>
              </w:rPr>
            </w:r>
          </w:p>
        </w:tc>
      </w:tr>
      <w:tr>
        <w:trPr>
          <w:cantSplit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17.1.4.1. Introducción y alcance</w:t>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documenta el entorno experimental sobre el cual se desarrolla y evalúa la plataforma E-OVRT-VDP. Su función es caracterizar de manera integrada la infraestructura de cómputo disponible para inferencia y entrenamiento, el stack probable de software asociado, los escenarios de evaluación definidos para el proyecto y las condiciones operativas propias de cada escenario. La información aquí formalizada responde a la pregunta rectora P-E1-04 definida en la fundamentación teórica, que indaga por las restricciones del entorno de ejecución —capacidad computacional, protocolos de transmisión y presupuesto de procesamiento— que condicionan las decisiones arquitectónicas del prototipo. Asimismo, la definición de los escenarios de evaluación establece las condiciones concretas bajo las cuales se ejercitará el prototipo y delimita el referente experimental de la presente sección.</w:t>
      </w:r>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17.1.4.2. Infraestructura de evaluación</w:t>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17.1.4.2.1. Central Processing Node (CPN)</w:t>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CPN concentra la lectura o recepción de cuadros, la inferencia open-vocabulary, el postproceso, la evaluación de patrones, el registro de alertas internas y la instrumentación técnica y operativa.</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Este rol se materializa sobre una laptop HP Victus 15 Gaming 15-FB2024LA con GPU NVIDIA GeForce RTX 4060 Laptop y 8 GB de VRAM, recurso que delimita el tamaño de modelo, la resolución de inferencia, la precisión numérica y el presupuesto de latencia. El entorno de ejecución adoptado es Linux mediante WSL2 sobre el equipo descrito y contenedores Linux, por compatibilidad con el stack de inferencia y el bus de datos (HP Inc., s. f.).</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Las especificaciones completas del CPN y del entorno de software se presentan en las Tablas B.1 y B.3 del Anexo B.</w:t>
      </w:r>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17.1.4.2.2. Implicancias del NVDEC para el pipeline de medios</w:t>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decodificación acelerada mediante NVDEC se conserva como alternativa del protocolo para flujos H.264 o H.265 del EBE. Su eventual uso debe declararse por corrida y contrastarse con la decodificación por software, porque modifica el reparto de carga entre CPU y GPU y, por lo tanto, la interpretación del presupuesto temporal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17.1.4.2.3. Edge Node (EN) y dispositivo de captura candidato</w:t>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protocolo contempla dos fuentes integrables para este rol: una cámara IP mediante RTSP y la cámara Luxonis OAK-D Pro PoE mediante su interfaz de captura. La vía RTSP se prioriza inicialmente por disponibilidad e interoperabilidad; la OAK-D se incorpora como fuente posterior para capturas controladas y capacidades sensoriales complementarias. Ninguna de las dos decisiones presupone inferencia OVD en el borde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Ambas fuentes deben producir unidades visuales comparables para el CPN y registrar su procedencia, resolución, tasa de captura y temporalidad. La elección entre ellas depende del escenario y no altera la unidad de evaluación del protocolo.</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Las especificaciones del dispositivo de captura y su conectividad se detallan en la Tabla B.2 del Anexo B.</w:t>
      </w:r>
    </w:p>
    <w:p w:rsidR="00000000" w:rsidDel="00000000" w:rsidP="00000000" w:rsidRDefault="00000000" w:rsidRPr="00000000" w14:paraId="00000088">
      <w:pPr>
        <w:pStyle w:val="Heading5"/>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0"/>
          <w:i w:val="0"/>
          <w:bCs w:val="1"/>
          <w:b w:val="1"/>
          <w:sz w:val="24"/>
          <w:szCs w:val="24"/>
          <w:color w:val="000000"/>
        </w:rPr>
        <w:t>17.1.4.2.4. Criterio de prioridad y fuente RTSP sintética</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fuente RTSP sintética, generada a partir de material pregrabado mediante un servidor de medios, se reserva para desarrollo, pruebas de integración y reproducción controlada de una misma entrada por las rutas DBE y EBE. No constituye una fuente experimental independiente ni sustituye la captura del entorno físico.</w:t>
      </w:r>
    </w:p>
    <w:p w:rsidR="00000000" w:rsidDel="00000000" w:rsidP="00000000" w:rsidRDefault="00000000" w:rsidRPr="00000000" w14:paraId="0000008A">
      <w:pPr>
        <w:pStyle w:val="Heading5"/>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0"/>
          <w:i w:val="0"/>
          <w:bCs w:val="1"/>
          <w:b w:val="1"/>
          <w:sz w:val="24"/>
          <w:szCs w:val="24"/>
          <w:color w:val="000000"/>
        </w:rPr>
        <w:t>17.1.4.2.5. Stack de software de inferencia (CPN)</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El stack del CPN debe ser compatible con los frameworks oficiales de Grounding DINO y YOLOE, con aceleración sobre GPU NVIDIA y con rutas reproducibles de inferencia. Las librerías, versiones y runtimes candidatos se documentan en la Tabla B.3 del Anexo B (Liu et al., 2023; Wang et al., 2025).</w:t>
      </w:r>
    </w:p>
    <w:p w:rsidR="00000000" w:rsidDel="00000000" w:rsidP="00000000" w:rsidRDefault="00000000" w:rsidRPr="00000000" w14:paraId="0000008C">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17.1.4.3. Adaptación de modelos al dominio</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F">
      <w:pPr>
        <w:pStyle w:val="Heading5"/>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0"/>
          <w:i w:val="0"/>
          <w:bCs w:val="1"/>
          <w:b w:val="1"/>
          <w:sz w:val="24"/>
          <w:szCs w:val="24"/>
          <w:color w:val="000000"/>
        </w:rPr>
        <w:t>17.1.4.3.1. Training Node (TN)</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El TN se materializa mediante el clúster institucional Mendieta del CCAD-UNC, reservado para preparación y ajuste de variantes. Su capacidad no sustituye la evaluación operativa sobre el CPN; las especificaciones del recurso se presentan en la Tabla B.4 del Anexo B (Centro de Computación de Alto Desempeño, 2026).</w:t>
      </w:r>
    </w:p>
    <w:p w:rsidR="00000000" w:rsidDel="00000000" w:rsidP="00000000" w:rsidRDefault="00000000" w:rsidRPr="00000000" w14:paraId="00000091">
      <w:pPr>
        <w:pStyle w:val="Heading5"/>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0"/>
          <w:i w:val="0"/>
          <w:bCs w:val="1"/>
          <w:b w:val="1"/>
          <w:sz w:val="24"/>
          <w:szCs w:val="24"/>
          <w:color w:val="000000"/>
        </w:rPr>
        <w:t>17.1.4.3.2. Stack de software de entrenamiento (TN)</w:t>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entorno del TN debe permitir preparación de datos, entrenamiento reproducible, conservación de checkpoints y exportación hacia el runtime del CPN. La configuración candidata se resume en la Tabla B.5 del Anexo B.</w:t>
      </w:r>
    </w:p>
    <w:p w:rsidR="00000000" w:rsidDel="00000000" w:rsidP="00000000" w:rsidRDefault="00000000" w:rsidRPr="00000000" w14:paraId="00000093">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17.1.4.3.3. Flujo de transferencia y evaluación</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TN queda fuera del camino de inferencia evaluado. Prepara variantes sobre particiones previamente definidas, exporta los checkpoints en un formato compatible y entrega esos artefactos al CPN, donde deben compararse con la baseline bajo el mismo material y la misma configuración experimental, salvo la variable aislada.</w:t>
      </w:r>
    </w:p>
    <w:p w:rsidR="00000000" w:rsidDel="00000000" w:rsidP="00000000" w:rsidRDefault="00000000" w:rsidRPr="00000000" w14:paraId="00000095">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17.1.4.4. Escenarios de evaluación</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tanto de modelos preentrenados (baseline) como de modelos ajustados mediante fine-tuning en el TN (Sección 17.1.9), permitiendo una comparación directa del impacto de la adaptación al dominio.</w:t>
      </w:r>
    </w:p>
    <w:p w:rsidR="00000000" w:rsidDel="00000000" w:rsidP="00000000" w:rsidRDefault="00000000" w:rsidRPr="00000000" w14:paraId="00000097">
      <w:pPr>
        <w:pStyle w:val="Heading5"/>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0"/>
          <w:i w:val="0"/>
          <w:bCs w:val="1"/>
          <w:b w:val="1"/>
          <w:sz w:val="24"/>
          <w:szCs w:val="24"/>
          <w:color w:val="000000"/>
        </w:rPr>
        <w:t>17.1.4.4.1. Escenario A - Dataset-Based Evaluation (DBE)</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bCs w:val="1"/>
          <w:b w:val="1"/>
          <w:sz w:val="24"/>
          <w:szCs w:val="24"/>
        </w:rPr>
        <w:t>Tabla 19</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Características del Escenario A - Dataset-Based Evaluation (DBE)</w:t>
      </w:r>
    </w:p>
    <w:tbl>
      <w:tblPr>
        <w:tblStyle w:val="Table4"/>
        <w:tblW w:w="10460.0" w:type="dxa"/>
        <w:jc w:val="center"/>
        <w:tblLayout w:type="fixed"/>
        <w:tblLook w:val="0400"/>
      </w:tblPr>
      <w:tblGrid>
        <w:gridCol w:w="1800"/>
        <w:gridCol w:w="8660"/>
        <w:tblGridChange w:id="0">
          <w:tblGrid>
            <w:gridCol w:w="1800"/>
            <w:gridCol w:w="8660"/>
          </w:tblGrid>
        </w:tblGridChange>
      </w:tblGrid>
      <w:tr>
        <w:trPr>
          <w:cantSplit w:val="0"/>
          <w:tblHeader w:val="true"/>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b/>
              </w:rPr>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seguimiento anotado; la evaluación MOT requiere benchmarks generales complementarios y un protocolo propio de transferencia al dominio.</w:t>
            </w:r>
          </w:p>
        </w:tc>
      </w:tr>
    </w:tbl>
    <w:p w:rsidR="00000000" w:rsidDel="00000000" w:rsidP="00000000" w:rsidRDefault="00000000" w:rsidRPr="00000000" w14:paraId="000000A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C">
      <w:pPr>
        <w:pStyle w:val="Heading5"/>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0"/>
          <w:i w:val="0"/>
          <w:bCs w:val="1"/>
          <w:b w:val="1"/>
          <w:sz w:val="24"/>
          <w:szCs w:val="24"/>
          <w:color w:val="000000"/>
        </w:rPr>
        <w:t>17.1.4.4.2. Escenario B - Environment-Based Evaluation (EBE)</w:t>
      </w:r>
    </w:p>
    <w:p w:rsidR="00000000" w:rsidDel="00000000" w:rsidP="00000000" w:rsidRDefault="00000000" w:rsidRPr="00000000" w14:paraId="000000A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Al igual que en el Escenario A, se ejecutan las variantes preentrenada y fine-tuned de cada modelo candidato seleccionado tras la evaluación del Escenario A.</w:t>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bCs w:val="1"/>
          <w:b w:val="1"/>
          <w:sz w:val="24"/>
          <w:szCs w:val="24"/>
        </w:rPr>
        <w:t>Tabla 20</w:t>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Características del Escenario B - Environment-Based Evaluation (EBE)</w:t>
      </w:r>
    </w:p>
    <w:tbl>
      <w:tblPr>
        <w:tblStyle w:val="Table5"/>
        <w:tblW w:w="10460.0" w:type="dxa"/>
        <w:jc w:val="center"/>
        <w:tblLayout w:type="fixed"/>
        <w:tblLook w:val="0400"/>
      </w:tblPr>
      <w:tblGrid>
        <w:gridCol w:w="1980"/>
        <w:gridCol w:w="8480"/>
        <w:tblGridChange w:id="0">
          <w:tblGrid>
            <w:gridCol w:w="1980"/>
            <w:gridCol w:w="8480"/>
          </w:tblGrid>
        </w:tblGridChange>
      </w:tblGrid>
      <w:tr>
        <w:trPr>
          <w:cantSplit w:val="0"/>
          <w:tblHeader w:val="true"/>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b/>
              </w:rPr>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Video en vivo desde el EN mediante cámara IP por RTSP o captura directa con OAK-D Pro PoE. La fuente RTSP sintética se reserva para desarrollo y reproducibilidad.</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infracción deliberada.</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CPN para inferencia central; EN para captura y, sólo como variante condicionada, preprocesamiento liviano.</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Variante preentrenada (baseline) y variante fine-tuned, sobre el modelo o combinación seleccionada tras el Escenario A.</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completo de extremo a extremo incluyendo transporte de video y motor de razonamiento temporal.</w:t>
            </w:r>
          </w:p>
        </w:tc>
      </w:tr>
      <w:tr>
        <w:trPr>
          <w:cantSplit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0C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5">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17.1.4.5. Parámetros operativos de referencia</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7">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17.1.4.5.1. Parámetros de referencia del pipeline</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Los parámetros operativos se documentan por perfil. En particular, la resolución de inferencia es un parámetro del perfil de modelo y debe fijarse junto con los umbrales recalibrados para ese perfil; no se adopta una resolución única para todas las familias. Los restantes valores orientativos se presentan en la Tabla B.6 del Anexo B.</w:t>
      </w:r>
    </w:p>
    <w:p w:rsidR="00000000" w:rsidDel="00000000" w:rsidP="00000000" w:rsidRDefault="00000000" w:rsidRPr="00000000" w14:paraId="000000C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17.1.4.5.2. Transporte de video en el escenario B</w:t>
      </w:r>
    </w:p>
    <w:p w:rsidR="00000000" w:rsidDel="00000000" w:rsidP="00000000" w:rsidRDefault="00000000" w:rsidRPr="00000000" w14:paraId="000000C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En el EBE, la captura y el procesamiento pueden ubicarse en nodos distintos. El protocolo exige declarar fuente, transporte, buffering y anclas temporales para distinguir la latencia de adquisición de la latencia algorítmica. La topología de referencia se presenta en la Tabla B.7 del Anexo B.</w:t>
      </w:r>
    </w:p>
    <w:p w:rsidR="00000000" w:rsidDel="00000000" w:rsidP="00000000" w:rsidRDefault="00000000" w:rsidRPr="00000000" w14:paraId="000000CB">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17.1.4.6. Restricciones y condicionantes del entorno experimental</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restricciones detalladas en la Tabla 21 condicionan las decisiones de diseño de etapas posteriores y deben tenerse presentes al interpretar los resultados experimentales.</w:t>
      </w:r>
    </w:p>
    <w:p w:rsidR="00000000" w:rsidDel="00000000" w:rsidP="00000000" w:rsidRDefault="00000000" w:rsidRPr="00000000" w14:paraId="000000CD">
      <w:pPr>
        <w:spacing w:line="360" w:lineRule="auto"/>
        <w:rPr>
          <w:rFonts w:ascii="Times New Roman" w:cs="Times New Roman" w:eastAsia="Times New Roman" w:hAnsi="Times New Roman"/>
          <w:b w:val="1"/>
          <w:bCs w:val="1"/>
          <w:i w:val="1"/>
          <w:iCs w:val="1"/>
          <w:sz w:val="24"/>
          <w:szCs w:val="24"/>
        </w:rPr>
      </w:pPr>
      <w:r>
        <w:rPr>
          <w:rFonts w:ascii="Times New Roman" w:hAnsi="Times New Roman" w:eastAsia="Times New Roman" w:cs="Times New Roman"/>
          <w:bCs w:val="1"/>
          <w:b w:val="1"/>
          <w:sz w:val="24"/>
          <w:szCs w:val="24"/>
        </w:rPr>
        <w:t>Tabla 21</w:t>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Restricciones y condicionantes del entorno experimental</w:t>
      </w:r>
    </w:p>
    <w:tbl>
      <w:tblPr>
        <w:tblStyle w:val="Table6"/>
        <w:tblW w:w="10480.0" w:type="dxa"/>
        <w:jc w:val="center"/>
        <w:tblLayout w:type="fixed"/>
        <w:tblLook w:val="0400"/>
      </w:tblPr>
      <w:tblGrid>
        <w:gridCol w:w="3020"/>
        <w:gridCol w:w="2680"/>
        <w:gridCol w:w="4780"/>
        <w:tblGridChange w:id="0">
          <w:tblGrid>
            <w:gridCol w:w="3020"/>
            <w:gridCol w:w="2680"/>
            <w:gridCol w:w="4780"/>
          </w:tblGrid>
        </w:tblGridChange>
      </w:tblGrid>
      <w:tr>
        <w:trPr>
          <w:cantSplit w:val="0"/>
          <w:tblHeader w:val="true"/>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b/>
              </w:rPr>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rPr>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Linux mediante WSL2 y contenedores Linux en el CPN</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Entorno de ejecución — CPN</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Las versiones de CUDA, bibliotecas, runtimes y bus deben ser compatibles con el entorno Linux adoptado y quedar congeladas por corrida.</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seguimiento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seguimiento anotado es insuficiente.</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de latencia G2A de 50–250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de métricas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clúster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La planificación del ajuste debe contemplar la cola institucional, sin convertir la disponibilidad de cómputo en criterio metodológico de aceptación o descarte.</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0E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Elaboración propia basada en las especificaciones del hardware disponible, la caracterización del TN y del EN en la presente sección, los criterios metodológicos fijados en la estrategia de datos, benchmarks y partición y el marco normativo argentino aplicable a protección de datos personales y videovigilancia.</w:t>
      </w:r>
    </w:p>
    <w:p w:rsidR="00000000" w:rsidDel="00000000" w:rsidP="00000000" w:rsidRDefault="00000000" w:rsidRPr="00000000" w14:paraId="000000EB">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17.1.4.7. Lectura metodológica de la infraestructura operativa y sus restricciones</w:t>
      </w:r>
    </w:p>
    <w:p w:rsidR="00000000" w:rsidDel="00000000" w:rsidP="00000000" w:rsidRDefault="00000000" w:rsidRPr="00000000" w14:paraId="000000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del proyecto se organiza en tres nodos con roles diferenciados. El Central Processing Node (CPN) es la plataforma donde debe probarse la viabilidad operativa. El Training Node (TN), correspondiente al clúster institucional Mendieta, cumple una función acotada de entrenamiento o exportación de variantes ajustadas. El Edge Node (EN) aporta captura continua para el EBE y, sólo si la arquitectura lo justifica, preprocesamiento o inferencia ligera.</w:t>
      </w:r>
    </w:p>
    <w:p w:rsidR="00000000" w:rsidDel="00000000" w:rsidP="00000000" w:rsidRDefault="00000000" w:rsidRPr="00000000" w14:paraId="000000E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La consecuencia metodológica es que las conclusiones sobre tiempo real, latencia, uso de recursos y sostenibilidad del pipeline deben anclarse en el CPN: una HP Victus 15 con RTX 4060 Laptop de 8 GB de VRAM y entorno Linux mediante WSL2 y contenedores Linux. Esta restricción orienta la selección de modelos, la resolución, la composición del vocabulario y el runtime de inferencia.</w:t>
      </w:r>
    </w:p>
    <w:p w:rsidR="00000000" w:rsidDel="00000000" w:rsidP="00000000" w:rsidRDefault="00000000" w:rsidRPr="00000000" w14:paraId="000000EE">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bCs w:val="1"/>
          <w:b w:val="1"/>
          <w:sz w:val="24"/>
          <w:szCs w:val="24"/>
        </w:rPr>
        <w:t>Tabla 22</w:t>
      </w:r>
    </w:p>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Infraestructura experimental y función metodológica de cada nodo</w:t>
      </w:r>
    </w:p>
    <w:tbl>
      <w:tblPr>
        <w:tblStyle w:val="Table7"/>
        <w:tblW w:w="10460.0" w:type="dxa"/>
        <w:jc w:val="center"/>
        <w:tblLayout w:type="fixed"/>
        <w:tblLook w:val="0400"/>
      </w:tblPr>
      <w:tblGrid>
        <w:gridCol w:w="800"/>
        <w:gridCol w:w="3060"/>
        <w:gridCol w:w="3480"/>
        <w:gridCol w:w="3120"/>
        <w:tblGridChange w:id="0">
          <w:tblGrid>
            <w:gridCol w:w="800"/>
            <w:gridCol w:w="3060"/>
            <w:gridCol w:w="3480"/>
            <w:gridCol w:w="3120"/>
          </w:tblGrid>
        </w:tblGridChange>
      </w:tblGrid>
      <w:tr>
        <w:trPr>
          <w:cantSplit w:val="0"/>
          <w:tblHeader w:val="true"/>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relevante</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metodológica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correcta dentro del protocolo</w:t>
            </w:r>
            <w:r w:rsidDel="00000000" w:rsidR="00000000" w:rsidRPr="00000000">
              <w:rPr>
                <w:rtl w:val="0"/>
                <w:b/>
              </w:rPr>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HP Victus 15; RTX 4060 Laptop de 8 GB; 32 GB de RAM; Linux mediante WSL2 y contenedores Linux.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 evaluación del pipeline y medición de recursos y 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punto donde debe defenderse la viabilidad operativa del prototipo experimental.</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Clúster Mendieta; nodos con 2 × NVIDIA A30; Linux institucional.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supervisado o exportación de variantes ajustadas, si aplica.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sustituye la prueba operativa sobre el CPN ni redefine el presupuesto real del sistema.</w:t>
            </w:r>
          </w:p>
        </w:tc>
      </w:tr>
      <w:tr>
        <w:trPr>
          <w:cantSplit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w:t>
            </w:r>
          </w:p>
        </w:tc>
        <w:tc>
          <w:tcPr>
            <w:tcBorders>
              <w:top w:color="000000" w:space="0" w:sz="0" w:val="nil"/>
              <w:left w:color="000000" w:space="0" w:sz="0" w:val="nil"/>
              <w:bottom w:color="000000" w:space="0" w:sz="4" w:val="single"/>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Fuentes integrables para el EBE: cámara IP por RTSP y OAK-D Pro PoE.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Suministro de video continuo y eventual preprocesamiento o inferencia ligera.</w:t>
            </w:r>
          </w:p>
        </w:tc>
        <w:tc>
          <w:tcPr>
            <w:tcBorders>
              <w:top w:color="000000" w:space="0" w:sz="0" w:val="nil"/>
              <w:left w:color="000000" w:space="0" w:sz="0" w:val="nil"/>
              <w:bottom w:color="000000" w:space="0" w:sz="4" w:val="single"/>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Su función base es captura y transmisión; la inferencia liviana en borde requiere una evaluación independiente.</w:t>
            </w:r>
          </w:p>
        </w:tc>
      </w:tr>
    </w:tbl>
    <w:p w:rsidR="00000000" w:rsidDel="00000000" w:rsidP="00000000" w:rsidRDefault="00000000" w:rsidRPr="00000000" w14:paraId="0000010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La separación entre CPN, TN y EN no es organizativa sino metodológica: define dónde se entrena, dónde se ejecuta y dónde debe interpretarse la capacidad real del prototipo.</w:t>
      </w:r>
    </w:p>
    <w:p w:rsidR="00000000" w:rsidDel="00000000" w:rsidP="00000000" w:rsidRDefault="00000000" w:rsidRPr="00000000" w14:paraId="00000101">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entorno impone restricciones explícitas. La VRAM de 8 GB limita el tamaño de los modelos y el margen para lotes o vocabularios extensos; la capacidad del EN no permite suponer inferencia OVD principal sin simplificaciones; y la combinación de Linux mediante WSL2, CUDA, contenedores y runtimes acelerados introduce dependencias que deben quedar registradas en la bitácora experimental.</w:t>
      </w:r>
    </w:p>
    <w:p w:rsidR="00000000" w:rsidDel="00000000" w:rsidP="00000000" w:rsidRDefault="00000000" w:rsidRPr="00000000" w14:paraId="00000102">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17.1.5. Condiciones de riesgo, patrones y protocolo de prompts</w:t>
      </w:r>
    </w:p>
    <w:p w:rsidR="00000000" w:rsidDel="00000000" w:rsidP="00000000" w:rsidRDefault="00000000" w:rsidRPr="00000000" w14:paraId="00000103">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17.1.5.1. Introducción y alcance</w:t>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dejó abierta una brecha metodológica entre la identificación normativa de condiciones de riesgo relevantes para seguridad laboral y su traducción en consultas textuales evaluables por modelos de detección open-vocabulary. Junto con esa brecha, el análisis previo señaló que la formulación del prompt no constituye un detalle accesorio, sino una variable que puede alterar de manera significativa el desempeño del detector en dominios especializados.</w:t>
      </w:r>
    </w:p>
    <w:p w:rsidR="00000000" w:rsidDel="00000000" w:rsidP="00000000" w:rsidRDefault="00000000" w:rsidRPr="00000000" w14:paraId="000001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la presente sección responde a la pregunta rectora P-E1-02 definida en la fundamentación teórica. Define la taxonomía de condiciones de riesgo que integran el alcance del prototipo experimental, establece los patrones de riesgo asociados con severidad y persistencia orientativa, y fija un protocolo sistemático para el diseño y la evaluación de prompts OVD. En articulación con el framework de métricas, la sección delimita además cómo esas definiciones conceptuales deben leerse respecto de la latencia de alerta, las métricas operativas y los criterios de aplicación del framework evaluativo.</w:t>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Establece qué condiciones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p>
    <w:p w:rsidR="00000000" w:rsidDel="00000000" w:rsidP="00000000" w:rsidRDefault="00000000" w:rsidRPr="00000000" w14:paraId="00000107">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17.1.5.2. Taxonomía de condiciones de riesgo para el prototipo</w:t>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17.1.5.2.1. Criterios de selección del subconjunto del prototipo experimental</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La pertinencia de este criterio se ve reforzada por evidencia empírica reciente que muestra, por un lado, que los modelos OVD preentrenados pueden presentar limitaciones importantes para discriminar detalles finos y atributos visuales sutiles (Bianchi et al., 2024) y, por otro, que en tareas de dominio especializado en construcción su desempeño puede caer marcadamente frente a detectores ajustados al dominio (Abdalwhab et al., 2025).</w:t>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E">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17.1.5.2.2. Clasificación por niveles de complejidad</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sidDel="00000000" w:rsidR="00000000" w:rsidRPr="00000000">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 En consecuencia, las condiciones de Nivel 2 representan un escalón intermedio de complejidad, en el que la evaluabilidad depende tanto de la calidad de la detección de entidades como de la solidez de las reglas espaciales definidas para interpretar su relación contextual.</w:t>
      </w:r>
    </w:p>
    <w:p w:rsidR="00000000" w:rsidDel="00000000" w:rsidP="00000000" w:rsidRDefault="00000000" w:rsidRPr="00000000" w14:paraId="000001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3">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17.1.5.2.3. Catálogo de condiciones de riesgo seleccionadas</w:t>
      </w:r>
    </w:p>
    <w:p w:rsidR="00000000" w:rsidDel="00000000" w:rsidP="00000000" w:rsidRDefault="00000000" w:rsidRPr="00000000" w14:paraId="0000011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23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Tabla 23</w:t>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Catálogo de condiciones de riesgo seleccionadas para el prototipo experimental</w:t>
      </w:r>
    </w:p>
    <w:tbl>
      <w:tblPr>
        <w:tblStyle w:val="Table8"/>
        <w:tblW w:w="10460.0" w:type="dxa"/>
        <w:jc w:val="center"/>
        <w:tblLayout w:type="fixed"/>
        <w:tblLook w:val="0400"/>
      </w:tblPr>
      <w:tblGrid>
        <w:gridCol w:w="820"/>
        <w:gridCol w:w="640"/>
        <w:gridCol w:w="1700"/>
        <w:gridCol w:w="2380"/>
        <w:gridCol w:w="2240"/>
        <w:gridCol w:w="1620"/>
        <w:gridCol w:w="1060"/>
        <w:tblGridChange w:id="0">
          <w:tblGrid>
            <w:gridCol w:w="820"/>
            <w:gridCol w:w="640"/>
            <w:gridCol w:w="1700"/>
            <w:gridCol w:w="2380"/>
            <w:gridCol w:w="2240"/>
            <w:gridCol w:w="1620"/>
            <w:gridCol w:w="1060"/>
          </w:tblGrid>
        </w:tblGridChange>
      </w:tblGrid>
      <w:tr>
        <w:trPr>
          <w:cantSplit w:val="0"/>
          <w:tblHeader w:val="true"/>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 normativa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b/>
              </w:rPr>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Pr>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Pr>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La columna “Componente evaluador” indica qué módulos del sistema participan en la evaluación de cada condición. “OVD cuadro a cuadro” significa que la condición es resoluble con una o más consultas al detector por cuadro. “OVD + contexto espacial intracuadro” indica que se requiere evaluar relaciones geométricas entre detecciones dentro del mismo cuadro (por ejemplo, superposición vertical de bounding boxes entre persona y andamio en CR-03, o proximidad entre persona y borde desprotegido en CR-04). “OVD + MOT + razonamiento contextual” indica que la evaluación requiere persistencia temporal de trayectorias y lógica de 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downstream o especializados (Jiang et al., 2024), y en evidencia reciente sobre el menor desempeño de modelos vision-language/open-vocabulary preentrenados frente a detectores ajustados al dominio en entornos de construcción (Abdalwhab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t>
      </w:r>
    </w:p>
    <w:p w:rsidR="00000000" w:rsidDel="00000000" w:rsidP="00000000" w:rsidRDefault="00000000" w:rsidRPr="00000000" w14:paraId="0000014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17.1.5.2.4. Consideraciones sobre evaluabilidad y limitaciones</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1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F">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17.1.5.3. Definición conceptual de patrones de riesgo</w:t>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define conceptualmente los patrones de riesgo que constituyen la unidad operativa de análisis del sistema E-OVRT-VDP. Para ello articula tres componentes: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51">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17.1.5.3.1. El patrón de riesgo como unidad de análisis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4">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17.1.5.3.2. Niveles de severidad</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o fatal. Los artículos 52 a 57 del Decreto 911/96 establecen medidas de prevención frente al riesgo de caída de personas y trabajos con riesgo de caída a distinto nivel, incluyendo protecciones colectivas, provisión de EPP acorde al riesgo y medidas mínimas para tareas de corta duración. Asimismo, para riesgos asociados a la interacción entre personas, vehículos y maquinaria, el Decreto 911/96 regula la operación de vehículos y maquinaria automotriz en los artículos 246 a 249, y prevé medidas de protección frente a la circulación vehicular en contextos específicos, como la señalización, vallado o cercado de áreas de trabajo en vía pública, la provisión de equipos de alta visibilidad y la protección mediante vallados, señales, luces, vigías u otras medidas eficaces. En ambos casos,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alto</w:t>
      </w:r>
      <w:r w:rsidDel="00000000" w:rsidR="00000000" w:rsidRPr="00000000">
        <w:rPr>
          <w:rFonts w:ascii="Times New Roman" w:cs="Times New Roman" w:eastAsia="Times New Roman" w:hAnsi="Times New Roman"/>
          <w:sz w:val="24"/>
          <w:szCs w:val="24"/>
          <w:rtl w:val="0"/>
        </w:rPr>
        <w:t xml:space="preserve"> corresponde a condiciones cuya exposición sostenida incrementa de forma significativa el riesgo, aunque con mayor margen de intervención que en el nivel crítico. El Decreto 911/96 regula en los artículos 98 a 102 la provisión, uso, condiciones y vida útil de los equipos y elementos de protección personal; en los artículos 103 a 106, las características generales de la vestimenta de trabajo; y en el artículo 107, la provisión de casco de seguridad para trabajadores que desarrollen tareas en obras de construcción o dependencias con riesgos específicos de accidentes.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condiciones con riesgo latente o de escalada relativamente más lenta, donde puede exigirse mayor evidencia antes de confirmar la alerta. La obligación de emplear elementos reflectivos o de alta visibilidad en contextos de circulación vehicular se vincula en el Decreto 911/96 con los artículos 63 y 70, referidos respectivamente a trabajos nocturnos y a trabajadores ocupados en la construcción de carreteras en uso. Esta obligación puede complementarse con la Resolución SRT 299/2011, que establece criterios de registración y constancia de entrega de ropa de trabajo y elementos de protección personal.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B">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17.1.5.3.3. Criterios de persistencia temporal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15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La presente sección define estos criterios en términos de duración temporal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conocido el tasa de cuadros real del sistema. En congruencia con el framework de métricas, esta ventana expresa y no debe confundirse ni con —subtramo computacional por cuadro— ni con, que integra además la confirmación operativa del patrón.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Conviene precisar que estos rangos tienen carácter analítico y orientativo. Los valores definitivos se calibrarán empíricamente durante la validación experimental, una vez que el pipeline completo esté operativo y se conozca el throughput efectivo. La instancia de análisis y diseño arquitectónico tomará estos rangos como referencia para diseñar los mecanismos computacionales de evaluación de persistencia.</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la instancia de análisis y diseño arquitectónico deberá considerar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1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162">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17.1.5.3.4. Operacionalización preliminar del motor de patrones</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1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deberá traducir esta definición en componentes, contratos, eventos y configuraciones concretas; la implementación del prototipo deberá materializarla; y la validación experimental deberá calibrar empíricamente sus umbrales, ventanas e histéresis. Con esta delimitación, se busca cerrar la brecha entre patrón conceptual y evaluación en runtime, hasta que queden completamente definidas en el diseño arquitectónico.</w:t>
      </w:r>
    </w:p>
    <w:p w:rsidR="00000000" w:rsidDel="00000000" w:rsidP="00000000" w:rsidRDefault="00000000" w:rsidRPr="00000000" w14:paraId="0000016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17.1.5.3.5. Catálogo de patrones de riesgo</w:t>
      </w:r>
    </w:p>
    <w:p w:rsidR="00000000" w:rsidDel="00000000" w:rsidP="00000000" w:rsidRDefault="00000000" w:rsidRPr="00000000" w14:paraId="0000016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24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Tabla 24</w:t>
      </w:r>
    </w:p>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Catálogo de patrones de riesgo del prototipo E-OVRT-VDP</w:t>
      </w:r>
    </w:p>
    <w:tbl>
      <w:tblPr>
        <w:tblStyle w:val="Table9"/>
        <w:tblW w:w="10440.0" w:type="dxa"/>
        <w:jc w:val="center"/>
        <w:tblLayout w:type="fixed"/>
        <w:tblLook w:val="0400"/>
      </w:tblPr>
      <w:tblGrid>
        <w:gridCol w:w="1060"/>
        <w:gridCol w:w="840"/>
        <w:gridCol w:w="1040"/>
        <w:gridCol w:w="1200"/>
        <w:gridCol w:w="2140"/>
        <w:gridCol w:w="2840"/>
        <w:gridCol w:w="1320"/>
        <w:tblGridChange w:id="0">
          <w:tblGrid>
            <w:gridCol w:w="1060"/>
            <w:gridCol w:w="840"/>
            <w:gridCol w:w="1040"/>
            <w:gridCol w:w="1200"/>
            <w:gridCol w:w="2140"/>
            <w:gridCol w:w="2840"/>
            <w:gridCol w:w="1320"/>
          </w:tblGrid>
        </w:tblGridChange>
      </w:tblGrid>
      <w:tr>
        <w:trPr>
          <w:cantSplit w:val="0"/>
          <w:tblHeader w:val="true"/>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del riesgo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b/>
              </w:rPr>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19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 la el Decreto 911/96 y la Ley 19.587.</w:t>
      </w:r>
    </w:p>
    <w:p w:rsidR="00000000" w:rsidDel="00000000" w:rsidP="00000000" w:rsidRDefault="00000000" w:rsidRPr="00000000" w14:paraId="0000019F">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17.1.5.3.6. Criterios de activación combinada para condiciones de nivel 3</w:t>
      </w:r>
    </w:p>
    <w:p w:rsidR="00000000" w:rsidDel="00000000" w:rsidP="00000000" w:rsidRDefault="00000000" w:rsidRPr="00000000" w14:paraId="000001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1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 — maquinaria en proximidad a peatones. La activación requiere la detección simultánea de al menos una entidad clasificable como maquinaria de obra —por ejemplo, excavadora, retroexcavadora, camión volquete, grúa u otra maquinaria pesada— y al menos una persona, cuyas detecciones presenten una relación de proximidad inferior a un umbral configurable. Como aproximación inicial para el prototipo, puede evaluarse la distancia euclidiana entre puntos representativos de las detecciones en coordenadas de imagen, tales como centroides de bounding boxes o puntos medios inferiores. Sin embargo, esta métrica debe interpretarse como una medida geométrica 2D aproximada y no como una distancia física real, dado que la perspectiva de cámara altera las distancias aparentes en la imagen. Durante la implementación podrán evaluarse métricas alternativas, como la distancia mínima entre bordes de bounding boxes, la distancia entre puntos de apoyo proyectados al plano de suelo o, cuando la cámara lo permita, una distancia corregida mediante calibración u homografía. La evaluación debe sostenerse durante el intervalo de persistencia definido para el patrón, lo que implica que el módulo MOT mantenga trayectorias suficientemente estables de las entidades involucradas a lo largo de los cuadros consecutivos.</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 — persona en zona restringida. La activación requiere la detección de al menos una persona cuya posición representativa se encuentre contenida dentro de un polígono predefinido que represente la zona restringida. Para zonas definidas sobre el plano del suelo, resulta preferible utilizar el punto medio inferior del bounding box como aproximación del punto de apoyo de la persona, en lugar del centroide de la caja, aunque ambas alternativas podrán compararse durante la implementación. El polígono debe ser configurable por el operador como parte de la parametrización del sistema, no como parte del prompt OVD. La definición de zonas restringidas mediante polígonos en coordenadas de imagen presupone una cámara fija o, en su defecto, algún mecanismo de recalibración o compensación de movimiento de cámara. Para el alcance del prototipo experimental, se asume el uso de cámaras fijas. La condición requiere que la permanencia dentro del polígono se sostenga durante el intervalo de persistencia, lo cual implica seguimiento temporal mediante el módulo MOT cuando la persistencia se compute por entidad individual. La instancia de análisis y diseño arquitectónico debe diseñar tanto el mecanismo de definición de polígonos como la lógica de evaluación de contención punto-en-polígono.</w:t>
      </w:r>
    </w:p>
    <w:p w:rsidR="00000000" w:rsidDel="00000000" w:rsidP="00000000" w:rsidRDefault="00000000" w:rsidRPr="00000000" w14:paraId="000001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4">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17.1.5.3.7. Frontera explícita con la instancia de análisis y diseño arquitectónico</w:t>
      </w:r>
    </w:p>
    <w:p w:rsidR="00000000" w:rsidDel="00000000" w:rsidP="00000000" w:rsidRDefault="00000000" w:rsidRPr="00000000" w14:paraId="000001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esta sección deja tres insumos directos para la instancia de análisis y diseño arquitectónico: el catálogo de condiciones de riesgo clasificado por niveles de complejidad (Tabla 23), el catálogo de patrones con severidad y persistencia temporal orientativa (Tabla 24),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deberá materializar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deberá definir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1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8">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17.1.5.4. Protocolo de diseño y evaluación de prompts OVD</w:t>
      </w:r>
    </w:p>
    <w:p w:rsidR="00000000" w:rsidDel="00000000" w:rsidP="00000000" w:rsidRDefault="00000000" w:rsidRPr="00000000" w14:paraId="000001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establece el marco metodológico para el diseño, la variación sistemática y la evaluación empírica de los prompts textuales que operan como interfaz de consulta del modelo OVD.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El protocolo se articula con el framework definido en el framework de métricas, de la cual toma las métricas de evaluación y los criterios operativos aplicables al componente OVD.</w:t>
      </w:r>
    </w:p>
    <w:p w:rsidR="00000000" w:rsidDel="00000000" w:rsidP="00000000" w:rsidRDefault="00000000" w:rsidRPr="00000000" w14:paraId="000001A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17.1.5.4.1. Sensibilidad a la formulación del prompt como variable del sistema</w:t>
      </w:r>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modelos OVD documentó que los modelos de detección open-vocabulary presentan sensibilidad a variaciones en la formulación de las consultas textuales. Esta observación es consistente con antecedentes de la literatura sobre modelos visión-lenguaje, que muestran que cambios leves en la redacción del prompt pueden producir variaciones importantes en el desempeño, especialmente en modelos que operan mediante alineación entre representaciones visuales y textuales (Zhou et al., 2022). En OVD, esta sensibilidad se vincula con el hecho de que las categorías pueden consultarse mediante embeddings textuales generados por el encoder de un modelo visión-lenguaje preentrenado, que luego se alinean o comparan con representaciones visuales de regiones o propuestas de objetos (Gu et al., 2021). En este marco, la formulación del prompt no constituye un detalle accesorio: se ha mostrado que el class text embedding puede generarse a partir de prompts ingresados al encoder textual, que el diseño del prompt requiere ajuste cuidadoso, y que estrategias de prompt learning desarrolladas para clasificación de imágenes pueden resultar subóptimas cuando se trasladan directamente a la detección de objetos, por lo que la optimización de prompts requiere evaluación específica para la tarea de detección (Du et al., 2022).</w:t>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recientes muestran además que la evaluación de detectores OVD se vuelve especialmente exigente cuando intervienen atributos de granularidad fina, vocabularios dinámicos y clases negativas semánticamente cercanas. El benchmark FG-OVD evalúa la capacidad de los detectores para detectar, distinguir y asignar descripciones finas a objetos en presencia de hard-negative classes, considerando propiedades como color, patrón y material, y evidencia que muchos modelos OVD presentan dificultades para capturar y diferenciar detalles finos (Bianchi et al., 2024). Por su parte, OVDEval documenta limitaciones en comprensión de atributos, posición y relaciones entre objetos, y propone NMS-AP como métrica complementaria para evitar resultados engañosos del AP tradicional en evaluaciones con etiquetas de granularidad fina (Yao et al., 2024). 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preentrenados y sin reentrenamiento específico—, su hallazgo refuerza indirectamente la hipótesis de que la composición semántica del vocabulario considerado por el modelo puede influir sobre su desempeño (Kim et al., 2024).</w:t>
      </w:r>
    </w:p>
    <w:p w:rsidR="00000000" w:rsidDel="00000000" w:rsidP="00000000" w:rsidRDefault="00000000" w:rsidRPr="00000000" w14:paraId="000001A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evidencias justifican tratar el diseño de prompts como una variable de ingeniería del sistema, que debe gestionarse con un rigor comparable al de las decisiones de arquitectura, selección de modelos o definición de métricas. El protocolo que se presenta a continuación busca ordenar ese proceso para el dominio específico de detección de condiciones de riesgo en construcción civil.</w:t>
      </w:r>
    </w:p>
    <w:p w:rsidR="00000000" w:rsidDel="00000000" w:rsidP="00000000" w:rsidRDefault="00000000" w:rsidRPr="00000000" w14:paraId="000001AE">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17.1.5.4.2. Estrategia de variación sistemática</w:t>
      </w:r>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 riesgo del catálogo (Tabla 23)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sidDel="00000000" w:rsidR="00000000" w:rsidRPr="00000000">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Los encoders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prompt pueden impactar significativamente el desempeño (Zhou et al., 2022), y también en el contexto de OVD, donde el embedding textual de clase depende de los prompts ingresados al encoder textual y requiere ajuste específico para la tarea de detección (Du et al., 2022).</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sidDel="00000000" w:rsidR="00000000" w:rsidRPr="00000000">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Esta expectativa se fundamenta en que, en los modelos OVD, las categorías consultadas dependen de representaciones textuales generadas a partir del prompt y alineadas con representaciones visuales del detector (Gu et al., 2021). Asimismo, la literatura sobre prompt learning para OVD muestra que la formulación textual de las clases requiere ajuste específico para la tarea de detección, por lo que variaciones léxicas aparentemente menores pueden afectar el desempeño y deben evaluarse empíricamente (Du et al., 2022).</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Estrategia de detección.</w:t>
      </w:r>
      <w:r>
        <w:rPr>
          <w:rFonts w:ascii="Times New Roman" w:hAnsi="Times New Roman" w:eastAsia="Times New Roman" w:cs="Times New Roman"/>
          <w:sz w:val="24"/>
          <w:szCs w:val="24"/>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En este trabajo estas familias se identifican con un código: estrategia directa (</w:t>
      </w:r>
      <w:r>
        <w:rPr>
          <w:rFonts w:ascii="Courier New" w:hAnsi="Courier New" w:eastAsia="Courier New" w:cs="Courier New"/>
          <w:sz w:val="24"/>
          <w:szCs w:val="24"/>
        </w:rPr>
        <w:t>E-DIR</w:t>
      </w:r>
      <w:r>
        <w:rPr>
          <w:rFonts w:ascii="Times New Roman" w:hAnsi="Times New Roman" w:eastAsia="Times New Roman" w:cs="Times New Roman"/>
          <w:sz w:val="24"/>
          <w:szCs w:val="24"/>
        </w:rPr>
        <w:t>), cuando el prompt intenta describir la condición de riesgo completa; estrategia indirecta (</w:t>
      </w:r>
      <w:r>
        <w:rPr>
          <w:rFonts w:ascii="Courier New" w:hAnsi="Courier New" w:eastAsia="Courier New" w:cs="Courier New"/>
          <w:sz w:val="24"/>
          <w:szCs w:val="24"/>
        </w:rPr>
        <w:t>E-IND</w:t>
      </w:r>
      <w:r>
        <w:rPr>
          <w:rFonts w:ascii="Times New Roman" w:hAnsi="Times New Roman" w:eastAsia="Times New Roman" w:cs="Times New Roman"/>
          <w:sz w:val="24"/>
          <w:szCs w:val="24"/>
        </w:rPr>
        <w:t>), cuando el detector identifica entidades visibles por separado y la condición se reconstruye mediante lógica externa al modelo; y estrategia híbrida (</w:t>
      </w:r>
      <w:r>
        <w:rPr>
          <w:rFonts w:ascii="Courier New" w:hAnsi="Courier New" w:eastAsia="Courier New" w:cs="Courier New"/>
          <w:sz w:val="24"/>
          <w:szCs w:val="24"/>
        </w:rPr>
        <w:t>E-HYB</w:t>
      </w:r>
      <w:r>
        <w:rPr>
          <w:rFonts w:ascii="Times New Roman" w:hAnsi="Times New Roman" w:eastAsia="Times New Roman" w:cs="Times New Roman"/>
          <w:sz w:val="24"/>
          <w:szCs w:val="24"/>
        </w:rPr>
        <w:t>),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1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deberá materializar la lógica de asociación espacial requerida por la estrategia indirecta y determinar si su costo computacional adicional es compatible con las restricciones operativas del sistema.</w:t>
      </w:r>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Composición del vocabulario activo.</w:t>
      </w:r>
      <w:r>
        <w:rPr>
          <w:rFonts w:ascii="Times New Roman" w:hAnsi="Times New Roman" w:eastAsia="Times New Roman" w:cs="Times New Roman"/>
          <w:sz w:val="24"/>
          <w:szCs w:val="24"/>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Implicancias del tamaño del vocabulario activo.</w:t>
      </w:r>
      <w:r>
        <w:rPr>
          <w:rFonts w:ascii="Times New Roman" w:hAnsi="Times New Roman" w:eastAsia="Times New Roman" w:cs="Times New Roman"/>
          <w:sz w:val="24"/>
          <w:szCs w:val="24"/>
        </w:rPr>
        <w:t xml:space="preserve"> El número total de prompts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open-vocabulary adoptan estrategias de precomputación o reparametrización de embeddings textuales para favorecer una inferencia eficiente. YOLO-World utiliza un paradigma prompt-then-detect, en el que los prompts definidos por el usuario pueden codificarse previamente como un vocabulario offline y luego reparametrizarse como pesos del modelo para el despliegue (Cheng et al., 2024). En una línea similar, YOLOE propone una estrategia de alineación región-texto reparametrizable —RepRTA— que refina embeddings textuales preentrenados mediante una red auxiliar liviana y permite reparametrizar esa información en la cabeza de clasificación durante la inferencia, reduciendo el costo asociado al procesamiento textual en tiempo de ejecución (Wang et al., 2025). Esto no implica necesariamente que el costo total de inferencia sea completamente independiente del tamaño del vocabulario, ya que pueden existir efectos residuales asociados a la cabeza de predicción, el número de categorías activas, el postprocesamiento o la implementación concreta. Sin embargo, estas arquitecturas desplazan una parte relevante del costo textual fuera del ciclo de inferencia por imagen o cuadro, lo que resulta particularmente pertinente para un sistema orientado a tiempo real. Por otro lado, Grounding DINO recibe como entrada un par imagen-texto y, para tareas de detección de objetos, concatena los nombres de categorías como texto de entrada. Su arquitectura incluye un backbone textual —por ejemplo, BERT—, módulos de fusión imagen-texto, selección de consultas guiada por lenguaje y decodificación cross-modal. En consecuencia, cuando el vocabulario activo crece, aumenta también la longitud/tokenización de la entrada textual y el costo asociado al procesamiento y fusión de esas representaciones, salvo que se implementen mecanismos específicos de precomputación o caché de embeddings (Liu et al., 2024).</w:t>
      </w:r>
    </w:p>
    <w:p w:rsidR="00000000" w:rsidDel="00000000" w:rsidP="00000000" w:rsidRDefault="00000000" w:rsidRPr="00000000" w14:paraId="000001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diferencias arquitectónicas tienen consecuencias directas sobre cuántos prompts pueden mantenerse activos simultáneamente dentro del presupuesto de latencia del sistema. Por ello, la selección del vocabulario activo deberá evaluarse junto con el modelo OVD elegido, la sintaxis concreta de los prompts, la resolución de entrada y el hardware de inferencia disponible.</w:t>
      </w:r>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17.1.5.4.3. Consideraciones sobre el idioma de los prompts</w:t>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analizados en el análisis de modelos OVD —Grounding DINO, YOLO-World, YOLOE, Florence-2 y OWL-ViT— se apoyan en arquitecturas visión-lenguaje donde la entrada textual cumple un rol central. Grounding DINO procesa pares imagen-texto y utiliza un backbone textual basado en BERT; YOLO-World emplea un encoder textual tipo CLIP; YOLOE utiliza MobileCLIP-B(LT) para codificar prompts textuales; OWL-ViT transfiere modelos imagen-texto preentrenados a detección open-vocabulary; y Florence-2 opera mediante una representación unificada basada en prompts para múltiples tareas de visión y visión-lenguaje (Liu et al., 2024; Cheng et al., 2024; Wang et al., 2025; Minderer et al., 2022; Xiao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CLIP fue entrenado sobre pares imagen-texto recolectados de la web y se utiliza ampliamente mediante prompts textuales en inglés; Conceptual Captions se construyó a partir de páginas web en inglés y filtros lingüísticos basados en vocabulario de Wikipedia en inglés; y CC12M amplía la escala de esa línea de recolección para preentrenamiento visión-lenguaje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17.1.5.4.4. Catálogo de prompts candidatos</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Anexo C (Tabla C.1), y las formulaciones finalistas deben quedar seleccionadas y congeladas mediante un acta previa a la evaluación comparativa.</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17.1.5.4.5. Protocolo de evaluación de prompts</w:t>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Fase 1 - Preparación del dataset de evaluación.</w:t>
      </w:r>
      <w:r>
        <w:rPr>
          <w:rFonts w:ascii="Times New Roman" w:hAnsi="Times New Roman" w:eastAsia="Times New Roman" w:cs="Times New Roman"/>
          <w:sz w:val="24"/>
          <w:szCs w:val="24"/>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w:t>
      </w:r>
      <w:r>
        <w:rPr>
          <w:rFonts w:ascii="Times New Roman" w:hAnsi="Times New Roman" w:eastAsia="Times New Roman" w:cs="Times New Roman"/>
          <w:sz w:val="24"/>
          <w:szCs w:val="24"/>
        </w:rPr>
        <w:t xml:space="preserve">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Fase 2 - Definición de la matriz experimental.</w:t>
      </w:r>
      <w:r>
        <w:rPr>
          <w:rFonts w:ascii="Times New Roman" w:hAnsi="Times New Roman" w:eastAsia="Times New Roman" w:cs="Times New Roman"/>
          <w:sz w:val="24"/>
          <w:szCs w:val="24"/>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Fase 3 - Ejecución sistemática.</w:t>
      </w:r>
      <w:r>
        <w:rPr>
          <w:rFonts w:ascii="Times New Roman" w:hAnsi="Times New Roman" w:eastAsia="Times New Roman" w:cs="Times New Roman"/>
          <w:sz w:val="24"/>
          <w:szCs w:val="24"/>
        </w:rPr>
        <w:t xml:space="preserve"> Para cada combinación de la matriz, se ejecuta la inferencia sobre el dataset de evaluación correspondiente, registrando para cada imagen las detecciones producidas con sus coordenadas de bounding box, puntaje de confianza y etiqueta asignada por el modelo. La ejecución se realiza en condiciones controladas, manteniendo constantes el hardware, la resolución de entrada y la configuración de preprocesamiento. Los resultados se almacenan en formato estructurado que permita el cálculo posterior de métricas y la reproducción de los experimentos.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Fase 4 - Cálculo de métricas.</w:t>
      </w:r>
      <w:r>
        <w:rPr>
          <w:rFonts w:ascii="Times New Roman" w:hAnsi="Times New Roman" w:eastAsia="Times New Roman" w:cs="Times New Roman"/>
          <w:sz w:val="24"/>
          <w:szCs w:val="24"/>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Fase 5 - Análisis comparativo y selección.</w:t>
      </w:r>
      <w:r>
        <w:rPr>
          <w:rFonts w:ascii="Times New Roman" w:hAnsi="Times New Roman" w:eastAsia="Times New Roman" w:cs="Times New Roman"/>
          <w:sz w:val="24"/>
          <w:szCs w:val="24"/>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17.1.5.5. Síntesis parcial de condiciones, prompts y variantes de prueba</w:t>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la instancia de análisis y diseño arquitectónico deberá contrastar familias de prompts antes de congelar la configuración comparativa final.</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evitar ambigüedades terminológicas, esta sección adopta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reemplaza formulaciones más difusas de la versión anterior y deja explícito qué variable se está midiendo cuando se habla del “tamaño” o de la “composición” del vocabulario.</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 Anexo C. </w:t>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17.1.6.1. Introducción y alcance</w:t>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17.1.6.1.1. Propósito y preguntas rectoras</w:t>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responde a las preguntas rectoras P-E1-03 y P-E1-08 formuladas en la sección 16.7.3 de la fundamentación teórica. En relación con P-E1-03, construye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operativo de esta sección es cuádruple. Primero, construir un inventario sistematizado de datasets públicos relevantes para detección open-vocabulary en entornos de construcción civil, documentando para cada uno los atributos técnicos, de acceso y de licencia que condicionan su viabilidad. Segundo, establecer un mapeo explícito entre cada dataset candidato y las condiciones de riesgo CR-01 a CR-06 definidas en la taxonomía de condiciones de riesgo, patrones y prompts. Tercero, evaluar la aptitud de cada colección para su eventual uso en experimentos comparativos de ajuste de dominio, si ello resulta metodológicamente viable. Cuarto, fijar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Elabora un inventario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17.1.6.1.2. Criterios de categorización y exclusión</w:t>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de esta sección se organiza en dos categorías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Categoría 1 — Datasets de gestión directa.</w:t>
      </w:r>
      <w:r>
        <w:rPr>
          <w:rFonts w:ascii="Times New Roman" w:hAnsi="Times New Roman" w:eastAsia="Times New Roman" w:cs="Times New Roman"/>
          <w:sz w:val="24"/>
          <w:szCs w:val="24"/>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Categoría 2 — Benchmarks de evaluación de referencia.</w:t>
      </w:r>
      <w:r>
        <w:rPr>
          <w:rFonts w:ascii="Times New Roman" w:hAnsi="Times New Roman" w:eastAsia="Times New Roman" w:cs="Times New Roman"/>
          <w:sz w:val="24"/>
          <w:szCs w:val="24"/>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1DD">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Alcance y exclusiones explícitas.</w:t>
      </w:r>
      <w:r>
        <w:rPr>
          <w:rFonts w:ascii="Times New Roman" w:hAnsi="Times New Roman" w:eastAsia="Times New Roman" w:cs="Times New Roman"/>
          <w:sz w:val="24"/>
          <w:szCs w:val="24"/>
        </w:rPr>
        <w:t xml:space="preserve"> Quedan fuera del alcance de la presente sección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el análisis de modelos OVD, donde se describe la procedencia de las capacidades open-vocabulary de cada modelo y las restricciones de licencia asociadas.</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1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diferido a etapas posteriores, en caso de que se decida ampliar el conjunto de condiciones evaluadas.</w:t>
      </w:r>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17.1.6.1.3. Criterios metodológicos de selección y evaluación</w:t>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Tabla 25</w:t>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Criterios de evaluación para la selección de datasets candidatos</w:t>
      </w:r>
    </w:p>
    <w:tbl>
      <w:tblPr>
        <w:tblStyle w:val="Table10"/>
        <w:tblW w:w="10460.0" w:type="dxa"/>
        <w:jc w:val="center"/>
        <w:tblLayout w:type="fixed"/>
        <w:tblLook w:val="0400"/>
      </w:tblPr>
      <w:tblGrid>
        <w:gridCol w:w="900"/>
        <w:gridCol w:w="2420"/>
        <w:gridCol w:w="7140"/>
        <w:tblGridChange w:id="0">
          <w:tblGrid>
            <w:gridCol w:w="900"/>
            <w:gridCol w:w="2420"/>
            <w:gridCol w:w="714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17.1.6.2. Datasets de gestión directa (categoría 1)</w:t>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17.1.6.2.1. Datasets retenidos como candidatos</w:t>
      </w:r>
    </w:p>
    <w:p w:rsidR="00000000" w:rsidDel="00000000" w:rsidP="00000000" w:rsidRDefault="00000000" w:rsidRPr="00000000" w14:paraId="00000200">
      <w:pPr>
        <w:spacing w:line="360" w:lineRule="auto"/>
        <w:rPr>
          <w:rFonts w:ascii="Times New Roman" w:cs="Times New Roman" w:eastAsia="Times New Roman" w:hAnsi="Times New Roman"/>
          <w:i w:val="1"/>
          <w:iCs w:val="1"/>
          <w:sz w:val="24"/>
          <w:szCs w:val="24"/>
        </w:rPr>
      </w:pPr>
      <w:r>
        <w:rPr>
          <w:rFonts w:ascii="Times New Roman" w:hAnsi="Times New Roman" w:eastAsia="Times New Roman" w:cs="Times New Roman"/>
          <w:bCs w:val="1"/>
          <w:b w:val="1"/>
          <w:sz w:val="24"/>
          <w:szCs w:val="24"/>
        </w:rPr>
        <w:t>Tabla 26</w:t>
      </w:r>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Datasets retenidos como candidatos de gestión directa</w:t>
      </w:r>
    </w:p>
    <w:tbl>
      <w:tblPr>
        <w:tblStyle w:val="Table11"/>
        <w:tblW w:w="13920" w:type="dxa"/>
        <w:jc w:val="center"/>
        <w:tblLayout w:type="fixed"/>
        <w:tblLook w:val="0400"/>
      </w:tblPr>
      <w:tblGrid>
        <w:gridCol w:w="2500"/>
        <w:gridCol w:w="1400"/>
        <w:gridCol w:w="2500"/>
        <w:gridCol w:w="1600"/>
        <w:gridCol w:w="1650"/>
        <w:gridCol w:w="1550"/>
        <w:gridCol w:w="2720"/>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W w:w="14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Volumen o versión</w:t>
            </w:r>
          </w:p>
        </w:tc>
        <w:tc>
          <w:tcPr>
            <w:tcBorders>
              <w:top w:color="000000" w:space="0" w:sz="12" w:val="single"/>
              <w:left w:color="000000" w:space="0" w:sz="0" w:val="nil"/>
              <w:bottom w:color="000000" w:space="0" w:sz="4" w:val="single"/>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Contenido relevante</w:t>
            </w:r>
          </w:p>
        </w:tc>
        <w:tc>
          <w:tcPr>
            <w:tcBorders>
              <w:top w:color="000000" w:space="0" w:sz="12" w:val="single"/>
              <w:left w:color="000000" w:space="0" w:sz="0" w:val="nil"/>
              <w:bottom w:color="000000" w:space="0" w:sz="4" w:val="single"/>
              <w:right w:color="000000" w:space="0" w:sz="0" w:val="nil"/>
            </w:tcBorders>
            <w:tcMar>
              <w:top w:w="0.0" w:type="dxa"/>
              <w:bottom w:w="0.0" w:type="dxa"/>
            </w:tcMar>
            <w:tcW w:w="16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Formato</w:t>
            </w:r>
          </w:p>
        </w:tc>
        <w:tc>
          <w:tcPr>
            <w:tcBorders>
              <w:top w:color="000000" w:space="0" w:sz="12" w:val="single"/>
              <w:left w:color="000000" w:space="0" w:sz="0" w:val="nil"/>
              <w:bottom w:color="000000" w:space="0" w:sz="4" w:val="single"/>
              <w:right w:color="000000" w:space="0" w:sz="0" w:val="nil"/>
            </w:tcBorders>
            <w:tcMar>
              <w:top w:w="0.0" w:type="dxa"/>
              <w:bottom w:w="0.0" w:type="dxa"/>
            </w:tcMar>
            <w:tcW w:w="16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Licencia</w:t>
            </w:r>
          </w:p>
        </w:tc>
        <w:tc>
          <w:tcPr>
            <w:tcBorders>
              <w:top w:color="000000" w:space="0" w:sz="12" w:val="single"/>
              <w:left w:color="000000" w:space="0" w:sz="0" w:val="nil"/>
              <w:bottom w:color="000000" w:space="0" w:sz="4" w:val="single"/>
              <w:right w:color="000000" w:space="0" w:sz="0" w:val="nil"/>
            </w:tcBorders>
            <w:tcMar>
              <w:top w:w="0.0" w:type="dxa"/>
              <w:bottom w:w="0.0" w:type="dxa"/>
            </w:tcMar>
            <w:tcW w:w="15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Cobertura</w:t>
            </w:r>
          </w:p>
        </w:tc>
        <w:tc>
          <w:tcPr>
            <w:tcBorders>
              <w:top w:color="000000" w:space="0" w:sz="12" w:val="single"/>
              <w:left w:color="000000" w:space="0" w:sz="0" w:val="nil"/>
              <w:bottom w:color="000000" w:space="0" w:sz="4" w:val="single"/>
              <w:right w:color="000000" w:space="0" w:sz="0" w:val="nil"/>
            </w:tcBorders>
            <w:tcMar>
              <w:top w:w="0.0" w:type="dxa"/>
              <w:bottom w:w="0.0" w:type="dxa"/>
            </w:tcMar>
            <w:tcW w:w="272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Lectura metodológica</w:t>
            </w:r>
          </w:p>
        </w:tc>
      </w:tr>
      <w:tr>
        <w:trPr/>
        <w:tc>
          <w:tcPr>
            <w:tcBorders>
              <w:top w:color="000000" w:space="0" w:sz="0" w:val="nil"/>
              <w:left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SHEL5K (Otgonbold et al., 2022)</w:t>
            </w:r>
          </w:p>
        </w:tc>
        <w:tc>
          <w:tcPr>
            <w:tcBorders>
              <w:top w:color="000000" w:space="0" w:sz="0" w:val="nil"/>
              <w:left w:color="000000" w:space="0" w:sz="0" w:val="nil"/>
              <w:right w:color="000000" w:space="0" w:sz="0" w:val="nil"/>
            </w:tcBorders>
            <w:tcMar>
              <w:top w:w="0.0" w:type="dxa"/>
              <w:bottom w:w="0.0" w:type="dxa"/>
            </w:tcMar>
            <w:tcW w:w="14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5.000 imágenes</w:t>
            </w:r>
          </w:p>
        </w:tc>
        <w:tc>
          <w:tcPr>
            <w:tcBorders>
              <w:top w:color="000000" w:space="0" w:sz="0" w:val="nil"/>
              <w:left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Casco, cabeza y persona con o sin casco</w:t>
            </w:r>
          </w:p>
        </w:tc>
        <w:tc>
          <w:tcPr>
            <w:tcBorders>
              <w:top w:color="000000" w:space="0" w:sz="0" w:val="nil"/>
              <w:left w:color="000000" w:space="0" w:sz="0" w:val="nil"/>
              <w:right w:color="000000" w:space="0" w:sz="0" w:val="nil"/>
            </w:tcBorders>
            <w:tcMar>
              <w:top w:w="0.0" w:type="dxa"/>
              <w:bottom w:w="0.0" w:type="dxa"/>
            </w:tcMar>
            <w:tcW w:w="16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Pascal VOC</w:t>
            </w:r>
          </w:p>
        </w:tc>
        <w:tc>
          <w:tcPr>
            <w:tcBorders>
              <w:top w:color="000000" w:space="0" w:sz="0" w:val="nil"/>
              <w:left w:color="000000" w:space="0" w:sz="0" w:val="nil"/>
              <w:right w:color="000000" w:space="0" w:sz="0" w:val="nil"/>
            </w:tcBorders>
            <w:tcMar>
              <w:top w:w="0.0" w:type="dxa"/>
              <w:bottom w:w="0.0" w:type="dxa"/>
            </w:tcMar>
            <w:tcW w:w="16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CC BY 4.0</w:t>
            </w:r>
          </w:p>
        </w:tc>
        <w:tc>
          <w:tcPr>
            <w:tcBorders>
              <w:top w:color="000000" w:space="0" w:sz="0" w:val="nil"/>
              <w:left w:color="000000" w:space="0" w:sz="0" w:val="nil"/>
              <w:right w:color="000000" w:space="0" w:sz="0" w:val="nil"/>
            </w:tcBorders>
            <w:tcMar>
              <w:top w:w="0.0" w:type="dxa"/>
              <w:bottom w:w="0.0" w:type="dxa"/>
            </w:tcMar>
            <w:tcW w:w="15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CR-01 directa</w:t>
            </w:r>
          </w:p>
        </w:tc>
        <w:tc>
          <w:tcPr>
            <w:tcBorders>
              <w:top w:color="000000" w:space="0" w:sz="0" w:val="nil"/>
              <w:left w:color="000000" w:space="0" w:sz="0" w:val="nil"/>
              <w:right w:color="000000" w:space="0" w:sz="0" w:val="nil"/>
            </w:tcBorders>
            <w:tcMar>
              <w:top w:w="0.0" w:type="dxa"/>
              <w:bottom w:w="0.0" w:type="dxa"/>
            </w:tcMar>
            <w:tcW w:w="272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Fuente sólida para evaluar presencia y ausencia de casco; no cubre chaleco ni relaciones contextuales.</w:t>
            </w:r>
          </w:p>
        </w:tc>
      </w:tr>
      <w:tr>
        <w:trPr/>
        <w:tc>
          <w:tcPr>
            <w:tcBorders>
              <w:left w:color="000000" w:space="0" w:sz="0" w:val="nil"/>
              <w:bottom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CHV (Wang et al., 2021)</w:t>
            </w:r>
          </w:p>
        </w:tc>
        <w:tc>
          <w:tcPr>
            <w:tcBorders>
              <w:left w:color="000000" w:space="0" w:sz="0" w:val="nil"/>
              <w:bottom w:color="000000" w:space="0" w:sz="0" w:val="nil"/>
              <w:right w:color="000000" w:space="0" w:sz="0" w:val="nil"/>
            </w:tcBorders>
            <w:tcMar>
              <w:top w:w="0.0" w:type="dxa"/>
              <w:bottom w:w="0.0" w:type="dxa"/>
            </w:tcMar>
            <w:tcW w:w="14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1.330 imágenes</w:t>
            </w:r>
          </w:p>
        </w:tc>
        <w:tc>
          <w:tcPr>
            <w:tcBorders>
              <w:left w:color="000000" w:space="0" w:sz="0" w:val="nil"/>
              <w:bottom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Persona, chaleco y cascos por color</w:t>
            </w:r>
          </w:p>
        </w:tc>
        <w:tc>
          <w:tcPr>
            <w:tcBorders>
              <w:left w:color="000000" w:space="0" w:sz="0" w:val="nil"/>
              <w:bottom w:color="000000" w:space="0" w:sz="0" w:val="nil"/>
              <w:right w:color="000000" w:space="0" w:sz="0" w:val="nil"/>
            </w:tcBorders>
            <w:tcMar>
              <w:top w:w="0.0" w:type="dxa"/>
              <w:bottom w:w="0.0" w:type="dxa"/>
            </w:tcMar>
            <w:tcW w:w="16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Formato nativo a inspeccionar</w:t>
            </w:r>
          </w:p>
        </w:tc>
        <w:tc>
          <w:tcPr>
            <w:tcBorders>
              <w:left w:color="000000" w:space="0" w:sz="0" w:val="nil"/>
              <w:bottom w:color="000000" w:space="0" w:sz="0" w:val="nil"/>
              <w:right w:color="000000" w:space="0" w:sz="0" w:val="nil"/>
            </w:tcBorders>
            <w:tcMar>
              <w:top w:w="0.0" w:type="dxa"/>
              <w:bottom w:w="0.0" w:type="dxa"/>
            </w:tcMar>
            <w:tcW w:w="16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Sin licencia formal; cita obligatoria</w:t>
            </w:r>
          </w:p>
        </w:tc>
        <w:tc>
          <w:tcPr>
            <w:tcBorders>
              <w:left w:color="000000" w:space="0" w:sz="0" w:val="nil"/>
              <w:bottom w:color="000000" w:space="0" w:sz="0" w:val="nil"/>
              <w:right w:color="000000" w:space="0" w:sz="0" w:val="nil"/>
            </w:tcBorders>
            <w:tcMar>
              <w:top w:w="0.0" w:type="dxa"/>
              <w:bottom w:w="0.0" w:type="dxa"/>
            </w:tcMar>
            <w:tcW w:w="15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CR-01 y CR-02</w:t>
            </w:r>
          </w:p>
        </w:tc>
        <w:tc>
          <w:tcPr>
            <w:tcBorders>
              <w:left w:color="000000" w:space="0" w:sz="0" w:val="nil"/>
              <w:bottom w:color="000000" w:space="0" w:sz="0" w:val="nil"/>
              <w:right w:color="000000" w:space="0" w:sz="0" w:val="nil"/>
            </w:tcBorders>
            <w:tcMar>
              <w:top w:w="0.0" w:type="dxa"/>
              <w:bottom w:w="0.0" w:type="dxa"/>
            </w:tcMar>
            <w:tcW w:w="272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Condicionado a verificar términos de uso y redistribución.</w:t>
            </w:r>
          </w:p>
        </w:tc>
      </w:tr>
      <w:tr>
        <w:trPr/>
        <w:tc>
          <w:tcPr>
            <w:tcBorders>
              <w:top w:color="000000" w:space="0" w:sz="0" w:val="nil"/>
              <w:left w:color="000000" w:space="0" w:sz="0" w:val="nil"/>
              <w:bottom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Courier New" w:hAnsi="Courier New" w:eastAsia="Courier New" w:cs="Courier New"/>
                <w:sz w:val="24"/>
                <w:szCs w:val="24"/>
              </w:rPr>
              <w:t>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W w:w="14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W w:w="16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YOLO / Roboflow</w:t>
            </w:r>
          </w:p>
        </w:tc>
        <w:tc>
          <w:tcPr>
            <w:tcBorders>
              <w:top w:color="000000" w:space="0" w:sz="0" w:val="nil"/>
              <w:left w:color="000000" w:space="0" w:sz="0" w:val="nil"/>
              <w:bottom w:color="000000" w:space="0" w:sz="0" w:val="nil"/>
              <w:right w:color="000000" w:space="0" w:sz="0" w:val="nil"/>
            </w:tcBorders>
            <w:tcMar>
              <w:top w:w="0.0" w:type="dxa"/>
              <w:bottom w:w="0.0" w:type="dxa"/>
            </w:tcMar>
            <w:tcW w:w="16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CC BY 4.0</w:t>
            </w:r>
          </w:p>
        </w:tc>
        <w:tc>
          <w:tcPr>
            <w:tcBorders>
              <w:top w:color="000000" w:space="0" w:sz="0" w:val="nil"/>
              <w:left w:color="000000" w:space="0" w:sz="0" w:val="nil"/>
              <w:bottom w:color="000000" w:space="0" w:sz="0" w:val="nil"/>
              <w:right w:color="000000" w:space="0" w:sz="0" w:val="nil"/>
            </w:tcBorders>
            <w:tcMar>
              <w:top w:w="0.0" w:type="dxa"/>
              <w:bottom w:w="0.0" w:type="dxa"/>
            </w:tcMar>
            <w:tcW w:w="15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CR-01 y CR-02</w:t>
            </w:r>
          </w:p>
        </w:tc>
        <w:tc>
          <w:tcPr>
            <w:tcBorders>
              <w:top w:color="000000" w:space="0" w:sz="0" w:val="nil"/>
              <w:left w:color="000000" w:space="0" w:sz="0" w:val="nil"/>
              <w:bottom w:color="000000" w:space="0" w:sz="0" w:val="nil"/>
              <w:right w:color="000000" w:space="0" w:sz="0" w:val="nil"/>
            </w:tcBorders>
            <w:tcMar>
              <w:top w:w="0.0" w:type="dxa"/>
              <w:bottom w:w="0.0" w:type="dxa"/>
            </w:tcMar>
            <w:tcW w:w="272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Candidato de dominio; exige separar linajes de entrenamiento y evaluación.</w:t>
            </w:r>
          </w:p>
        </w:tc>
      </w:tr>
      <w:tr>
        <w:trPr/>
        <w:tc>
          <w:tcPr>
            <w:tcBorders>
              <w:top w:color="000000" w:space="0" w:sz="0" w:val="nil"/>
              <w:left w:color="000000" w:space="0" w:sz="0" w:val="nil"/>
              <w:bottom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Courier New" w:hAnsi="Courier New" w:eastAsia="Courier New" w:cs="Courier New"/>
                <w:sz w:val="24"/>
                <w:szCs w:val="24"/>
              </w:rPr>
              <w:t>ppe_siabar</w:t>
            </w:r>
          </w:p>
        </w:tc>
        <w:tc>
          <w:tcPr>
            <w:tcBorders>
              <w:top w:color="000000" w:space="0" w:sz="0" w:val="nil"/>
              <w:left w:color="000000" w:space="0" w:sz="0" w:val="nil"/>
              <w:bottom w:color="000000" w:space="0" w:sz="0" w:val="nil"/>
              <w:right w:color="000000" w:space="0" w:sz="0" w:val="nil"/>
            </w:tcBorders>
            <w:tcMar>
              <w:top w:w="0.0" w:type="dxa"/>
              <w:bottom w:w="0.0" w:type="dxa"/>
            </w:tcMar>
            <w:tcW w:w="14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W w:w="16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YOLO / Roboflow</w:t>
            </w:r>
          </w:p>
        </w:tc>
        <w:tc>
          <w:tcPr>
            <w:tcBorders>
              <w:top w:color="000000" w:space="0" w:sz="0" w:val="nil"/>
              <w:left w:color="000000" w:space="0" w:sz="0" w:val="nil"/>
              <w:bottom w:color="000000" w:space="0" w:sz="0" w:val="nil"/>
              <w:right w:color="000000" w:space="0" w:sz="0" w:val="nil"/>
            </w:tcBorders>
            <w:tcMar>
              <w:top w:w="0.0" w:type="dxa"/>
              <w:bottom w:w="0.0" w:type="dxa"/>
            </w:tcMar>
            <w:tcW w:w="16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CC BY 4.0</w:t>
            </w:r>
          </w:p>
        </w:tc>
        <w:tc>
          <w:tcPr>
            <w:tcBorders>
              <w:top w:color="000000" w:space="0" w:sz="0" w:val="nil"/>
              <w:left w:color="000000" w:space="0" w:sz="0" w:val="nil"/>
              <w:bottom w:color="000000" w:space="0" w:sz="0" w:val="nil"/>
              <w:right w:color="000000" w:space="0" w:sz="0" w:val="nil"/>
            </w:tcBorders>
            <w:tcMar>
              <w:top w:w="0.0" w:type="dxa"/>
              <w:bottom w:w="0.0" w:type="dxa"/>
            </w:tcMar>
            <w:tcW w:w="15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CR-01 y CR-02</w:t>
            </w:r>
          </w:p>
        </w:tc>
        <w:tc>
          <w:tcPr>
            <w:tcBorders>
              <w:top w:color="000000" w:space="0" w:sz="0" w:val="nil"/>
              <w:left w:color="000000" w:space="0" w:sz="0" w:val="nil"/>
              <w:bottom w:color="000000" w:space="0" w:sz="0" w:val="nil"/>
              <w:right w:color="000000" w:space="0" w:sz="0" w:val="nil"/>
            </w:tcBorders>
            <w:tcMar>
              <w:top w:w="0.0" w:type="dxa"/>
              <w:bottom w:w="0.0" w:type="dxa"/>
            </w:tcMar>
            <w:tcW w:w="272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Candidato para adaptación; aptitud sujeta a curación y partición.</w:t>
            </w:r>
          </w:p>
        </w:tc>
      </w:tr>
    </w:tbl>
    <w:p w:rsidR="00000000" w:rsidDel="00000000" w:rsidP="00000000" w:rsidRDefault="00000000" w:rsidRPr="00000000" w14:paraId="0000024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17.1.6.2.2. Datasets descartados y causa metodológica</w:t>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24B">
      <w:pPr>
        <w:spacing w:line="360" w:lineRule="auto"/>
        <w:rPr>
          <w:rFonts w:ascii="Times New Roman" w:cs="Times New Roman" w:eastAsia="Times New Roman" w:hAnsi="Times New Roman"/>
          <w:i w:val="1"/>
          <w:iCs w:val="1"/>
          <w:sz w:val="24"/>
          <w:szCs w:val="24"/>
        </w:rPr>
      </w:pPr>
      <w:r>
        <w:rPr>
          <w:rFonts w:ascii="Times New Roman" w:hAnsi="Times New Roman" w:eastAsia="Times New Roman" w:cs="Times New Roman"/>
          <w:bCs w:val="1"/>
          <w:b w:val="1"/>
          <w:sz w:val="24"/>
          <w:szCs w:val="24"/>
        </w:rPr>
        <w:t>Tabla 27</w:t>
      </w:r>
    </w:p>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Datasets descartados y causa metodológica</w:t>
      </w:r>
    </w:p>
    <w:tbl>
      <w:tblPr>
        <w:tblStyle w:val="Table12"/>
        <w:tblW w:w="10460.0" w:type="dxa"/>
        <w:jc w:val="center"/>
        <w:tblLayout w:type="fixed"/>
        <w:tblLook w:val="0400"/>
      </w:tblPr>
      <w:tblGrid>
        <w:gridCol w:w="2500"/>
        <w:gridCol w:w="2540"/>
        <w:gridCol w:w="2260"/>
        <w:gridCol w:w="3160"/>
        <w:tblGridChange w:id="0">
          <w:tblGrid>
            <w:gridCol w:w="2500"/>
            <w:gridCol w:w="2540"/>
            <w:gridCol w:w="2260"/>
            <w:gridCol w:w="316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Causa principal</w:t>
            </w:r>
          </w:p>
        </w:tc>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Consecuencia para el protocolo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Estatuto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SH17</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Descartado.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Descartado.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Descartado.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Descartados.</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SODA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Descartado del núcleo.</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MOCS</w:t>
            </w:r>
          </w:p>
        </w:tc>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Uso exploratorio solamente.</w:t>
            </w:r>
          </w:p>
        </w:tc>
      </w:tr>
    </w:tbl>
    <w:p w:rsidR="00000000" w:rsidDel="00000000" w:rsidP="00000000" w:rsidRDefault="00000000" w:rsidRPr="00000000" w14:paraId="0000026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26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17.1.6.2.3. Síntesis de cobertura conjunta y brechas</w:t>
      </w:r>
    </w:p>
    <w:p w:rsidR="00000000" w:rsidDel="00000000" w:rsidP="00000000" w:rsidRDefault="00000000" w:rsidRPr="00000000" w14:paraId="0000026B">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270">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17.1.6.2.4. Viabilidad para el ajuste fino</w:t>
      </w:r>
    </w:p>
    <w:p w:rsidR="00000000" w:rsidDel="00000000" w:rsidP="00000000" w:rsidRDefault="00000000" w:rsidRPr="00000000" w14:paraId="00000271">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272">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27B">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17.1.6.2.5. Transferibilidad y límites de interpretación</w:t>
      </w:r>
    </w:p>
    <w:p w:rsidR="00000000" w:rsidDel="00000000" w:rsidP="00000000" w:rsidRDefault="00000000" w:rsidRPr="00000000" w14:paraId="0000027C">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285">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17.1.6.2.6. Datos complementarios para condiciones brechadas</w:t>
      </w:r>
    </w:p>
    <w:p w:rsidR="00000000" w:rsidDel="00000000" w:rsidP="00000000" w:rsidRDefault="00000000" w:rsidRPr="00000000" w14:paraId="00000286">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Cuando una condición brechada permanezca dentro del alcance exploratorio, el orden de preferencia es: curación de fuentes públicas con licencia compatible; anotación complementaria acotada con control de calidad; y producción de material controlado en el EBE bajo consentimiento y minimización. La ampliación sólo se justifica si aporta evidencia interpretable sin desplazar la evaluación del núcleo.</w:t>
      </w:r>
    </w:p>
    <w:p w:rsidR="00000000" w:rsidDel="00000000" w:rsidP="00000000" w:rsidRDefault="00000000" w:rsidRPr="00000000" w14:paraId="0000028D">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17.1.6.2.7. Condiciones para la partición de datos</w:t>
      </w:r>
    </w:p>
    <w:p w:rsidR="00000000" w:rsidDel="00000000" w:rsidP="00000000" w:rsidRDefault="00000000" w:rsidRPr="00000000" w14:paraId="000002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La presente sección documenta sólo las condiciones metodológicas que cualquier esquema de partición deberá satisfacer.</w:t>
      </w:r>
      <w:r>
        <w:rPr>
          <w:rFonts w:ascii="Times New Roman" w:hAnsi="Times New Roman" w:eastAsia="Times New Roman" w:cs="Times New Roman"/>
          <w:sz w:val="24"/>
          <w:szCs w:val="24"/>
        </w:rPr>
        <w:t xml:space="preserve">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Tabla 28</w:t>
      </w:r>
    </w:p>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Condiciones metodológicas para la partición de datos</w:t>
      </w:r>
    </w:p>
    <w:tbl>
      <w:tblPr>
        <w:tblStyle w:val="Table13"/>
        <w:tblW w:w="10460.0" w:type="dxa"/>
        <w:jc w:val="center"/>
        <w:tblLayout w:type="fixed"/>
        <w:tblLook w:val="0400"/>
      </w:tblPr>
      <w:tblGrid>
        <w:gridCol w:w="2060"/>
        <w:gridCol w:w="8400"/>
        <w:tblGridChange w:id="0">
          <w:tblGrid>
            <w:gridCol w:w="2060"/>
            <w:gridCol w:w="840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A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A2">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17.1.6.2.8. Evaluación de aptitud por propósito</w:t>
      </w:r>
    </w:p>
    <w:p w:rsidR="00000000" w:rsidDel="00000000" w:rsidP="00000000" w:rsidRDefault="00000000" w:rsidRPr="00000000" w14:paraId="000002A3">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Tabla 29 sintetiza la aptitud metodológica de las cuatro fuentes retenidas para ajuste y evaluación, sin asignar todavía un rol efectivo.</w:t>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La valoración considera cobertura, proximidad de dominio, formato, licencia y necesidad de mantener fuentes independientes para el test.</w:t>
      </w:r>
    </w:p>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Tabla 29</w:t>
      </w:r>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Aptitud de cada dataset candidato para fine-tuning y evaluación</w:t>
      </w:r>
    </w:p>
    <w:tbl>
      <w:tblPr>
        <w:tblStyle w:val="Table14"/>
        <w:tblW w:w="12960" w:type="dxa"/>
        <w:jc w:val="center"/>
        <w:tblLayout w:type="fixed"/>
        <w:tblLook w:val="0400"/>
      </w:tblPr>
      <w:tblGrid>
        <w:gridCol w:w="3312"/>
        <w:gridCol w:w="1872"/>
        <w:gridCol w:w="2160"/>
        <w:gridCol w:w="5616"/>
        <w:tblGridChange w:id="0">
          <w:tblGrid>
            <w:gridCol w:w="1180"/>
            <w:gridCol w:w="1240"/>
            <w:gridCol w:w="1360"/>
            <w:gridCol w:w="668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W w:w="331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W w:w="187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Aptitud FT</w:t>
            </w:r>
          </w:p>
        </w:tc>
        <w:tc>
          <w:tcPr>
            <w:tcBorders>
              <w:top w:color="000000" w:space="0" w:sz="12" w:val="single"/>
              <w:left w:color="000000" w:space="0" w:sz="0" w:val="nil"/>
              <w:bottom w:color="000000" w:space="0" w:sz="4" w:val="single"/>
              <w:right w:color="000000" w:space="0" w:sz="0" w:val="nil"/>
            </w:tcBorders>
            <w:tcMar>
              <w:top w:w="0.0" w:type="dxa"/>
              <w:bottom w:w="0.0" w:type="dxa"/>
            </w:tcMar>
            <w:tcW w:w="216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Aptitud eval.</w:t>
            </w:r>
          </w:p>
        </w:tc>
        <w:tc>
          <w:tcPr>
            <w:tcBorders>
              <w:top w:color="000000" w:space="0" w:sz="12" w:val="single"/>
              <w:left w:color="000000" w:space="0" w:sz="0" w:val="nil"/>
              <w:bottom w:color="000000" w:space="0" w:sz="4" w:val="single"/>
              <w:right w:color="000000" w:space="0" w:sz="0" w:val="nil"/>
            </w:tcBorders>
            <w:tcMar>
              <w:top w:w="0.0" w:type="dxa"/>
              <w:bottom w:w="0.0" w:type="dxa"/>
            </w:tcMar>
            <w:tcW w:w="5616"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Justificación</w:t>
            </w:r>
          </w:p>
        </w:tc>
      </w:tr>
      <w:tr>
        <w:trPr/>
        <w:tc>
          <w:tcPr>
            <w:tcBorders>
              <w:top w:color="000000" w:space="0" w:sz="0" w:val="nil"/>
              <w:left w:color="000000" w:space="0" w:sz="0" w:val="nil"/>
              <w:bottom w:color="000000" w:space="0" w:sz="0" w:val="nil"/>
              <w:right w:color="000000" w:space="0" w:sz="0" w:val="nil"/>
            </w:tcBorders>
            <w:tcMar>
              <w:top w:w="0.0" w:type="dxa"/>
              <w:bottom w:w="0.0" w:type="dxa"/>
            </w:tcMar>
            <w:tcW w:w="331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SHEL5K</w:t>
            </w:r>
          </w:p>
        </w:tc>
        <w:tc>
          <w:tcPr>
            <w:tcBorders>
              <w:top w:color="000000" w:space="0" w:sz="0" w:val="nil"/>
              <w:left w:color="000000" w:space="0" w:sz="0" w:val="nil"/>
              <w:bottom w:color="000000" w:space="0" w:sz="0" w:val="nil"/>
              <w:right w:color="000000" w:space="0" w:sz="0" w:val="nil"/>
            </w:tcBorders>
            <w:tcMar>
              <w:top w:w="0.0" w:type="dxa"/>
              <w:bottom w:w="0.0" w:type="dxa"/>
            </w:tcMar>
            <w:tcW w:w="187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Media</w:t>
            </w:r>
          </w:p>
        </w:tc>
        <w:tc>
          <w:tcPr>
            <w:tcBorders>
              <w:top w:color="000000" w:space="0" w:sz="0" w:val="nil"/>
              <w:left w:color="000000" w:space="0" w:sz="0" w:val="nil"/>
              <w:bottom w:color="000000" w:space="0" w:sz="0" w:val="nil"/>
              <w:right w:color="000000" w:space="0" w:sz="0" w:val="nil"/>
            </w:tcBorders>
            <w:tcMar>
              <w:top w:w="0.0" w:type="dxa"/>
              <w:bottom w:w="0.0" w:type="dxa"/>
            </w:tcMar>
            <w:tcW w:w="216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Alta para CR-01</w:t>
            </w:r>
          </w:p>
        </w:tc>
        <w:tc>
          <w:tcPr>
            <w:tcBorders>
              <w:top w:color="000000" w:space="0" w:sz="0" w:val="nil"/>
              <w:left w:color="000000" w:space="0" w:sz="0" w:val="nil"/>
              <w:bottom w:color="000000" w:space="0" w:sz="0" w:val="nil"/>
              <w:right w:color="000000" w:space="0" w:sz="0" w:val="nil"/>
            </w:tcBorders>
            <w:tcMar>
              <w:top w:w="0.0" w:type="dxa"/>
              <w:bottom w:w="0.0" w:type="dxa"/>
            </w:tcMar>
            <w:tcW w:w="5616"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Cobertura sólida de casco y ausencia de casco; alcance limitado fuera de CR-01.</w:t>
            </w:r>
          </w:p>
        </w:tc>
      </w:tr>
      <w:tr>
        <w:trPr/>
        <w:tc>
          <w:tcPr>
            <w:tcBorders>
              <w:top w:color="000000" w:space="0" w:sz="0" w:val="nil"/>
              <w:left w:color="000000" w:space="0" w:sz="0" w:val="nil"/>
              <w:bottom w:color="000000" w:space="0" w:sz="0" w:val="nil"/>
              <w:right w:color="000000" w:space="0" w:sz="0" w:val="nil"/>
            </w:tcBorders>
            <w:tcMar>
              <w:top w:w="0.0" w:type="dxa"/>
              <w:bottom w:w="0.0" w:type="dxa"/>
            </w:tcMar>
            <w:tcW w:w="331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CHV</w:t>
            </w:r>
          </w:p>
        </w:tc>
        <w:tc>
          <w:tcPr>
            <w:tcBorders>
              <w:top w:color="000000" w:space="0" w:sz="0" w:val="nil"/>
              <w:left w:color="000000" w:space="0" w:sz="0" w:val="nil"/>
              <w:bottom w:color="000000" w:space="0" w:sz="0" w:val="nil"/>
              <w:right w:color="000000" w:space="0" w:sz="0" w:val="nil"/>
            </w:tcBorders>
            <w:tcMar>
              <w:top w:w="0.0" w:type="dxa"/>
              <w:bottom w:w="0.0" w:type="dxa"/>
            </w:tcMar>
            <w:tcW w:w="187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W w:w="216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W w:w="5616"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Pertinencia de dominio, con términos de uso del dataset que deben verificarse.</w:t>
            </w:r>
          </w:p>
        </w:tc>
      </w:tr>
      <w:tr>
        <w:trPr/>
        <w:tc>
          <w:tcPr>
            <w:tcBorders>
              <w:top w:color="000000" w:space="0" w:sz="0" w:val="nil"/>
              <w:left w:color="000000" w:space="0" w:sz="0" w:val="nil"/>
              <w:bottom w:color="000000" w:space="0" w:sz="0" w:val="nil"/>
              <w:right w:color="000000" w:space="0" w:sz="0" w:val="nil"/>
            </w:tcBorders>
            <w:tcMar>
              <w:top w:w="0.0" w:type="dxa"/>
              <w:bottom w:w="0.0" w:type="dxa"/>
            </w:tcMar>
            <w:tcW w:w="3312" w:type="dxa"/>
          </w:tcPr>
          <w:p>
            <w:pPr>
              <w:spacing w:line="480" w:lineRule="auto"/>
              <w:rPr>
                <w:rFonts w:ascii="Times New Roman" w:cs="Times New Roman" w:eastAsia="Times New Roman" w:hAnsi="Times New Roman"/>
                <w:sz w:val="24"/>
                <w:szCs w:val="24"/>
              </w:rPr>
            </w:pPr>
            <w:r>
              <w:rPr>
                <w:rFonts w:ascii="Courier New" w:hAnsi="Courier New" w:eastAsia="Courier New" w:cs="Courier New"/>
                <w:sz w:val="24"/>
                <w:szCs w:val="24"/>
              </w:rPr>
              <w:t>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W w:w="187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Alta potencial</w:t>
            </w:r>
          </w:p>
        </w:tc>
        <w:tc>
          <w:tcPr>
            <w:tcBorders>
              <w:top w:color="000000" w:space="0" w:sz="0" w:val="nil"/>
              <w:left w:color="000000" w:space="0" w:sz="0" w:val="nil"/>
              <w:bottom w:color="000000" w:space="0" w:sz="0" w:val="nil"/>
              <w:right w:color="000000" w:space="0" w:sz="0" w:val="nil"/>
            </w:tcBorders>
            <w:tcMar>
              <w:top w:w="0.0" w:type="dxa"/>
              <w:bottom w:w="0.0" w:type="dxa"/>
            </w:tcMar>
            <w:tcW w:w="216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W w:w="5616"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Escenas de construcción y anotaciones de EPP; exige disyunción por linaje entre ajuste y evaluación.</w:t>
            </w:r>
          </w:p>
        </w:tc>
      </w:tr>
      <w:tr>
        <w:trPr/>
        <w:tc>
          <w:tcPr>
            <w:tcBorders>
              <w:top w:color="000000" w:space="0" w:sz="0" w:val="nil"/>
              <w:left w:color="000000" w:space="0" w:sz="0" w:val="nil"/>
              <w:bottom w:color="000000" w:space="0" w:sz="0" w:val="nil"/>
              <w:right w:color="000000" w:space="0" w:sz="0" w:val="nil"/>
            </w:tcBorders>
            <w:tcMar>
              <w:top w:w="0.0" w:type="dxa"/>
              <w:bottom w:w="0.0" w:type="dxa"/>
            </w:tcMar>
            <w:tcW w:w="3312" w:type="dxa"/>
          </w:tcPr>
          <w:p>
            <w:pPr>
              <w:spacing w:line="480" w:lineRule="auto"/>
              <w:rPr>
                <w:rFonts w:ascii="Times New Roman" w:cs="Times New Roman" w:eastAsia="Times New Roman" w:hAnsi="Times New Roman"/>
                <w:sz w:val="24"/>
                <w:szCs w:val="24"/>
              </w:rPr>
            </w:pPr>
            <w:r>
              <w:rPr>
                <w:rFonts w:ascii="Courier New" w:hAnsi="Courier New" w:eastAsia="Courier New" w:cs="Courier New"/>
                <w:sz w:val="24"/>
                <w:szCs w:val="24"/>
              </w:rPr>
              <w:t>ppe_siabar</w:t>
            </w:r>
          </w:p>
        </w:tc>
        <w:tc>
          <w:tcPr>
            <w:tcBorders>
              <w:top w:color="000000" w:space="0" w:sz="0" w:val="nil"/>
              <w:left w:color="000000" w:space="0" w:sz="0" w:val="nil"/>
              <w:bottom w:color="000000" w:space="0" w:sz="0" w:val="nil"/>
              <w:right w:color="000000" w:space="0" w:sz="0" w:val="nil"/>
            </w:tcBorders>
            <w:tcMar>
              <w:top w:w="0.0" w:type="dxa"/>
              <w:bottom w:w="0.0" w:type="dxa"/>
            </w:tcMar>
            <w:tcW w:w="187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Alta potencial</w:t>
            </w:r>
          </w:p>
        </w:tc>
        <w:tc>
          <w:tcPr>
            <w:tcBorders>
              <w:top w:color="000000" w:space="0" w:sz="0" w:val="nil"/>
              <w:left w:color="000000" w:space="0" w:sz="0" w:val="nil"/>
              <w:bottom w:color="000000" w:space="0" w:sz="0" w:val="nil"/>
              <w:right w:color="000000" w:space="0" w:sz="0" w:val="nil"/>
            </w:tcBorders>
            <w:tcMar>
              <w:top w:w="0.0" w:type="dxa"/>
              <w:bottom w:w="0.0" w:type="dxa"/>
            </w:tcMar>
            <w:tcW w:w="216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W w:w="5616"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Aporta EPP en dominio afín; requiere una fuente independiente para evaluar generalización.</w:t>
            </w:r>
          </w:p>
        </w:tc>
      </w:tr>
    </w:tbl>
    <w:p w:rsidR="00000000" w:rsidDel="00000000" w:rsidP="00000000" w:rsidRDefault="00000000" w:rsidRPr="00000000" w14:paraId="000002CF">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“Condicionada” indica que el rol depende de la verificación de términos, de la curación y de una partición estrictamente disjunta.</w:t>
      </w:r>
    </w:p>
    <w:p w:rsidR="00000000" w:rsidDel="00000000" w:rsidP="00000000" w:rsidRDefault="00000000" w:rsidRPr="00000000" w14:paraId="000002D0">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17.1.6.3. Benchmarks de evaluación de referencia (categoría 2)</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Tabla 30</w:t>
      </w:r>
    </w:p>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Benchmarks de evaluación de referencia para módulos de seguimiento</w:t>
      </w:r>
    </w:p>
    <w:tbl>
      <w:tblPr>
        <w:tblStyle w:val="Table15"/>
        <w:tblW w:w="10480.0" w:type="dxa"/>
        <w:jc w:val="center"/>
        <w:tblLayout w:type="fixed"/>
        <w:tblLook w:val="0400"/>
      </w:tblPr>
      <w:tblGrid>
        <w:gridCol w:w="1180"/>
        <w:gridCol w:w="3340"/>
        <w:gridCol w:w="1160"/>
        <w:gridCol w:w="1060"/>
        <w:gridCol w:w="2060"/>
        <w:gridCol w:w="1680"/>
        <w:tblGridChange w:id="0">
          <w:tblGrid>
            <w:gridCol w:w="1180"/>
            <w:gridCol w:w="3340"/>
            <w:gridCol w:w="1160"/>
            <w:gridCol w:w="1060"/>
            <w:gridCol w:w="2060"/>
            <w:gridCol w:w="168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E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2E7">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17.1.6.3.1. MOT17 — justificación de uso</w:t>
      </w:r>
    </w:p>
    <w:p w:rsidR="00000000" w:rsidDel="00000000" w:rsidP="00000000" w:rsidRDefault="00000000" w:rsidRPr="00000000" w14:paraId="000002E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17.1.6.3.2. OVT-B — justificación de uso</w:t>
      </w:r>
    </w:p>
    <w:p w:rsidR="00000000" w:rsidDel="00000000" w:rsidP="00000000" w:rsidRDefault="00000000" w:rsidRPr="00000000" w14:paraId="000002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deberá realizarse sobre los datos del proyecto o sobre el escenario complementario que se defina en la instancia de análisis y diseño arquitectónico.</w:t>
      </w:r>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17.1.6.4. Consideraciones transversales</w:t>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precedentes analizaron los datasets desde una perspectiva técnica y metodológica. La presente sección documenta dos dimensiones que atraviesan el inventario completo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ED">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17.1.6.4.1. Consideraciones éticas sobre los datos</w:t>
      </w:r>
    </w:p>
    <w:p w:rsidR="00000000" w:rsidDel="00000000" w:rsidP="00000000" w:rsidRDefault="00000000" w:rsidRPr="00000000" w14:paraId="000002EE">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27, sin atribuirles licencias no verificadas.</w:t>
      </w:r>
    </w:p>
    <w:p w:rsidR="00000000" w:rsidDel="00000000" w:rsidP="00000000" w:rsidRDefault="00000000" w:rsidRPr="00000000" w14:paraId="000002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deberá verificar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2F2">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17.1.6.4.2. Logística de datos</w:t>
      </w:r>
    </w:p>
    <w:p w:rsidR="00000000" w:rsidDel="00000000" w:rsidP="00000000" w:rsidRDefault="00000000" w:rsidRPr="00000000" w14:paraId="000002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Esto puede verse en detalle en la Tabla C.5 del Anexo C.</w:t>
      </w:r>
    </w:p>
    <w:p w:rsidR="00000000" w:rsidDel="00000000" w:rsidP="00000000" w:rsidRDefault="00000000" w:rsidRPr="00000000" w14:paraId="000002F4">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17.1.6.5. Síntesis parcial de la estrategia de datos, benchmarks y partición</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2F6">
      <w:pPr>
        <w:spacing w:line="360" w:lineRule="auto"/>
        <w:rPr>
          <w:rFonts w:ascii="Times New Roman" w:cs="Times New Roman" w:eastAsia="Times New Roman" w:hAnsi="Times New Roman"/>
          <w:b w:val="1"/>
          <w:bCs w:val="1"/>
          <w:i w:val="1"/>
          <w:iCs w:val="1"/>
          <w:sz w:val="24"/>
          <w:szCs w:val="24"/>
        </w:rPr>
      </w:pPr>
      <w:r>
        <w:rPr>
          <w:rFonts w:ascii="Times New Roman" w:hAnsi="Times New Roman" w:eastAsia="Times New Roman" w:cs="Times New Roman"/>
          <w:bCs w:val="1"/>
          <w:b w:val="1"/>
          <w:sz w:val="24"/>
          <w:szCs w:val="24"/>
        </w:rPr>
        <w:t>Tabla 31</w:t>
      </w:r>
    </w:p>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Cobertura de datos por condición y consecuencia metodológica</w:t>
      </w:r>
    </w:p>
    <w:tbl>
      <w:tblPr>
        <w:tblStyle w:val="Table16"/>
        <w:tblW w:w="10480.0" w:type="dxa"/>
        <w:jc w:val="center"/>
        <w:tblLayout w:type="fixed"/>
        <w:tblLook w:val="0400"/>
      </w:tblPr>
      <w:tblGrid>
        <w:gridCol w:w="2920"/>
        <w:gridCol w:w="1600"/>
        <w:gridCol w:w="2620"/>
        <w:gridCol w:w="3340"/>
        <w:tblGridChange w:id="0">
          <w:tblGrid>
            <w:gridCol w:w="2920"/>
            <w:gridCol w:w="1600"/>
            <w:gridCol w:w="2620"/>
            <w:gridCol w:w="334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Condición</w:t>
            </w:r>
          </w:p>
        </w:tc>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Nivel de cobertura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Fuentes retenidas o apoyo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Uso metodológico definido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Sólida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 xml:space="preserve">SHEL5K, CHV, </w:t>
            </w:r>
            <w:r>
              <w:rPr>
                <w:rFonts w:ascii="Courier New" w:hAnsi="Courier New" w:eastAsia="Courier New" w:cs="Courier New"/>
                <w:sz w:val="24"/>
                <w:szCs w:val="24"/>
              </w:rPr>
              <w:t>construction_site_safety</w:t>
            </w:r>
            <w:r>
              <w:rPr>
                <w:rFonts w:ascii="Times New Roman" w:hAnsi="Times New Roman" w:eastAsia="Times New Roman" w:cs="Times New Roman"/>
                <w:sz w:val="24"/>
                <w:szCs w:val="24"/>
              </w:rPr>
              <w:t xml:space="preserve"> y </w:t>
            </w:r>
            <w:r>
              <w:rPr>
                <w:rFonts w:ascii="Courier New" w:hAnsi="Courier New" w:eastAsia="Courier New" w:cs="Courier New"/>
                <w:sz w:val="24"/>
                <w:szCs w:val="24"/>
              </w:rPr>
              <w:t>ppe_siabar</w:t>
            </w:r>
            <w:r>
              <w:rPr>
                <w:rFonts w:ascii="Times New Roman" w:hAnsi="Times New Roman" w:eastAsia="Times New Roman" w:cs="Times New Roman"/>
                <w:sz w:val="24"/>
                <w:szCs w:val="24"/>
              </w:rPr>
              <w:t>.</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Integra el núcleo obligatorio y admite evaluación directa o composición por persona.</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 xml:space="preserve">CHV, </w:t>
            </w:r>
            <w:r>
              <w:rPr>
                <w:rFonts w:ascii="Courier New" w:hAnsi="Courier New" w:eastAsia="Courier New" w:cs="Courier New"/>
                <w:sz w:val="24"/>
                <w:szCs w:val="24"/>
              </w:rPr>
              <w:t>construction_site_safety</w:t>
            </w:r>
            <w:r>
              <w:rPr>
                <w:rFonts w:ascii="Times New Roman" w:hAnsi="Times New Roman" w:eastAsia="Times New Roman" w:cs="Times New Roman"/>
                <w:sz w:val="24"/>
                <w:szCs w:val="24"/>
              </w:rPr>
              <w:t xml:space="preserve"> y </w:t>
            </w:r>
            <w:r>
              <w:rPr>
                <w:rFonts w:ascii="Courier New" w:hAnsi="Courier New" w:eastAsia="Courier New" w:cs="Courier New"/>
                <w:sz w:val="24"/>
                <w:szCs w:val="24"/>
              </w:rPr>
              <w:t>ppe_siabar</w:t>
            </w:r>
            <w:r>
              <w:rPr>
                <w:rFonts w:ascii="Times New Roman" w:hAnsi="Times New Roman" w:eastAsia="Times New Roman" w:cs="Times New Roman"/>
                <w:sz w:val="24"/>
                <w:szCs w:val="24"/>
              </w:rPr>
              <w:t>.</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Integra el núcleo obligatorio, con menor redundancia que CR-01.</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Sólo admite evidencia exploratoria sobre componentes o material complementario controlado.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Se mantiene como extensión condicionada y no bloquea la aceptación del núcleo.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Su evaluación depende de material específico y lógica contextual.</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Su evaluación depende de parametrización espacial externa al prompt.</w:t>
            </w:r>
          </w:p>
        </w:tc>
      </w:tr>
    </w:tbl>
    <w:p w:rsidR="00000000" w:rsidDel="00000000" w:rsidP="00000000" w:rsidRDefault="00000000" w:rsidRPr="00000000" w14:paraId="000003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3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3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3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partición de datos se rige por cinco reglas obligatorias: el test set debe congelarse antes de cualquier entrenamiento o augmentation; la baseline zero-shot y toda variante fine-tuned deben evaluarse sobre el mismo conjunto de test; los splits deben ser estrictamente disjuntos; la semilla y el procedimiento de partición deben registrarse; y toda anotación complementaria debe separar material de desarrollo y material de evaluación. Estas reglas sostienen la comparabilidad del protocolo.</w:t>
      </w:r>
    </w:p>
    <w:p w:rsidR="00000000" w:rsidDel="00000000" w:rsidP="00000000" w:rsidRDefault="00000000" w:rsidRPr="00000000" w14:paraId="000003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brechadas, la política de datos complementarios sigue un orden de preferencia conservador: primero curación y conversión de fuentes públicas compatibles; después anotación complementaria acotada sobre material estrictamente necesario; y sólo en último término producción específica de material controlado en el EBE. El objetivo es evitar que la expansión del corpus consuma el tiempo y la capacidad que el proyecto necesita reservar para integración, instrumentación y validación del sistema.</w:t>
      </w:r>
    </w:p>
    <w:p w:rsidR="00000000" w:rsidDel="00000000" w:rsidP="00000000" w:rsidRDefault="00000000" w:rsidRPr="00000000" w14:paraId="00000318">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17.1.7. Framework de métricas, viabilidad operativa y presupuesto de latencia</w:t>
      </w:r>
    </w:p>
    <w:p w:rsidR="00000000" w:rsidDel="00000000" w:rsidP="00000000" w:rsidRDefault="00000000" w:rsidRPr="00000000" w14:paraId="00000319">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17.1.7.1. Introducción y alcance</w:t>
      </w:r>
    </w:p>
    <w:p w:rsidR="00000000" w:rsidDel="00000000" w:rsidP="00000000" w:rsidRDefault="00000000" w:rsidRPr="00000000" w14:paraId="0000031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17.1.7.1.1. Propósito y preguntas rectoras</w:t>
      </w:r>
    </w:p>
    <w:p w:rsidR="00000000" w:rsidDel="00000000" w:rsidP="00000000" w:rsidRDefault="00000000" w:rsidRPr="00000000" w14:paraId="000003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3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la presente sección responde a dos de las preguntas rectoras formuladas en la fundamentación teórica. En relación con P-E1-06, define el framework de métricas para evaluar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3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3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31F">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17.1.7.2. Alcance evaluativo y definición operativa de la latencia de alerta</w:t>
      </w:r>
    </w:p>
    <w:p w:rsidR="00000000" w:rsidDel="00000000" w:rsidP="00000000" w:rsidRDefault="00000000" w:rsidRPr="00000000" w14:paraId="000003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3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 xml:space="preserve">En este trabajo, la latencia interna hasta el registro de la alerta se identifica como </w:t>
      </w:r>
      <w:r>
        <w:rPr>
          <w:rFonts w:ascii="Courier New" w:hAnsi="Courier New" w:eastAsia="Courier New" w:cs="Courier New"/>
          <w:sz w:val="24"/>
          <w:szCs w:val="24"/>
        </w:rPr>
        <w:t>t_alert-system</w:t>
      </w:r>
      <w:r>
        <w:rPr>
          <w:rFonts w:ascii="Times New Roman" w:hAnsi="Times New Roman" w:eastAsia="Times New Roman" w:cs="Times New Roman"/>
          <w:sz w:val="24"/>
          <w:szCs w:val="24"/>
        </w:rPr>
        <w:t xml:space="preserve">; la extensión hasta un canal instrumentado se identifica como </w:t>
      </w:r>
      <w:r>
        <w:rPr>
          <w:rFonts w:ascii="Courier New" w:hAnsi="Courier New" w:eastAsia="Courier New" w:cs="Courier New"/>
          <w:sz w:val="24"/>
          <w:szCs w:val="24"/>
        </w:rPr>
        <w:t>t_alert-notification</w:t>
      </w:r>
      <w:r>
        <w:rPr>
          <w:rFonts w:ascii="Times New Roman" w:hAnsi="Times New Roman" w:eastAsia="Times New Roman" w:cs="Times New Roman"/>
          <w:sz w:val="24"/>
          <w:szCs w:val="24"/>
        </w:rPr>
        <w:t>. Ambas denominaciones deben conservarse sin intercambiar sus hitos de inicio y cierre.</w:t>
      </w:r>
    </w:p>
    <w:p w:rsidR="00000000" w:rsidDel="00000000" w:rsidP="00000000" w:rsidRDefault="00000000" w:rsidRPr="00000000" w14:paraId="000003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esta convención, G2A se entiende como el subtramo instrumental del pipeline que va desde la captura o lectura del cuadro hasta la disponibilidad del resultado algorítmico. El tramo Glass-to-Alert integra, además de ese subtramo, los módulos de seguimiento y razonamiento que correspondan y, sobre todo, la ventana funcional de persistencia requerida para confirmar el patrón de riesgo. Esta delimitación permite separar con claridad la latencia estrictamente computacional de las demoras asociadas al trayecto de consulta, notificación, distribución o interpretación humana.</w:t>
      </w:r>
    </w:p>
    <w:p w:rsidR="00000000" w:rsidDel="00000000" w:rsidP="00000000" w:rsidRDefault="00000000" w:rsidRPr="00000000" w14:paraId="00000324">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17.1.7.3. Estructura del framework y criterios de viabilidad</w:t>
      </w:r>
    </w:p>
    <w:p w:rsidR="00000000" w:rsidDel="00000000" w:rsidP="00000000" w:rsidRDefault="00000000" w:rsidRPr="00000000" w14:paraId="000003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326">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17.1.7.3.1. Jerarquía de métricas</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3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3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32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17.1.7.3.2. Niveles de compromiso</w:t>
      </w:r>
    </w:p>
    <w:p w:rsidR="00000000" w:rsidDel="00000000" w:rsidP="00000000" w:rsidRDefault="00000000" w:rsidRPr="00000000" w14:paraId="000003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todas las métricas definidas en esta sección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3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32D">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17.1.7.3.3. Criterios de factibilidad experimental</w:t>
      </w:r>
    </w:p>
    <w:p w:rsidR="00000000" w:rsidDel="00000000" w:rsidP="00000000" w:rsidRDefault="00000000" w:rsidRPr="00000000" w14:paraId="000003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32F">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17.1.7.4. Métricas adoptadas</w:t>
      </w:r>
    </w:p>
    <w:p w:rsidR="00000000" w:rsidDel="00000000" w:rsidP="00000000" w:rsidRDefault="00000000" w:rsidRPr="00000000" w14:paraId="000003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siguientes presentan las familias de métricas seleccionadas para los tres planos del sistema evaluable: detección OVD, seguimiento multiobjeto (MOT) y rendimiento del pipeline.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331">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17.1.7.4.1. Métricas de detección OVD</w:t>
      </w:r>
    </w:p>
    <w:p w:rsidR="00000000" w:rsidDel="00000000" w:rsidP="00000000" w:rsidRDefault="00000000" w:rsidRPr="00000000" w14:paraId="0000033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 Pueden verse estas métricas en la Tabla D.1 del Anexo D.</w:t>
      </w:r>
    </w:p>
    <w:p w:rsidR="00000000" w:rsidDel="00000000" w:rsidP="00000000" w:rsidRDefault="00000000" w:rsidRPr="00000000" w14:paraId="00000333">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17.1.7.4.2. Métricas de seguimiento multiobjeto</w:t>
      </w:r>
    </w:p>
    <w:p w:rsidR="00000000" w:rsidDel="00000000" w:rsidP="00000000" w:rsidRDefault="00000000" w:rsidRPr="00000000" w14:paraId="000003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la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3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3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las métricas de seguimiento multiobjeto puede verse en la Tabla D.2 del Anexo D.</w:t>
      </w:r>
    </w:p>
    <w:p w:rsidR="00000000" w:rsidDel="00000000" w:rsidP="00000000" w:rsidRDefault="00000000" w:rsidRPr="00000000" w14:paraId="00000337">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17.1.7.4.3. Métricas de rendimiento del pipeline</w:t>
      </w:r>
    </w:p>
    <w:p w:rsidR="00000000" w:rsidDel="00000000" w:rsidP="00000000" w:rsidRDefault="00000000" w:rsidRPr="00000000" w14:paraId="000003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D.3 del Anexo D.</w:t>
      </w:r>
    </w:p>
    <w:p w:rsidR="00000000" w:rsidDel="00000000" w:rsidP="00000000" w:rsidRDefault="00000000" w:rsidRPr="00000000" w14:paraId="00000339">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17.1.7.5. Métricas operativas específicas del dominio</w:t>
      </w:r>
    </w:p>
    <w:p w:rsidR="00000000" w:rsidDel="00000000" w:rsidP="00000000" w:rsidRDefault="00000000" w:rsidRPr="00000000" w14:paraId="000003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3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esta sección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33C">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nyl8w2z5mmu1" w:id="105"/>
      <w:bookmarkEnd w:id="105"/>
      <w:r w:rsidDel="00000000" w:rsidR="00000000" w:rsidRPr="00000000">
        <w:rPr>
          <w:rFonts w:ascii="Times New Roman" w:cs="Times New Roman" w:eastAsia="Times New Roman" w:hAnsi="Times New Roman"/>
          <w:iCs w:val="0"/>
          <w:i w:val="0"/>
          <w:b w:val="1"/>
          <w:bCs w:val="1"/>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iCs w:val="0"/>
          <w:i w:val="0"/>
          <w:b w:val="1"/>
          <w:bCs w:val="1"/>
          <w:color w:val="000000"/>
          <w:sz w:val="24"/>
          <w:szCs w:val="24"/>
          <w:rtl w:val="0"/>
        </w:rPr>
        <w:t xml:space="preserve">)</w:t>
      </w:r>
    </w:p>
    <w:p w:rsidR="00000000" w:rsidDel="00000000" w:rsidP="00000000" w:rsidRDefault="00000000" w:rsidRPr="00000000" w14:paraId="000003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3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3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pruebas puramente cuadro a cuadro, donde sólo se evalúa la salida del detector OVD sin evaluación de patrón ni alerta registrada,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 esos casos, el análisis debe limitarse a métricas de detección, rendimiento del pipeline o latencia Glass-to-Algorithm (G2A), declarando explícitamente la no aplicación de métricas de alerta.</w:t>
      </w:r>
    </w:p>
    <w:p w:rsidR="00000000" w:rsidDel="00000000" w:rsidP="00000000" w:rsidRDefault="00000000" w:rsidRPr="00000000" w14:paraId="000003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341">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17.1.7.5.2. Tiempo a la primera detección (TTFD)</w:t>
      </w:r>
    </w:p>
    <w:p w:rsidR="00000000" w:rsidDel="00000000" w:rsidP="00000000" w:rsidRDefault="00000000" w:rsidRPr="00000000" w14:paraId="000003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3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3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métrica resulta especialmente informativa en eventos de severidad crítica o alta, donde interesa conocer cuánto tarda el sistema en producir la primera señal visual relevante. Sin embargo, su aplicación requiere que el evento tenga un inicio temporal anotado y que el criterio de detección positiva esté definido previamente. En datasets estáticos de imágenes, o en evaluaciones sin secuencia temporal ni inicio de evento identificable, TTFD no corresponde como métrica operativa y debe declararse como no aplicable.</w:t>
      </w:r>
    </w:p>
    <w:p w:rsidR="00000000" w:rsidDel="00000000" w:rsidP="00000000" w:rsidRDefault="00000000" w:rsidRPr="00000000" w14:paraId="00000345">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17.1.7.5.3. Tasa de detección sostenida (SDR)</w:t>
      </w:r>
    </w:p>
    <w:p w:rsidR="00000000" w:rsidDel="00000000" w:rsidP="00000000" w:rsidRDefault="00000000" w:rsidRPr="00000000" w14:paraId="000003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3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3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 sólo corresponde cuando existe una secuencia temporal con inicio y duración anotados de la condición evaluada. En datasets estáticos de imágenes, o en evaluaciones sin ventana temporal identificable, la métrica no resulta aplicable y debe declararse como tal.</w:t>
      </w:r>
    </w:p>
    <w:p w:rsidR="00000000" w:rsidDel="00000000" w:rsidP="00000000" w:rsidRDefault="00000000" w:rsidRPr="00000000" w14:paraId="0000034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17.1.7.5.4. Condición de aplicación de métricas temporales</w:t>
      </w:r>
    </w:p>
    <w:p w:rsidR="00000000" w:rsidDel="00000000" w:rsidP="00000000" w:rsidRDefault="00000000" w:rsidRPr="00000000" w14:paraId="000003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t>
      </w:r>
    </w:p>
    <w:p w:rsidR="00000000" w:rsidDel="00000000" w:rsidP="00000000" w:rsidRDefault="00000000" w:rsidRPr="00000000" w14:paraId="000003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esos casos, la evaluación debe limitarse a métricas de detección por imagen o por cuadro, como AP@0.5 y Precision/Recall, además de métricas de rendimiento del pipeline cuando exista instrumentación suficiente. Las métricas temporales quedan reservadas para clips, secuencias anotadas o corridas EBE con eventos definidos.</w:t>
      </w:r>
    </w:p>
    <w:p w:rsidR="00000000" w:rsidDel="00000000" w:rsidP="00000000" w:rsidRDefault="00000000" w:rsidRPr="00000000" w14:paraId="0000034C">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17.1.7.5.5. Evaluación diferenciada por severidad</w:t>
      </w:r>
    </w:p>
    <w:p w:rsidR="00000000" w:rsidDel="00000000" w:rsidP="00000000" w:rsidRDefault="00000000" w:rsidRPr="00000000" w14:paraId="000003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50">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17.1.7.6. Protocolo comparativo entre variantes preentrenada y ajustada al dominio</w:t>
      </w:r>
    </w:p>
    <w:p w:rsidR="00000000" w:rsidDel="00000000" w:rsidP="00000000" w:rsidRDefault="00000000" w:rsidRPr="00000000" w14:paraId="000003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5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Tabla 32</w:t>
      </w:r>
    </w:p>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Métricas y criterios de reporte para la comparación entre variantes</w:t>
      </w:r>
    </w:p>
    <w:tbl>
      <w:tblPr>
        <w:tblStyle w:val="Table17"/>
        <w:tblW w:w="10480.0" w:type="dxa"/>
        <w:jc w:val="center"/>
        <w:tblLayout w:type="fixed"/>
        <w:tblLook w:val="0400"/>
      </w:tblPr>
      <w:tblGrid>
        <w:gridCol w:w="2520"/>
        <w:gridCol w:w="3560"/>
        <w:gridCol w:w="1760"/>
        <w:gridCol w:w="1320"/>
        <w:gridCol w:w="1320"/>
        <w:tblGridChange w:id="0">
          <w:tblGrid>
            <w:gridCol w:w="2520"/>
            <w:gridCol w:w="3560"/>
            <w:gridCol w:w="1760"/>
            <w:gridCol w:w="1320"/>
            <w:gridCol w:w="132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6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6F">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17.1.7.7. Presupuesto de latencia y componentes medibles</w:t>
      </w:r>
    </w:p>
    <w:p w:rsidR="00000000" w:rsidDel="00000000" w:rsidP="00000000" w:rsidRDefault="00000000" w:rsidRPr="00000000" w14:paraId="000003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1">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17.1.7.7.1. Descomposición operativa</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7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74">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7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17.1.7.7.2. Componentes medibles y adscripción por tramo</w:t>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Tabla 33</w:t>
      </w:r>
    </w:p>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i/>
        </w:rPr>
      </w:r>
    </w:p>
    <w:tbl>
      <w:tblPr>
        <w:tblStyle w:val="Table18"/>
        <w:tblW w:w="10460.0" w:type="dxa"/>
        <w:jc w:val="center"/>
        <w:tblLayout w:type="fixed"/>
        <w:tblLook w:val="0400"/>
      </w:tblPr>
      <w:tblGrid>
        <w:gridCol w:w="1440"/>
        <w:gridCol w:w="4320"/>
        <w:gridCol w:w="2600"/>
        <w:gridCol w:w="780"/>
        <w:gridCol w:w="1320"/>
        <w:tblGridChange w:id="0">
          <w:tblGrid>
            <w:gridCol w:w="1440"/>
            <w:gridCol w:w="4320"/>
            <w:gridCol w:w="2600"/>
            <w:gridCol w:w="780"/>
            <w:gridCol w:w="132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A">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A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sidDel="00000000" w:rsidR="00000000" w:rsidRPr="00000000">
        <w:rPr>
          <w:rFonts w:ascii="Times New Roman" w:cs="Times New Roman" w:eastAsia="Times New Roman" w:hAnsi="Times New Roman"/>
          <w:b w:val="1"/>
          <w:bCs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La inclusión explícita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responde a que la latencia de alerta confirmada no se reduce al costo computacional del pipeline, sino que incorpora además la ventana funcional necesaria para acumular evidencia suficiente antes de registrar una alerta interna.</w:t>
      </w:r>
    </w:p>
    <w:p w:rsidR="00000000" w:rsidDel="00000000" w:rsidP="00000000" w:rsidRDefault="00000000" w:rsidRPr="00000000" w14:paraId="000003A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17.1.7.7.3. Consideración sobre el razonamiento temporal</w:t>
      </w:r>
    </w:p>
    <w:p w:rsidR="00000000" w:rsidDel="00000000" w:rsidP="00000000" w:rsidRDefault="00000000" w:rsidRPr="00000000" w14:paraId="000003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componente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 distinguirse explícitamente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primero corresponde al costo computacional asociado a la evaluación de reglas de persistencia, asociaciones espaciales y patrones activos una vez disponibles las detecciones. El segundo corresponde al tiempo funcional que el sistema requiere para acumular evidencia suficiente antes de confirmar una alerta. Esta distinción es metodológicamente central, porque evita interpretar la latencia de alerta confirmada como si fuera únicamente un problema de rendimiento computacional: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integra el presupuesto computacional del sistema,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integra el presupuesto operativo de confirmación que queda absorbido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B">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17.1.7.7.4. Cierre operativo del presupuesto</w:t>
      </w:r>
    </w:p>
    <w:p w:rsidR="00000000" w:rsidDel="00000000" w:rsidP="00000000" w:rsidRDefault="00000000" w:rsidRPr="00000000" w14:paraId="000003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3AD">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17.1.7.7.5. Estimación orientativa del presupuesto de latencia</w:t>
      </w:r>
    </w:p>
    <w:p w:rsidR="00000000" w:rsidDel="00000000" w:rsidP="00000000" w:rsidRDefault="00000000" w:rsidRPr="00000000" w14:paraId="000003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interpretar los umbrales de la Sección 17.1.7.7.6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Por un lado, la el análisis de operación en tiempo real identifica un rango de 10–30 ms por cuadro asociado a modelos ligeros optimizados y otro de 50–150 ms característico de arquitecturas transformer sin optimización específica para edge; por otro, la el análisis de modelos OVD documenta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En este punto, la mención de YOLO-World debe leerse únicamente como referencia comparativa dentro de la subfamilia eficiente de detectores OVD, no como modelo priorizado del protocolo experimental de E2, cuyos candidatos de trabajo siguen siendo YOLOE y Grounding DINO.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3B2">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17.1.7.7.6. Umbrales orientativos por nivel de severidad</w:t>
      </w:r>
    </w:p>
    <w:p w:rsidR="00000000" w:rsidDel="00000000" w:rsidP="00000000" w:rsidRDefault="00000000" w:rsidRPr="00000000" w14:paraId="000003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3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lista de los umbrales orientativos por severidad puede verse en la Tabla D.4 del Anexo D.</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17.1.7.8. Operacionalización de la medición y condiciones de no aplicación</w:t>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framework sea ejecutable y no meramente declarativo, la presente sección traduce las métricas anteriores a requisitos mínimos de instrumentación, preparación y registro. Su propósito no es redefinir las métricas, sino fijar las condiciones bajo las cuales su medición resulta metodológicamente defendible.</w:t>
      </w:r>
    </w:p>
    <w:p w:rsidR="00000000" w:rsidDel="00000000" w:rsidP="00000000" w:rsidRDefault="00000000" w:rsidRPr="00000000" w14:paraId="000003B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17.1.7.8.1. Reglas generales de instrumentación</w:t>
      </w:r>
    </w:p>
    <w:p w:rsidR="00000000" w:rsidDel="00000000" w:rsidP="00000000" w:rsidRDefault="00000000" w:rsidRPr="00000000" w14:paraId="000003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3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Esto se desarrolla de manera más sintética en la Tabla D.5 del Anexo D.</w:t>
      </w:r>
    </w:p>
    <w:p w:rsidR="00000000" w:rsidDel="00000000" w:rsidP="00000000" w:rsidRDefault="00000000" w:rsidRPr="00000000" w14:paraId="000003BE">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17.1.7.8.2. Alcance efectivo y casos en los que no corresponde medir</w:t>
      </w:r>
    </w:p>
    <w:p w:rsidR="00000000" w:rsidDel="00000000" w:rsidP="00000000" w:rsidRDefault="00000000" w:rsidRPr="00000000" w14:paraId="000003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3C4">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17.1.7.8.3. Precisiones operativas sobre métricas críticas</w:t>
      </w:r>
    </w:p>
    <w:p w:rsidR="00000000" w:rsidDel="00000000" w:rsidP="00000000" w:rsidRDefault="00000000" w:rsidRPr="00000000" w14:paraId="000003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3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3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3C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17.1.7.8.4. Registro mínimo por corrida y reporte</w:t>
      </w:r>
    </w:p>
    <w:p w:rsidR="00000000" w:rsidDel="00000000" w:rsidP="00000000" w:rsidRDefault="00000000" w:rsidRPr="00000000" w14:paraId="000003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p>
    <w:p w:rsidR="00000000" w:rsidDel="00000000" w:rsidP="00000000" w:rsidRDefault="00000000" w:rsidRPr="00000000" w14:paraId="000003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CD">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17.1.7.9. Síntesis parcial del framework de métricas</w:t>
      </w:r>
    </w:p>
    <w:p w:rsidR="00000000" w:rsidDel="00000000" w:rsidP="00000000" w:rsidRDefault="00000000" w:rsidRPr="00000000" w14:paraId="000003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3C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jerarquía de métricas no implica que todas deban ejecutarse en todos los escenarios ni sobre todas las condiciones de riesgo. Cada métrica queda subordinada a un criterio de ejecutabilidad experimental: debe existir una referencia de evaluación suficiente, el módulo que produce la señal correspondiente, instrumentación confiable mediante logs o timestamps, y una salida exportable para análisis posterior. Por esta razón, el protocolo diferencia entre métricas definidas, métricas efectivamente medibles y métricas no aplicables.</w:t>
      </w:r>
    </w:p>
    <w:p w:rsidR="00000000" w:rsidDel="00000000" w:rsidP="00000000" w:rsidRDefault="00000000" w:rsidRPr="00000000" w14:paraId="000003D0">
      <w:pPr>
        <w:spacing w:line="360" w:lineRule="auto"/>
        <w:rPr>
          <w:rFonts w:ascii="Times New Roman" w:cs="Times New Roman" w:eastAsia="Times New Roman" w:hAnsi="Times New Roman"/>
          <w:b w:val="1"/>
          <w:bCs w:val="1"/>
          <w:i w:val="1"/>
          <w:iCs w:val="1"/>
          <w:sz w:val="24"/>
          <w:szCs w:val="24"/>
        </w:rPr>
      </w:pPr>
      <w:r>
        <w:rPr>
          <w:rFonts w:ascii="Times New Roman" w:hAnsi="Times New Roman" w:eastAsia="Times New Roman" w:cs="Times New Roman"/>
          <w:bCs w:val="1"/>
          <w:b w:val="1"/>
          <w:sz w:val="24"/>
          <w:szCs w:val="24"/>
        </w:rPr>
        <w:t>Tabla 34</w:t>
      </w:r>
    </w:p>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Jerarquía de métricas adoptadas para el prototipo experimental</w:t>
      </w:r>
    </w:p>
    <w:tbl>
      <w:tblPr>
        <w:tblStyle w:val="Table19"/>
        <w:tblW w:w="10480.0" w:type="dxa"/>
        <w:jc w:val="center"/>
        <w:tblLayout w:type="fixed"/>
        <w:tblLook w:val="0400"/>
      </w:tblPr>
      <w:tblGrid>
        <w:gridCol w:w="1020"/>
        <w:gridCol w:w="3140"/>
        <w:gridCol w:w="3060"/>
        <w:gridCol w:w="3260"/>
        <w:tblGridChange w:id="0">
          <w:tblGrid>
            <w:gridCol w:w="1020"/>
            <w:gridCol w:w="3140"/>
            <w:gridCol w:w="3060"/>
            <w:gridCol w:w="326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2">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3">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E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sidDel="00000000" w:rsidR="00000000" w:rsidRPr="00000000">
        <w:rPr>
          <w:rFonts w:ascii="Times New Roman" w:cs="Times New Roman" w:eastAsia="Times New Roman" w:hAnsi="Times New Roman"/>
          <w:b w:val="1"/>
          <w:bCs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E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definida como el intervalo entre el inicio anotado de la condición de riesgo y la generación de una alerta confirmada y registrada dentro del sistema. Esta métrica integra la inferencia, la persistencia requerida y la evaluación del patrón. No corresponde reportarla en pruebas puramente cuadro a cuadro donde sólo se evalúa la salida del detector OVD. En esos casos, el análisis debe limitarse a métricas de detección, rendimiento del pipeline o latencia Glass-to-Algorithm. Cuando exista un trayecto instrumentado hacia consulta, interfaz o notificación, podrá reportarse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métrica complementaria.</w:t>
      </w:r>
    </w:p>
    <w:p w:rsidR="00000000" w:rsidDel="00000000" w:rsidP="00000000" w:rsidRDefault="00000000" w:rsidRPr="00000000" w14:paraId="000003E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TTFD mide el tiempo hasta la primera detección positiva válida desde el inicio anotado del evento. SDR mide la proporción del intervalo del evento durante la cual el sistema sostiene detecciones positivas. Ambas métricas sólo corresponden sobre secuencias temporales con inicio y duración anotados. No deben calcularse sobre datasets de imágenes estáticas sin continuidad temporal.</w:t>
      </w:r>
    </w:p>
    <w:p w:rsidR="00000000" w:rsidDel="00000000" w:rsidP="00000000" w:rsidRDefault="00000000" w:rsidRPr="00000000" w14:paraId="000003E8">
      <w:pPr>
        <w:spacing w:line="360" w:lineRule="auto"/>
        <w:rPr>
          <w:rFonts w:ascii="Times New Roman" w:cs="Times New Roman" w:eastAsia="Times New Roman" w:hAnsi="Times New Roman"/>
          <w:b w:val="1"/>
          <w:bCs w:val="1"/>
          <w:i w:val="1"/>
          <w:iCs w:val="1"/>
          <w:sz w:val="24"/>
          <w:szCs w:val="24"/>
        </w:rPr>
      </w:pPr>
      <w:r>
        <w:rPr>
          <w:rFonts w:ascii="Times New Roman" w:hAnsi="Times New Roman" w:eastAsia="Times New Roman" w:cs="Times New Roman"/>
          <w:bCs w:val="1"/>
          <w:b w:val="1"/>
          <w:sz w:val="24"/>
          <w:szCs w:val="24"/>
        </w:rPr>
        <w:t>Tabla 35</w:t>
      </w:r>
    </w:p>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Umbrales orientativos por severidad para la lectura operativa de la alerta</w:t>
      </w:r>
    </w:p>
    <w:tbl>
      <w:tblPr>
        <w:tblStyle w:val="Table20"/>
        <w:tblW w:w="10480.0" w:type="dxa"/>
        <w:jc w:val="center"/>
        <w:tblLayout w:type="fixed"/>
        <w:tblLook w:val="0400"/>
      </w:tblPr>
      <w:tblGrid>
        <w:gridCol w:w="1300"/>
        <w:gridCol w:w="2040"/>
        <w:gridCol w:w="1480"/>
        <w:gridCol w:w="1440"/>
        <w:gridCol w:w="4220"/>
        <w:tblGridChange w:id="0">
          <w:tblGrid>
            <w:gridCol w:w="1300"/>
            <w:gridCol w:w="2040"/>
            <w:gridCol w:w="1480"/>
            <w:gridCol w:w="1440"/>
            <w:gridCol w:w="422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FD">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framework de métricas, cada ejecución deberá conservar una bitácora mínima: identificación de corrida, modelo y checkpoint, dataset o clip utilizado, resolución efectiva, parámetros relevantes, timestamps de etapas críticas, consumo de recursos y observaciones. Esta bitácora garantiza que la evidencia de validación experimental pueda reconstruirse, auditarse y discutirse.</w:t>
      </w:r>
    </w:p>
    <w:p w:rsidR="00000000" w:rsidDel="00000000" w:rsidP="00000000" w:rsidRDefault="00000000" w:rsidRPr="00000000" w14:paraId="00000400">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17.1.8. Protocolo experimental integrado</w:t>
      </w:r>
    </w:p>
    <w:p w:rsidR="00000000" w:rsidDel="00000000" w:rsidP="00000000" w:rsidRDefault="00000000" w:rsidRPr="00000000" w14:paraId="00000401">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17.1.8.1. Secuencia general del protocolo</w:t>
      </w:r>
    </w:p>
    <w:p w:rsidR="00000000" w:rsidDel="00000000" w:rsidP="00000000" w:rsidRDefault="00000000" w:rsidRPr="00000000" w14:paraId="000004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4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404">
      <w:pPr>
        <w:spacing w:line="360" w:lineRule="auto"/>
        <w:rPr>
          <w:rFonts w:ascii="Times New Roman" w:cs="Times New Roman" w:eastAsia="Times New Roman" w:hAnsi="Times New Roman"/>
          <w:b w:val="1"/>
          <w:bCs w:val="1"/>
          <w:i w:val="1"/>
          <w:iCs w:val="1"/>
          <w:sz w:val="24"/>
          <w:szCs w:val="24"/>
        </w:rPr>
      </w:pPr>
      <w:r>
        <w:rPr>
          <w:rFonts w:ascii="Times New Roman" w:hAnsi="Times New Roman" w:eastAsia="Times New Roman" w:cs="Times New Roman"/>
          <w:bCs w:val="1"/>
          <w:b w:val="1"/>
          <w:sz w:val="24"/>
          <w:szCs w:val="24"/>
        </w:rPr>
        <w:t>Tabla 36</w:t>
      </w:r>
    </w:p>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Fases del protocolo experimental integrado</w:t>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426">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427">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17.1.9. Estrategia de adaptación al dominio</w:t>
      </w:r>
    </w:p>
    <w:p w:rsidR="00000000" w:rsidDel="00000000" w:rsidP="00000000" w:rsidRDefault="00000000" w:rsidRPr="00000000" w14:paraId="00000428">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17.1.9.1. Criterio metodológico general</w:t>
      </w:r>
    </w:p>
    <w:p w:rsidR="00000000" w:rsidDel="00000000" w:rsidP="00000000" w:rsidRDefault="00000000" w:rsidRPr="00000000" w14:paraId="000004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42A">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17.1.9.2. Candidatos de comparación y condiciones de decisión</w:t>
      </w:r>
    </w:p>
    <w:p w:rsidR="00000000" w:rsidDel="00000000" w:rsidP="00000000" w:rsidRDefault="00000000" w:rsidRPr="00000000" w14:paraId="0000042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42C">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bCs w:val="1"/>
          <w:b w:val="1"/>
          <w:sz w:val="24"/>
          <w:szCs w:val="24"/>
        </w:rPr>
        <w:t>Tabla 37</w:t>
      </w:r>
    </w:p>
    <w:p w:rsidR="00000000" w:rsidDel="00000000" w:rsidP="00000000" w:rsidRDefault="00000000" w:rsidRPr="00000000" w14:paraId="0000042D">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Regla metodológica de decisión para la adaptación al dominio</w:t>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440">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450">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17.1.10. Supuestos, riesgos de validez y consideraciones ético-legales</w:t>
      </w:r>
    </w:p>
    <w:p w:rsidR="00000000" w:rsidDel="00000000" w:rsidP="00000000" w:rsidRDefault="00000000" w:rsidRPr="00000000" w14:paraId="00000451">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17.1.10.1. Política de minimización y uso asistivo</w:t>
      </w:r>
    </w:p>
    <w:p w:rsidR="00000000" w:rsidDel="00000000" w:rsidP="00000000" w:rsidRDefault="00000000" w:rsidRPr="00000000" w14:paraId="000004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r>
        <w:rPr>
          <w:rFonts w:ascii="Times New Roman" w:cs="Times New Roman" w:eastAsia="Times New Roman" w:hAnsi="Times New Roman"/>
          <w:sz w:val="24"/>
          <w:szCs w:val="24"/>
          <w:rtl w:val="0"/>
        </w:rPr>
        <w:t xml:space="preserve"> Ese régimen prevé, además, la inscripción de las bases de datos con datos personales ante la autoridad de aplicación (AAIP); su aplicabilidad al material experimental del proyecto y el recaudo adoptado se documentan a continuación.</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[[PENDIENTE: definir con el equipo la aplicabilidad de esta inscripción al contexto experimental y documentar el recaudo adoptado en §17.1 y §17.4.]]</w:t>
      </w:r>
    </w:p>
    <w:p w:rsidR="00000000" w:rsidDel="00000000" w:rsidP="00000000" w:rsidRDefault="00000000" w:rsidRPr="00000000" w14:paraId="00000453">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17.1.10.2. Supuestos de interpretación</w:t>
      </w:r>
    </w:p>
    <w:p w:rsidR="00000000" w:rsidDel="00000000" w:rsidP="00000000" w:rsidRDefault="00000000" w:rsidRPr="00000000" w14:paraId="0000045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w:t>
      </w:r>
    </w:p>
    <w:p w:rsidR="00000000" w:rsidDel="00000000" w:rsidP="00000000" w:rsidRDefault="00000000" w:rsidRPr="00000000" w14:paraId="00000455">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bCs w:val="1"/>
          <w:b w:val="1"/>
          <w:sz w:val="24"/>
          <w:szCs w:val="24"/>
        </w:rPr>
        <w:t>Tabla 38</w:t>
      </w:r>
    </w:p>
    <w:p w:rsidR="00000000" w:rsidDel="00000000" w:rsidP="00000000" w:rsidRDefault="00000000" w:rsidRPr="00000000" w14:paraId="00000456">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Riesgos metodológicos y operativos relevantes para las instancias siguientes</w:t>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minimización, acceso restringido y registro explícito de finalidad y condiciones de captura.</w:t>
            </w:r>
          </w:p>
        </w:tc>
      </w:tr>
    </w:tbl>
    <w:p w:rsidR="00000000" w:rsidDel="00000000" w:rsidP="00000000" w:rsidRDefault="00000000" w:rsidRPr="00000000" w14:paraId="0000046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Pr>
          <w:rFonts w:ascii="Times New Roman" w:hAnsi="Times New Roman" w:eastAsia="Times New Roman" w:cs="Times New Roman"/>
          <w:iCs w:val="1"/>
          <w:i w:val="1"/>
          <w:sz w:val="24"/>
          <w:szCs w:val="24"/>
        </w:rPr>
        <w:t xml:space="preserve">Nota</w:t>
      </w:r>
      <w:r>
        <w:rPr>
          <w:rFonts w:ascii="Times New Roman" w:hAnsi="Times New Roman" w:eastAsia="Times New Roman" w:cs="Times New Roman"/>
          <w:iCs w:val="1"/>
          <w:i w:val="1"/>
          <w:sz w:val="24"/>
          <w:szCs w:val="24"/>
        </w:rPr>
        <w:t xml:space="preserve">. </w:t>
      </w:r>
      <w:r>
        <w:rPr>
          <w:rFonts w:ascii="Times New Roman" w:hAnsi="Times New Roman" w:eastAsia="Times New Roman" w:cs="Times New Roman"/>
          <w:sz w:val="24"/>
          <w:szCs w:val="24"/>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6A">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17.1.11. Conclusiones parciales de la consolidación metodológica</w:t>
      </w:r>
    </w:p>
    <w:p w:rsidR="00000000" w:rsidDel="00000000" w:rsidP="00000000" w:rsidRDefault="00000000" w:rsidRPr="00000000" w14:paraId="0000046B">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17.1.11.1. Cierre del alcance metodológico</w:t>
      </w:r>
    </w:p>
    <w:p w:rsidR="00000000" w:rsidDel="00000000" w:rsidP="00000000" w:rsidRDefault="00000000" w:rsidRPr="00000000" w14:paraId="000004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6D">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17.1.11.2. Articulación con las instancias de diseño e implementación</w:t>
      </w:r>
    </w:p>
    <w:p w:rsidR="00000000" w:rsidDel="00000000" w:rsidP="00000000" w:rsidRDefault="00000000" w:rsidRPr="00000000" w14:paraId="000004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42">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Pr>
          <w:rFonts w:ascii="Times New Roman" w:hAnsi="Times New Roman" w:eastAsia="Times New Roman" w:cs="Times New Roman"/>
          <w:sz w:val="24"/>
          <w:szCs w:val="24"/>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hAnsi="Times New Roman" w:eastAsia="Times New Roman" w:cs="Times New Roman"/>
          <w:sz w:val="24"/>
          <w:szCs w:val="24"/>
        </w:rPr>
        <w:t xml:space="preserve"> y los criterios con los que se interpreta la evaluación.</w:t>
      </w:r>
    </w:p>
    <w:p w:rsidR="00000000" w:rsidDel="00000000" w:rsidP="00000000" w:rsidRDefault="00000000" w:rsidRPr="00000000" w14:paraId="000004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experimental consolidado</w:t>
      </w:r>
      <w:r w:rsidDel="00000000" w:rsidR="00000000" w:rsidRPr="00000000">
        <w:rPr>
          <w:rFonts w:ascii="Times New Roman" w:cs="Times New Roman" w:eastAsia="Times New Roman" w:hAnsi="Times New Roman"/>
          <w:sz w:val="24"/>
          <w:szCs w:val="24"/>
          <w:rtl w:val="0"/>
        </w:rPr>
        <w:t xml:space="preserve">. Establece la frontera inicial del prototipo experimental y permite priorizar el núcleo obligatorio sin convertir las extensiones condicionadas en requisitos bloqueantes. En la etapa de diseño, orienta qué capacidades deben implementarse primero y cuáles deben quedar previstas como ampliaciones posibles. En la validación, define qué condiciones integran el plano principal de evaluación y evita interpretar capacidades exploratorias como resultados plenamente validados.</w:t>
      </w:r>
    </w:p>
    <w:p w:rsidR="00000000" w:rsidDel="00000000" w:rsidP="00000000" w:rsidRDefault="00000000" w:rsidRPr="00000000" w14:paraId="000004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Escenarios e infraestructura</w:t>
      </w:r>
      <w:r w:rsidDel="00000000" w:rsidR="00000000" w:rsidRPr="00000000">
        <w:rPr>
          <w:rFonts w:ascii="Times New Roman" w:cs="Times New Roman" w:eastAsia="Times New Roman" w:hAnsi="Times New Roman"/>
          <w:sz w:val="24"/>
          <w:szCs w:val="24"/>
          <w:rtl w:val="0"/>
        </w:rPr>
        <w:t xml:space="preserve">. Fijan el marco operativo en el que deberá interpretarse la viabilidad del sistema. Para el diseño arquitectónico, esto implica organizar la captura, el procesamiento y el eventual entrenamiento alrededor de los roles funcionales CPN, EN y TN. Para la validación, permite diferenciar la lectura de resultados entre DBE y EBE, evitando mezclar la estabilidad de una evaluación basada en datos controlados con la variabilidad propia de una captura o transmisión continua.</w:t>
      </w:r>
    </w:p>
    <w:p w:rsidR="00000000" w:rsidDel="00000000" w:rsidP="00000000" w:rsidRDefault="00000000" w:rsidRPr="00000000" w14:paraId="000004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datos y partición</w:t>
      </w:r>
      <w:r w:rsidDel="00000000" w:rsidR="00000000" w:rsidRPr="00000000">
        <w:rPr>
          <w:rFonts w:ascii="Times New Roman" w:cs="Times New Roman" w:eastAsia="Times New Roman" w:hAnsi="Times New Roman"/>
          <w:sz w:val="24"/>
          <w:szCs w:val="24"/>
          <w:rtl w:val="0"/>
        </w:rPr>
        <w:t xml:space="preserve">. Condiciona la selección de datasets, la construcción de particiones experimentales y el uso de datos complementarios. Su función es sostener la comparabilidad entre la línea base preentrenada y cualquier variante ajustada al dominio, evitando contaminación entre entrenamiento, validación y prueba. De esta manera, los resultados obtenidos podrán interpretarse como evidencia experimental y no como consecuencia de una partición inconsistente.</w:t>
      </w:r>
    </w:p>
    <w:p w:rsidR="00000000" w:rsidDel="00000000" w:rsidP="00000000" w:rsidRDefault="00000000" w:rsidRPr="00000000" w14:paraId="000004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 de métricas y registro</w:t>
      </w:r>
      <w:r w:rsidDel="00000000" w:rsidR="00000000" w:rsidRPr="00000000">
        <w:rPr>
          <w:rFonts w:ascii="Times New Roman" w:cs="Times New Roman" w:eastAsia="Times New Roman" w:hAnsi="Times New Roman"/>
          <w:sz w:val="24"/>
          <w:szCs w:val="24"/>
          <w:rtl w:val="0"/>
        </w:rPr>
        <w:t xml:space="preserve">. Define qué evidencia mínima deberá producir el prototipo. En la etapa de diseño, guía la instrumentación de timestamps, logs, eventos, métricas por tramo y salidas del pipeline. En la validación, establece qué debe reportarse para analizar detección, rendimiento, latencia, persistencia temporal y alertas. Las métricas se reportarán cuando existan datos, módulos e instrumentación suficientes, y se declararán no aplicables cuando esas condiciones no estén presentes.</w:t>
      </w:r>
    </w:p>
    <w:p w:rsidR="00000000" w:rsidDel="00000000" w:rsidP="00000000" w:rsidRDefault="00000000" w:rsidRPr="00000000" w14:paraId="000004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adaptación al dominio</w:t>
      </w:r>
      <w:r w:rsidDel="00000000" w:rsidR="00000000" w:rsidRPr="00000000">
        <w:rPr>
          <w:rFonts w:ascii="Times New Roman" w:cs="Times New Roman" w:eastAsia="Times New Roman" w:hAnsi="Times New Roman"/>
          <w:sz w:val="24"/>
          <w:szCs w:val="24"/>
          <w:rtl w:val="0"/>
        </w:rPr>
        <w:t xml:space="preserve">. Ordena la posible incorporación de fine-tuning o variantes ajustadas. Esta adaptación no constituye un punto de partida obligatorio, sino una comparación condicionada a la existencia de datos suficientes, partición válida y una línea base preentrenada previamente evaluada. Su propósito es permitir una lectura controlada de mejoras o degradaciones frente al enfoque zero-shot, sin sobredimensionar el alcance real del prototipo experimental.</w:t>
      </w:r>
    </w:p>
    <w:p w:rsidR="00000000" w:rsidDel="00000000" w:rsidP="00000000" w:rsidRDefault="00000000" w:rsidRPr="00000000" w14:paraId="00000474">
      <w:pPr>
        <w:spacing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Supuestos y riesgos de validez</w:t>
      </w:r>
      <w:r w:rsidDel="00000000" w:rsidR="00000000" w:rsidRPr="00000000">
        <w:rPr>
          <w:rFonts w:ascii="Times New Roman" w:cs="Times New Roman" w:eastAsia="Times New Roman" w:hAnsi="Times New Roman"/>
          <w:sz w:val="24"/>
          <w:szCs w:val="24"/>
          <w:rtl w:val="0"/>
        </w:rPr>
        <w:t xml:space="preserve">. Delimitan cómo deben interpretarse los resultados futuros. En el diseño, obligan a construir módulos y pruebas dentro del alcance declarado. En la validación, evitan extrapolar evidencia parcial como si constituyera una validación plena del sistema. Esta precaución preserva el carácter experimental del trabajo y mantiene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r w:rsidDel="00000000" w:rsidR="00000000" w:rsidRPr="00000000">
        <w:rPr>
          <w:rtl w:val="0"/>
        </w:rPr>
      </w:r>
    </w:p>
    <w:sectPr>
      <w:type w:val="nextPage"/>
      <w:pgSz w:h="16834" w:w="11909"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