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d6j6uxumwbfu" w:id="0"/>
      <w:bookmarkEnd w:id="0"/>
      <w:r w:rsidDel="00000000" w:rsidR="00000000" w:rsidRPr="00000000">
        <w:rPr>
          <w:rFonts w:ascii="Times New Roman" w:cs="Times New Roman" w:eastAsia="Times New Roman" w:hAnsi="Times New Roman"/>
          <w:b w:val="1"/>
          <w:bCs w:val="1"/>
          <w:sz w:val="24"/>
          <w:szCs w:val="24"/>
          <w:rtl w:val="0"/>
        </w:rPr>
        <w:t xml:space="preserve">17. Desarrollo del Producto</w:t>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bookmarkStart w:colFirst="0" w:colLast="0" w:name="_32daw3ryoydf" w:id="1"/>
      <w:bookmarkEnd w:id="1"/>
      <w:r w:rsidDel="00000000" w:rsidR="00000000" w:rsidRPr="00000000">
        <w:rPr>
          <w:rFonts w:ascii="Times New Roman" w:cs="Times New Roman" w:eastAsia="Times New Roman" w:hAnsi="Times New Roman"/>
          <w:b w:val="1"/>
          <w:bCs w:val="1"/>
          <w:sz w:val="24"/>
          <w:szCs w:val="24"/>
          <w:rtl w:val="0"/>
        </w:rPr>
        <w:t xml:space="preserve">17.1. Consolidación Metodológica del Protocolo Experimental</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tbrdy7y0w03o" w:id="2"/>
      <w:bookmarkEnd w:id="2"/>
      <w:r w:rsidDel="00000000" w:rsidR="00000000" w:rsidRPr="00000000">
        <w:rPr>
          <w:rFonts w:ascii="Times New Roman" w:cs="Times New Roman" w:eastAsia="Times New Roman" w:hAnsi="Times New Roman"/>
          <w:b w:val="1"/>
          <w:bCs w:val="1"/>
          <w:sz w:val="24"/>
          <w:szCs w:val="24"/>
          <w:rtl w:val="0"/>
        </w:rPr>
        <w:t xml:space="preserve">17.1.1.</w:t>
        <w:tab/>
        <w:t xml:space="preserve">Función y Alcance de la Consolidación Metodológica</w:t>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bookmarkStart w:colFirst="0" w:colLast="0" w:name="_aq5j9ug3j0nc" w:id="3"/>
      <w:bookmarkEnd w:id="3"/>
      <w:r w:rsidDel="00000000" w:rsidR="00000000" w:rsidRPr="00000000">
        <w:rPr>
          <w:rFonts w:ascii="Times New Roman" w:cs="Times New Roman" w:eastAsia="Times New Roman" w:hAnsi="Times New Roman"/>
          <w:b w:val="1"/>
          <w:bCs w:val="1"/>
          <w:color w:val="000000"/>
          <w:rtl w:val="0"/>
        </w:rPr>
        <w:t xml:space="preserve">17.1.1.1. Función Metodológica Dentro del Trabajo</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bookmarkStart w:colFirst="0" w:colLast="0" w:name="_vk6qhc53d85e" w:id="4"/>
      <w:bookmarkEnd w:id="4"/>
      <w:r w:rsidDel="00000000" w:rsidR="00000000" w:rsidRPr="00000000">
        <w:rPr>
          <w:rFonts w:ascii="Times New Roman" w:cs="Times New Roman" w:eastAsia="Times New Roman" w:hAnsi="Times New Roman"/>
          <w:b w:val="1"/>
          <w:bCs w:val="1"/>
          <w:color w:val="000000"/>
          <w:rtl w:val="0"/>
        </w:rPr>
        <w:t xml:space="preserve">17.1.1.2. Articulación Entre los Desarrollos Metodológicos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bookmarkStart w:colFirst="0" w:colLast="0" w:name="_aaamedpoeahg" w:id="5"/>
      <w:bookmarkEnd w:id="5"/>
      <w:r w:rsidDel="00000000" w:rsidR="00000000" w:rsidRPr="00000000">
        <w:rPr>
          <w:rFonts w:ascii="Times New Roman" w:cs="Times New Roman" w:eastAsia="Times New Roman" w:hAnsi="Times New Roman"/>
          <w:b w:val="1"/>
          <w:bCs w:val="1"/>
          <w:i w:val="1"/>
          <w:iCs w:val="1"/>
          <w:sz w:val="24"/>
          <w:szCs w:val="24"/>
          <w:rtl w:val="0"/>
        </w:rPr>
        <w:t xml:space="preserve">Tabla 16</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f7nhjwq4m0x"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bookmarkStart w:colFirst="0" w:colLast="0" w:name="_1qvjhjnh0qsu" w:id="7"/>
      <w:bookmarkEnd w:id="7"/>
      <w:r w:rsidDel="00000000" w:rsidR="00000000" w:rsidRPr="00000000">
        <w:rPr>
          <w:rFonts w:ascii="Times New Roman" w:cs="Times New Roman" w:eastAsia="Times New Roman" w:hAnsi="Times New Roman"/>
          <w:b w:val="1"/>
          <w:bCs w:val="1"/>
          <w:color w:val="000000"/>
          <w:rtl w:val="0"/>
        </w:rPr>
        <w:t xml:space="preserve">17.1.2.1. Delimitación del Catálogo de Condiciones de Riesgo</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bookmarkStart w:colFirst="0" w:colLast="0" w:name="_p8wz0uik3tmp" w:id="8"/>
      <w:bookmarkEnd w:id="8"/>
      <w:r w:rsidDel="00000000" w:rsidR="00000000" w:rsidRPr="00000000">
        <w:rPr>
          <w:rFonts w:ascii="Times New Roman" w:cs="Times New Roman" w:eastAsia="Times New Roman" w:hAnsi="Times New Roman"/>
          <w:b w:val="1"/>
          <w:bCs w:val="1"/>
          <w:color w:val="000000"/>
          <w:rtl w:val="0"/>
        </w:rPr>
        <w:t xml:space="preserve">17.1.2.2. Núcleo Obligatorio y Extensiones Condicionadas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bookmarkStart w:colFirst="0" w:colLast="0" w:name="_8qjv2imxeq2m" w:id="9"/>
      <w:bookmarkEnd w:id="9"/>
      <w:r w:rsidDel="00000000" w:rsidR="00000000" w:rsidRPr="00000000">
        <w:rPr>
          <w:rFonts w:ascii="Times New Roman" w:cs="Times New Roman" w:eastAsia="Times New Roman" w:hAnsi="Times New Roman"/>
          <w:b w:val="1"/>
          <w:bCs w:val="1"/>
          <w:i w:val="1"/>
          <w:iCs w:val="1"/>
          <w:sz w:val="24"/>
          <w:szCs w:val="24"/>
          <w:rtl w:val="0"/>
        </w:rPr>
        <w:t xml:space="preserve">Tabla 17</w:t>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consolidado de condiciones de riesgo y rol experimental</w:t>
      </w:r>
      <w:r w:rsidDel="00000000" w:rsidR="00000000" w:rsidRPr="00000000">
        <w:rPr>
          <w:rtl w:val="0"/>
        </w:rPr>
      </w:r>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y condición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dominante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Módulos requeridos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metodológico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frame-a-frame;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frame-a-frame;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a datos complementarios y visibilidad suficiente.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exploratoria y condicionada; no bloquea la aceptación del núcleo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a módulo relacional y datos contextuales adecuados.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condicionada; requiere cámara fija o parametrización espacial externa al prompt.</w:t>
            </w:r>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kecbut68yy72"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bookmarkStart w:colFirst="0" w:colLast="0" w:name="_nmprithstomi" w:id="11"/>
      <w:bookmarkEnd w:id="11"/>
      <w:r w:rsidDel="00000000" w:rsidR="00000000" w:rsidRPr="00000000">
        <w:rPr>
          <w:rFonts w:ascii="Times New Roman" w:cs="Times New Roman" w:eastAsia="Times New Roman" w:hAnsi="Times New Roman"/>
          <w:b w:val="1"/>
          <w:bCs w:val="1"/>
          <w:color w:val="000000"/>
          <w:rtl w:val="0"/>
        </w:rPr>
        <w:t xml:space="preserve">17.1.3.1. Patrón de Riesgo Como Unidad de Análisis</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fotograma.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bookmarkStart w:colFirst="0" w:colLast="0" w:name="_6kuqnt2blwj7" w:id="12"/>
      <w:bookmarkEnd w:id="12"/>
      <w:r w:rsidDel="00000000" w:rsidR="00000000" w:rsidRPr="00000000">
        <w:rPr>
          <w:rFonts w:ascii="Times New Roman" w:cs="Times New Roman" w:eastAsia="Times New Roman" w:hAnsi="Times New Roman"/>
          <w:b w:val="1"/>
          <w:bCs w:val="1"/>
          <w:color w:val="000000"/>
          <w:rtl w:val="0"/>
        </w:rPr>
        <w:t xml:space="preserve">17.1.3.2. Cadena Operativa Mínima y Motor de Patrones</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en esta instancia como una abstracción lógica del plano de control. Este componente recibe eventos de detección normalizados, información de tracking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bookmarkStart w:colFirst="0" w:colLast="0" w:name="_yspll22kg7uz" w:id="13"/>
      <w:bookmarkEnd w:id="13"/>
      <w:r w:rsidDel="00000000" w:rsidR="00000000" w:rsidRPr="00000000">
        <w:rPr>
          <w:rFonts w:ascii="Times New Roman" w:cs="Times New Roman" w:eastAsia="Times New Roman" w:hAnsi="Times New Roman"/>
          <w:b w:val="1"/>
          <w:bCs w:val="1"/>
          <w:color w:val="000000"/>
          <w:rtl w:val="0"/>
        </w:rPr>
        <w:t xml:space="preserve">17.1.3.3. Escenarios de Evaluación</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bookmarkStart w:colFirst="0" w:colLast="0" w:name="_drorobmbopgi" w:id="14"/>
      <w:bookmarkEnd w:id="14"/>
      <w:r w:rsidDel="00000000" w:rsidR="00000000" w:rsidRPr="00000000">
        <w:rPr>
          <w:rFonts w:ascii="Times New Roman" w:cs="Times New Roman" w:eastAsia="Times New Roman" w:hAnsi="Times New Roman"/>
          <w:b w:val="1"/>
          <w:bCs w:val="1"/>
          <w:color w:val="000000"/>
          <w:rtl w:val="0"/>
        </w:rPr>
        <w:t xml:space="preserve">17.1.3.4. Decisiones Estructurales del Diseño Metodológico</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bookmarkStart w:colFirst="0" w:colLast="0" w:name="_sgvaddreet1u" w:id="15"/>
      <w:bookmarkEnd w:id="15"/>
      <w:r w:rsidDel="00000000" w:rsidR="00000000" w:rsidRPr="00000000">
        <w:rPr>
          <w:rFonts w:ascii="Times New Roman" w:cs="Times New Roman" w:eastAsia="Times New Roman" w:hAnsi="Times New Roman"/>
          <w:b w:val="1"/>
          <w:bCs w:val="1"/>
          <w:i w:val="1"/>
          <w:iCs w:val="1"/>
          <w:sz w:val="24"/>
          <w:szCs w:val="24"/>
          <w:rtl w:val="0"/>
        </w:rPr>
        <w:t xml:space="preserve">Tabla 18</w:t>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tracks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tracking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npz2ezhf3n7t"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bookmarkStart w:colFirst="0" w:colLast="0" w:name="_goy35mlrioix" w:id="17"/>
      <w:bookmarkEnd w:id="17"/>
      <w:r w:rsidDel="00000000" w:rsidR="00000000" w:rsidRPr="00000000">
        <w:rPr>
          <w:rFonts w:ascii="Times New Roman" w:cs="Times New Roman" w:eastAsia="Times New Roman" w:hAnsi="Times New Roman"/>
          <w:b w:val="1"/>
          <w:bCs w:val="1"/>
          <w:color w:val="000000"/>
          <w:rtl w:val="0"/>
        </w:rPr>
        <w:t xml:space="preserve">17.1.4.1. Introducción y Alcance</w:t>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bookmarkStart w:colFirst="0" w:colLast="0" w:name="_rz08aq1dec" w:id="18"/>
      <w:bookmarkEnd w:id="18"/>
      <w:r w:rsidDel="00000000" w:rsidR="00000000" w:rsidRPr="00000000">
        <w:rPr>
          <w:rFonts w:ascii="Times New Roman" w:cs="Times New Roman" w:eastAsia="Times New Roman" w:hAnsi="Times New Roman"/>
          <w:b w:val="1"/>
          <w:bCs w:val="1"/>
          <w:color w:val="000000"/>
          <w:rtl w:val="0"/>
        </w:rPr>
        <w:t xml:space="preserve">17.1.4.2. Infraestructura de Evaluación</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ivtqwp9qbs46" w:id="19"/>
      <w:bookmarkEnd w:id="19"/>
      <w:r w:rsidDel="00000000" w:rsidR="00000000" w:rsidRPr="00000000">
        <w:rPr>
          <w:rFonts w:ascii="Times New Roman" w:cs="Times New Roman" w:eastAsia="Times New Roman" w:hAnsi="Times New Roman"/>
          <w:b w:val="1"/>
          <w:bCs w:val="1"/>
          <w:color w:val="000000"/>
          <w:sz w:val="24"/>
          <w:szCs w:val="24"/>
          <w:rtl w:val="0"/>
        </w:rPr>
        <w:t xml:space="preserve">17.1.4.2.1. Central Processing Node (CPN)</w:t>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frames, la inferencia open-vocabulary, el postproceso de detecciones, la evaluación de patrones, el registro de alertas internas y la medición de métricas técnicas y operativas.</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etapa inicial del proyecto, el candidato principal para materializar este rol es una laptop HP Victus 15 Gaming, modelo 15-FB2024LA, año de lanzamiento 2024 (HP Inc., s. f.). Este equipo se toma como referencia por contar con una GPU NVIDIA GeForce RTX 4060 para laptop, basada en la arquitectura Ada Lovelace, con 8 GB de VRAM GDDR6, recurso que condiciona el tamaño de los modelos ejecutables, la precisión numérica utilizada, la posibilidad de cuantización y el presupuesto de latencia alcanzable.</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técnicas completas del hardware candidato para el CPN, incluyendo procesador, memoria, GPU, VRAM, sistema operativo y capacidades relevantes para inferencia, se detallan en el Anexo B.</w:t>
      </w:r>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29grtl5hckot" w:id="20"/>
      <w:bookmarkEnd w:id="20"/>
      <w:r w:rsidDel="00000000" w:rsidR="00000000" w:rsidRPr="00000000">
        <w:rPr>
          <w:rFonts w:ascii="Times New Roman" w:cs="Times New Roman" w:eastAsia="Times New Roman" w:hAnsi="Times New Roman"/>
          <w:b w:val="1"/>
          <w:bCs w:val="1"/>
          <w:color w:val="000000"/>
          <w:sz w:val="24"/>
          <w:szCs w:val="24"/>
          <w:rtl w:val="0"/>
        </w:rPr>
        <w:t xml:space="preserve">17.1.4.2.2. Implicancias del NVDEC para el Pipeline de Medios</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decodificación por hardware NVDEC de la RTX 4060 permite descargar la decodificación del flujo de video del CPU a un bloque dedicado del dispositivo, reduciendo la carga de procesamiento en CPU y evitando la necesidad de decodificación por software en ese procesador. En el contexto del Escenario B, donde el CPN recibe un flujo continuo codificado en H.264 o H.265, esta capacidad favorece que el CPU se concentre en tareas de control, transferencia y posprocesamiento, mientras la GPU se destina principalmente al preprocesamiento y la inferencia del modelo OVD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enx23n6dpnlh" w:id="21"/>
      <w:bookmarkEnd w:id="21"/>
      <w:r w:rsidDel="00000000" w:rsidR="00000000" w:rsidRPr="00000000">
        <w:rPr>
          <w:rFonts w:ascii="Times New Roman" w:cs="Times New Roman" w:eastAsia="Times New Roman" w:hAnsi="Times New Roman"/>
          <w:b w:val="1"/>
          <w:bCs w:val="1"/>
          <w:color w:val="000000"/>
          <w:sz w:val="24"/>
          <w:szCs w:val="24"/>
          <w:rtl w:val="0"/>
        </w:rPr>
        <w:t xml:space="preserve">17.1.4.2.3. Edge Node (EN) y Dispositivo de Captura Candidato</w:t>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candidato principal para materializar este rol se considera la cámara Luxonis OAK-D Pro PoE, dispositivo Series 2 basado en la arquitectura RVC2. El equipo combina captura de video, conectividad de red y capacidad de procesamiento embebido, por lo que constituye una opción técnicamente pertinente para el Escenario B, donde el flujo de video puede transmitirse al CPN a través de la red local. Además, incorpora capacidades diferenciales de interés experimental, como percepción estéreo e iluminación IR, que amplían las posibilidades de evaluación en condiciones visuales diversas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definitiva del dispositivo de captura se realizará durante la implementación, según disponibilidad de hardware, topología adoptada y necesidades de evaluación. La OAK-D Pro PoE se mantiene como candidata preferente, sin descartar cámaras IP convencionales u otras fuentes controladas.</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técnicas completas del dispositivo candidato para el EN, incluyendo sensor, resolución, conectividad, capacidades embebidas y condiciones de uso experimental, se presentan en el Anexo B.</w:t>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viuz7iczn3cn" w:id="22"/>
      <w:bookmarkEnd w:id="22"/>
      <w:r w:rsidDel="00000000" w:rsidR="00000000" w:rsidRPr="00000000">
        <w:rPr>
          <w:rFonts w:ascii="Times New Roman" w:cs="Times New Roman" w:eastAsia="Times New Roman" w:hAnsi="Times New Roman"/>
          <w:b w:val="1"/>
          <w:bCs w:val="1"/>
          <w:color w:val="000000"/>
          <w:sz w:val="24"/>
          <w:szCs w:val="24"/>
          <w:rtl w:val="0"/>
        </w:rPr>
        <w:t xml:space="preserve">17.1.4.2.4. Plan de Contingencia para el EN</w:t>
      </w:r>
      <w:r w:rsidDel="00000000" w:rsidR="00000000" w:rsidRPr="00000000">
        <w:rPr>
          <w:rtl w:val="0"/>
        </w:rPr>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dispositivo seleccionado como EN no pueda cumplir el rol asignado en la topología del Escenario B por limitaciones técnicas no previstas, el plan de contingencia consiste en operar con una cámara IP de CCTV convencional como nodo de captura. En esta configuración, el flujo de video se integrará a la topología que se defina en la instancia de análisis y diseño arquitectónico, ya sea mediante ingesta directa en el CPN o a través de un nodo intermedio que realice funciones de preprocesamiento o adaptación del stream antes de su incorporación al pipeline principal. Esta alternativa elimina la capacidad de inferencia en borde, pero preserva la posibilidad de validar el transporte de video sobre red local y la evaluación del pipeline de extremo a extremo sobre video en tiempo real captado en el entorno físico.</w:t>
      </w:r>
    </w:p>
    <w:p w:rsidR="00000000" w:rsidDel="00000000" w:rsidP="00000000" w:rsidRDefault="00000000" w:rsidRPr="00000000" w14:paraId="0000008A">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jt5m3hpmfff" w:id="23"/>
      <w:bookmarkEnd w:id="23"/>
      <w:r w:rsidDel="00000000" w:rsidR="00000000" w:rsidRPr="00000000">
        <w:rPr>
          <w:rFonts w:ascii="Times New Roman" w:cs="Times New Roman" w:eastAsia="Times New Roman" w:hAnsi="Times New Roman"/>
          <w:b w:val="1"/>
          <w:bCs w:val="1"/>
          <w:color w:val="000000"/>
          <w:sz w:val="24"/>
          <w:szCs w:val="24"/>
          <w:rtl w:val="0"/>
        </w:rPr>
        <w:t xml:space="preserve">17.1.4.2.5. Stack de Software de Inferencia (CPN)</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stack de software del CPN se orienta a la ejecución de los modelos OVD candidatos bajo condiciones de inferencia en tiempo real. Los modelos candidatos para la evaluación experimental son Grounding DINO y YOLOE, seleccionados porque representan polos distintos del trade-off entre expresividad semántica y latencia de inferencia identificado en el análisis de Etapa 1 y retomado como criterio metodológico en la Etapa 2 (Liu et al., 2023; Wang et al., 2025). En coherencia con ese enfoque, el stack propuesto prioriza compatibilidad con los frameworks oficiales de los modelos, soporte para aceleración sobre GPU NVIDIA y apertura suficiente para evaluar distintas rutas de optimización durante la instancia de análisis y diseño arquitectónico. El detalle completo de librerías, frameworks y versiones candidatas se presenta en el Anexo B en la Tabla B.3.</w:t>
      </w:r>
    </w:p>
    <w:p w:rsidR="00000000" w:rsidDel="00000000" w:rsidP="00000000" w:rsidRDefault="00000000" w:rsidRPr="00000000" w14:paraId="0000008C">
      <w:pPr>
        <w:pStyle w:val="Heading4"/>
        <w:spacing w:after="0" w:before="0" w:line="480" w:lineRule="auto"/>
        <w:rPr>
          <w:rFonts w:ascii="Times New Roman" w:cs="Times New Roman" w:eastAsia="Times New Roman" w:hAnsi="Times New Roman"/>
          <w:b w:val="1"/>
          <w:bCs w:val="1"/>
          <w:color w:val="000000"/>
        </w:rPr>
      </w:pPr>
      <w:bookmarkStart w:colFirst="0" w:colLast="0" w:name="_j48r6h8s89ov" w:id="24"/>
      <w:bookmarkEnd w:id="24"/>
      <w:r w:rsidDel="00000000" w:rsidR="00000000" w:rsidRPr="00000000">
        <w:rPr>
          <w:rFonts w:ascii="Times New Roman" w:cs="Times New Roman" w:eastAsia="Times New Roman" w:hAnsi="Times New Roman"/>
          <w:b w:val="1"/>
          <w:bCs w:val="1"/>
          <w:color w:val="000000"/>
          <w:rtl w:val="0"/>
        </w:rPr>
        <w:t xml:space="preserve">17.1.4.3. Adaptación de Modelos al Dominio</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9qyddqkhkg6w" w:id="25"/>
      <w:bookmarkEnd w:id="25"/>
      <w:r w:rsidDel="00000000" w:rsidR="00000000" w:rsidRPr="00000000">
        <w:rPr>
          <w:rFonts w:ascii="Times New Roman" w:cs="Times New Roman" w:eastAsia="Times New Roman" w:hAnsi="Times New Roman"/>
          <w:b w:val="1"/>
          <w:bCs w:val="1"/>
          <w:color w:val="000000"/>
          <w:sz w:val="24"/>
          <w:szCs w:val="24"/>
          <w:rtl w:val="0"/>
        </w:rPr>
        <w:t xml:space="preserve">17.1.4.3.1. Training Node (TN)</w:t>
      </w:r>
      <w:r w:rsidDel="00000000" w:rsidR="00000000" w:rsidRPr="00000000">
        <w:rPr>
          <w:rtl w:val="0"/>
        </w:rPr>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proyecto cuenta con acceso al clúster de cómputo de alto rendimiento Mendieta para las actividades de fine-tuning. Mendieta es administrado por el Centro de Computación de Alto Desempeño de la Universidad Nacional de Córdoba (CCAD-UNC) y dispone de 19 nodos de cómputo. De acuerdo con la tabla oficial de infraestructura del CCAD, es el único clúster del conjunto comparado que incorpora GPUs, con 2 × NVIDIA A30 por nodo, por lo que constituye el recurso institucional pertinente para las tareas de ajuste fino de modelos OVD del proyecto (Centro de Computación de Alto Desempeño, 2026). Sus especificaciones técnicas completas se presentan en la Tabla B.4 del Anexo B.</w:t>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zk7o536u45k" w:id="26"/>
      <w:bookmarkEnd w:id="26"/>
      <w:r w:rsidDel="00000000" w:rsidR="00000000" w:rsidRPr="00000000">
        <w:rPr>
          <w:rFonts w:ascii="Times New Roman" w:cs="Times New Roman" w:eastAsia="Times New Roman" w:hAnsi="Times New Roman"/>
          <w:b w:val="1"/>
          <w:bCs w:val="1"/>
          <w:color w:val="000000"/>
          <w:sz w:val="24"/>
          <w:szCs w:val="24"/>
          <w:rtl w:val="0"/>
        </w:rPr>
        <w:t xml:space="preserve">17.1.4.3.2. Stack de Software de Entrenamiento (TN)</w:t>
      </w:r>
      <w:r w:rsidDel="00000000" w:rsidR="00000000" w:rsidRPr="00000000">
        <w:rPr>
          <w:rtl w:val="0"/>
        </w:rPr>
      </w:r>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stack de software de entrenamiento contempla las herramientas necesarias para preparar datos, ejecutar procesos de ajuste o adaptación de modelos y evaluar variantes entrenadas sobre el dominio de construcción civil. El detalle completo del entorno previsto, incluyendo librerías, frameworks y configuraciones candidatas, se presenta en el Anexo B en la Tabla B.5.</w:t>
      </w:r>
    </w:p>
    <w:p w:rsidR="00000000" w:rsidDel="00000000" w:rsidP="00000000" w:rsidRDefault="00000000" w:rsidRPr="00000000" w14:paraId="0000009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vinqnu9zjte4" w:id="27"/>
      <w:bookmarkEnd w:id="27"/>
      <w:r w:rsidDel="00000000" w:rsidR="00000000" w:rsidRPr="00000000">
        <w:rPr>
          <w:rFonts w:ascii="Times New Roman" w:cs="Times New Roman" w:eastAsia="Times New Roman" w:hAnsi="Times New Roman"/>
          <w:b w:val="1"/>
          <w:bCs w:val="1"/>
          <w:color w:val="000000"/>
          <w:sz w:val="24"/>
          <w:szCs w:val="24"/>
          <w:rtl w:val="0"/>
        </w:rPr>
        <w:t xml:space="preserve">17.1.4.3.3. Flujo de Transferencia y Evaluación</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no participa en la ejecución de los escenarios de evaluación; su rol se limita a la preparación de los modelos que luego serán evaluados en el CPN (y eventualmente en el EN para inferencia ligera). Los modelos candidatos se entrenan en el TN con el subconjunto de entrenamiento definido en la estrategia de datos, benchmarks y partición, los checkpoints resultantes se exportan al formato requerido por el runtime de inferencia del CPN (PyTorch nativo, TensorRT u ONNX), y se evalúan en los Escenarios A y B bajo las mismas condiciones de hardware y software que los modelos preentrenados. Esta separación garantiza que la comparación entre variantes preentrenada y fine-tuned refleje exclusivamente el efecto de la adaptación al dominio.</w:t>
      </w:r>
    </w:p>
    <w:p w:rsidR="00000000" w:rsidDel="00000000" w:rsidP="00000000" w:rsidRDefault="00000000" w:rsidRPr="00000000" w14:paraId="00000095">
      <w:pPr>
        <w:pStyle w:val="Heading4"/>
        <w:spacing w:after="0" w:before="0" w:line="480" w:lineRule="auto"/>
        <w:rPr>
          <w:rFonts w:ascii="Times New Roman" w:cs="Times New Roman" w:eastAsia="Times New Roman" w:hAnsi="Times New Roman"/>
          <w:b w:val="1"/>
          <w:bCs w:val="1"/>
          <w:color w:val="000000"/>
        </w:rPr>
      </w:pPr>
      <w:bookmarkStart w:colFirst="0" w:colLast="0" w:name="_pjjqdkwm2s71" w:id="28"/>
      <w:bookmarkEnd w:id="28"/>
      <w:r w:rsidDel="00000000" w:rsidR="00000000" w:rsidRPr="00000000">
        <w:rPr>
          <w:rFonts w:ascii="Times New Roman" w:cs="Times New Roman" w:eastAsia="Times New Roman" w:hAnsi="Times New Roman"/>
          <w:b w:val="1"/>
          <w:bCs w:val="1"/>
          <w:color w:val="000000"/>
          <w:rtl w:val="0"/>
        </w:rPr>
        <w:t xml:space="preserve">17.1.4.4. Escenarios de Evaluación</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vídeo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097">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oeblusqk3s" w:id="29"/>
      <w:bookmarkEnd w:id="29"/>
      <w:r w:rsidDel="00000000" w:rsidR="00000000" w:rsidRPr="00000000">
        <w:rPr>
          <w:rFonts w:ascii="Times New Roman" w:cs="Times New Roman" w:eastAsia="Times New Roman" w:hAnsi="Times New Roman"/>
          <w:b w:val="1"/>
          <w:bCs w:val="1"/>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24"/>
          <w:szCs w:val="24"/>
        </w:rPr>
      </w:pPr>
      <w:bookmarkStart w:colFirst="0" w:colLast="0" w:name="_tv1suz39b5ve" w:id="30"/>
      <w:bookmarkEnd w:id="30"/>
      <w:r w:rsidDel="00000000" w:rsidR="00000000" w:rsidRPr="00000000">
        <w:rPr>
          <w:rFonts w:ascii="Times New Roman" w:cs="Times New Roman" w:eastAsia="Times New Roman" w:hAnsi="Times New Roman"/>
          <w:b w:val="1"/>
          <w:bCs w:val="1"/>
          <w:i w:val="1"/>
          <w:iCs w:val="1"/>
          <w:sz w:val="24"/>
          <w:szCs w:val="24"/>
          <w:rtl w:val="0"/>
        </w:rPr>
        <w:t xml:space="preserve">Tabla 19</w:t>
      </w: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0460.0" w:type="dxa"/>
        <w:jc w:val="center"/>
        <w:tblLayout w:type="fixed"/>
        <w:tblLook w:val="0400"/>
      </w:tblPr>
      <w:tblGrid>
        <w:gridCol w:w="1800"/>
        <w:gridCol w:w="8660"/>
        <w:tblGridChange w:id="0">
          <w:tblGrid>
            <w:gridCol w:w="1800"/>
            <w:gridCol w:w="86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tracking anotado; la evaluación MOT requiere benchmarks generales complementarios y un protocolo propio de transferencia al dominio.</w:t>
            </w:r>
          </w:p>
        </w:tc>
      </w:tr>
    </w:tbl>
    <w:p w:rsidR="00000000" w:rsidDel="00000000" w:rsidP="00000000" w:rsidRDefault="00000000" w:rsidRPr="00000000" w14:paraId="000000A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C">
      <w:pPr>
        <w:pStyle w:val="Heading5"/>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rprhqun3zceo" w:id="31"/>
      <w:bookmarkEnd w:id="31"/>
      <w:r w:rsidDel="00000000" w:rsidR="00000000" w:rsidRPr="00000000">
        <w:rPr>
          <w:rFonts w:ascii="Times New Roman" w:cs="Times New Roman" w:eastAsia="Times New Roman" w:hAnsi="Times New Roman"/>
          <w:b w:val="1"/>
          <w:bCs w:val="1"/>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opera sobre vídeo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preentrenada y fine-tuned de cada modelo candidato seleccionado tras la evaluación del Escenario A.</w:t>
      </w:r>
    </w:p>
    <w:p w:rsidR="00000000" w:rsidDel="00000000" w:rsidP="00000000" w:rsidRDefault="00000000" w:rsidRPr="00000000" w14:paraId="000000AE">
      <w:pPr>
        <w:spacing w:line="360" w:lineRule="auto"/>
        <w:rPr>
          <w:rFonts w:ascii="Times New Roman" w:cs="Times New Roman" w:eastAsia="Times New Roman" w:hAnsi="Times New Roman"/>
          <w:b w:val="1"/>
          <w:bCs w:val="1"/>
          <w:sz w:val="24"/>
          <w:szCs w:val="24"/>
        </w:rPr>
      </w:pPr>
      <w:bookmarkStart w:colFirst="0" w:colLast="0" w:name="_xtesv32g57sv" w:id="32"/>
      <w:bookmarkEnd w:id="32"/>
      <w:r w:rsidDel="00000000" w:rsidR="00000000" w:rsidRPr="00000000">
        <w:rPr>
          <w:rFonts w:ascii="Times New Roman" w:cs="Times New Roman" w:eastAsia="Times New Roman" w:hAnsi="Times New Roman"/>
          <w:b w:val="1"/>
          <w:bCs w:val="1"/>
          <w:i w:val="1"/>
          <w:iCs w:val="1"/>
          <w:sz w:val="24"/>
          <w:szCs w:val="24"/>
          <w:rtl w:val="0"/>
        </w:rPr>
        <w:t xml:space="preserve">Tabla 20</w:t>
      </w: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tiempo real desde el EN (OAK-D Pro PoE, o cámara IP en contingencia).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opcionalmente inferencia ligera.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E2E completo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5">
      <w:pPr>
        <w:pStyle w:val="Heading4"/>
        <w:spacing w:after="0" w:before="0" w:line="480" w:lineRule="auto"/>
        <w:rPr>
          <w:rFonts w:ascii="Times New Roman" w:cs="Times New Roman" w:eastAsia="Times New Roman" w:hAnsi="Times New Roman"/>
          <w:b w:val="1"/>
          <w:bCs w:val="1"/>
          <w:color w:val="000000"/>
        </w:rPr>
      </w:pPr>
      <w:bookmarkStart w:colFirst="0" w:colLast="0" w:name="_3jh4tjs7dscm" w:id="33"/>
      <w:bookmarkEnd w:id="33"/>
      <w:r w:rsidDel="00000000" w:rsidR="00000000" w:rsidRPr="00000000">
        <w:rPr>
          <w:rFonts w:ascii="Times New Roman" w:cs="Times New Roman" w:eastAsia="Times New Roman" w:hAnsi="Times New Roman"/>
          <w:b w:val="1"/>
          <w:bCs w:val="1"/>
          <w:color w:val="000000"/>
          <w:rtl w:val="0"/>
        </w:rPr>
        <w:t xml:space="preserve">17.1.4.5. Parámetros Operativos de Referencia</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ubtn446bbtn0" w:id="34"/>
      <w:bookmarkEnd w:id="34"/>
      <w:r w:rsidDel="00000000" w:rsidR="00000000" w:rsidRPr="00000000">
        <w:rPr>
          <w:rFonts w:ascii="Times New Roman" w:cs="Times New Roman" w:eastAsia="Times New Roman" w:hAnsi="Times New Roman"/>
          <w:b w:val="1"/>
          <w:bCs w:val="1"/>
          <w:color w:val="000000"/>
          <w:sz w:val="24"/>
          <w:szCs w:val="24"/>
          <w:rtl w:val="0"/>
        </w:rPr>
        <w:t xml:space="preserve">17.1.4.5.1. Parámetros de referencia del pipeline</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de referencia del pipeline resumen las condiciones operativas previstas para las primeras instancias de evaluación, incluyendo aspectos vinculados con entrada de vídeo, frecuencia de procesamiento, resolución, modalidad de inferencia y registro de resultados. Los valores orientativos se presentan en el Anexo B en la Tabla B.6</w:t>
      </w:r>
    </w:p>
    <w:p w:rsidR="00000000" w:rsidDel="00000000" w:rsidP="00000000" w:rsidRDefault="00000000" w:rsidRPr="00000000" w14:paraId="000000C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jzugczklxm2b" w:id="35"/>
      <w:bookmarkEnd w:id="35"/>
      <w:r w:rsidDel="00000000" w:rsidR="00000000" w:rsidRPr="00000000">
        <w:rPr>
          <w:rFonts w:ascii="Times New Roman" w:cs="Times New Roman" w:eastAsia="Times New Roman" w:hAnsi="Times New Roman"/>
          <w:b w:val="1"/>
          <w:bCs w:val="1"/>
          <w:color w:val="000000"/>
          <w:sz w:val="24"/>
          <w:szCs w:val="24"/>
          <w:rtl w:val="0"/>
        </w:rPr>
        <w:t xml:space="preserve">17.1.4.5.2. Transporte de Video en el Escenario B</w:t>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Escenario B, el transporte de video permite evaluar el comportamiento del sistema cuando la captura y el procesamiento no se encuentran concentrados en el mismo nodo. Este escenario introduce condiciones más cercanas a una operación distribuida, ya que el flujo visual debe ser transmitido desde el EN hacia el CPN a través de la red local antes de ser procesado por el pipeline de inferencia. La topología de red prevista y sus parámetros asociados se detallan en el Anexo B en la Tabla B.7.</w:t>
      </w:r>
    </w:p>
    <w:p w:rsidR="00000000" w:rsidDel="00000000" w:rsidP="00000000" w:rsidRDefault="00000000" w:rsidRPr="00000000" w14:paraId="000000CB">
      <w:pPr>
        <w:pStyle w:val="Heading4"/>
        <w:spacing w:after="0" w:before="0" w:line="480" w:lineRule="auto"/>
        <w:rPr>
          <w:rFonts w:ascii="Times New Roman" w:cs="Times New Roman" w:eastAsia="Times New Roman" w:hAnsi="Times New Roman"/>
          <w:b w:val="1"/>
          <w:bCs w:val="1"/>
          <w:color w:val="000000"/>
        </w:rPr>
      </w:pPr>
      <w:bookmarkStart w:colFirst="0" w:colLast="0" w:name="_f8jqo7hlb6kw" w:id="36"/>
      <w:bookmarkEnd w:id="36"/>
      <w:r w:rsidDel="00000000" w:rsidR="00000000" w:rsidRPr="00000000">
        <w:rPr>
          <w:rFonts w:ascii="Times New Roman" w:cs="Times New Roman" w:eastAsia="Times New Roman" w:hAnsi="Times New Roman"/>
          <w:b w:val="1"/>
          <w:bCs w:val="1"/>
          <w:color w:val="000000"/>
          <w:rtl w:val="0"/>
        </w:rPr>
        <w:t xml:space="preserve">17.1.4.6. Restricciones y Condicionantes del Entorno Experimental</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0CD">
      <w:pPr>
        <w:spacing w:line="360" w:lineRule="auto"/>
        <w:rPr>
          <w:rFonts w:ascii="Times New Roman" w:cs="Times New Roman" w:eastAsia="Times New Roman" w:hAnsi="Times New Roman"/>
          <w:b w:val="1"/>
          <w:bCs w:val="1"/>
          <w:i w:val="1"/>
          <w:iCs w:val="1"/>
          <w:sz w:val="24"/>
          <w:szCs w:val="24"/>
        </w:rPr>
      </w:pPr>
      <w:bookmarkStart w:colFirst="0" w:colLast="0" w:name="_pg4dh6odabng" w:id="37"/>
      <w:bookmarkEnd w:id="37"/>
      <w:r w:rsidDel="00000000" w:rsidR="00000000" w:rsidRPr="00000000">
        <w:rPr>
          <w:rFonts w:ascii="Times New Roman" w:cs="Times New Roman" w:eastAsia="Times New Roman" w:hAnsi="Times New Roman"/>
          <w:b w:val="1"/>
          <w:bCs w:val="1"/>
          <w:i w:val="1"/>
          <w:iCs w:val="1"/>
          <w:sz w:val="24"/>
          <w:szCs w:val="24"/>
          <w:rtl w:val="0"/>
        </w:rPr>
        <w:t xml:space="preserve">Tabla 21</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 como SO base del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cuDNN, TensorRT y demás runtimes deben ser compatibles con Windows. En caso de adoptarse DeepStream, su integración deberá evaluarse en la instancia de análisis y diseño arquitectónico mediante la vía correspondiente sobre WSL2.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tracking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de latencia G2A de 50–250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cluster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fine-tuning debe planificarse en función de la disponibilidad efectiva del recurso institucional, lo que puede condicionar la cantidad y secuencia de experimentos realizables.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basada en las especificaciones del hardware disponible, la caracterización del TN y del EN en la presente sección, los criterios metodológicos fijados en la la estrategia de datos, benchmarks y partición y el marco normativo argentino aplicable a protección de datos personales y videovigilancia.</w:t>
      </w:r>
    </w:p>
    <w:p w:rsidR="00000000" w:rsidDel="00000000" w:rsidP="00000000" w:rsidRDefault="00000000" w:rsidRPr="00000000" w14:paraId="000000EB">
      <w:pPr>
        <w:pStyle w:val="Heading4"/>
        <w:spacing w:after="0" w:before="0" w:line="480" w:lineRule="auto"/>
        <w:rPr>
          <w:rFonts w:ascii="Times New Roman" w:cs="Times New Roman" w:eastAsia="Times New Roman" w:hAnsi="Times New Roman"/>
          <w:b w:val="1"/>
          <w:bCs w:val="1"/>
          <w:color w:val="000000"/>
        </w:rPr>
      </w:pPr>
      <w:bookmarkStart w:colFirst="0" w:colLast="0" w:name="_ejg7a0pw2rb1" w:id="38"/>
      <w:bookmarkEnd w:id="38"/>
      <w:r w:rsidDel="00000000" w:rsidR="00000000" w:rsidRPr="00000000">
        <w:rPr>
          <w:rFonts w:ascii="Times New Roman" w:cs="Times New Roman" w:eastAsia="Times New Roman" w:hAnsi="Times New Roman"/>
          <w:b w:val="1"/>
          <w:bCs w:val="1"/>
          <w:color w:val="000000"/>
          <w:rtl w:val="0"/>
        </w:rPr>
        <w:t xml:space="preserve">17.1.4.7. Lectura Metodológica de la Infraestructura Operativa y sus Restricciones</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0E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consecuencia metodológica es que las conclusiones sobre tiempo real, latencia, consumo de recursos y sostenibilidad del pipeline deben anclarse en el CPN: una HP Victus 15 con GPU NVIDIA GeForce RTX 4060 Laptop de 8 GB de VRAM, 32 GB de RAM y Windows 11. Esta restricción orienta la selección de modelos, resolución de entrada, composición del vocabulario activo y runtimes de inferencia.</w:t>
      </w:r>
    </w:p>
    <w:p w:rsidR="00000000" w:rsidDel="00000000" w:rsidP="00000000" w:rsidRDefault="00000000" w:rsidRPr="00000000" w14:paraId="000000EE">
      <w:pPr>
        <w:spacing w:line="360" w:lineRule="auto"/>
        <w:rPr>
          <w:rFonts w:ascii="Times New Roman" w:cs="Times New Roman" w:eastAsia="Times New Roman" w:hAnsi="Times New Roman"/>
          <w:b w:val="1"/>
          <w:bCs w:val="1"/>
          <w:sz w:val="24"/>
          <w:szCs w:val="24"/>
        </w:rPr>
      </w:pPr>
      <w:bookmarkStart w:colFirst="0" w:colLast="0" w:name="_gox79vncylpo"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22</w:t>
      </w: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Infraestructura experimental y función metodológica de cada nodo</w:t>
      </w:r>
      <w:r w:rsidDel="00000000" w:rsidR="00000000" w:rsidRPr="00000000">
        <w:rPr>
          <w:rtl w:val="0"/>
        </w:rPr>
      </w:r>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metodológica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correcta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Victus 15; RTX 4060 Laptop 8 GB; 32 GB RAM; Windows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punto donde debe defenderse la viabilidad operativa del prototipo experimental.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Clúster Mendieta; nodos con 2 x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sustituye la prueba operativa sobre el CPN ni redefine el presupuesto real del sistema.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de captura candidato para el EBE; OAK-D Pro PoE o alternativa IP.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rol exacto depende de la arquitectura final; no debe asumirse capacidad de borde no validada.</w:t>
            </w:r>
          </w:p>
        </w:tc>
      </w:tr>
    </w:tbl>
    <w:p w:rsidR="00000000" w:rsidDel="00000000" w:rsidP="00000000" w:rsidRDefault="00000000" w:rsidRPr="00000000" w14:paraId="0000010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1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impone restricciones explícitas. La VRAM de 8 GB limita el tamaño de los modelos y reduce el margen para batching agresivo o vocabularios extensos. La capacidad de IA en el borde del EN candidato no permite asumir que las variantes OVD principales puedan ejecutarse allí sin simplificaciones. La combinación Windows 11, CUDA y eventuales runtimes como ONNX Runtime, TensorRT o DeepStream vía WSL2 introduce además complejidad de integración que deberá quedar documentada en la bitácora del sistema.</w:t>
      </w:r>
    </w:p>
    <w:p w:rsidR="00000000" w:rsidDel="00000000" w:rsidP="00000000" w:rsidRDefault="00000000" w:rsidRPr="00000000" w14:paraId="0000010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90e13nz3zi9f" w:id="40"/>
      <w:bookmarkEnd w:id="40"/>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3">
      <w:pPr>
        <w:pStyle w:val="Heading4"/>
        <w:spacing w:after="0" w:before="0" w:line="480" w:lineRule="auto"/>
        <w:rPr>
          <w:rFonts w:ascii="Times New Roman" w:cs="Times New Roman" w:eastAsia="Times New Roman" w:hAnsi="Times New Roman"/>
          <w:b w:val="1"/>
          <w:bCs w:val="1"/>
          <w:color w:val="000000"/>
        </w:rPr>
      </w:pPr>
      <w:bookmarkStart w:colFirst="0" w:colLast="0" w:name="_99c9exb59uyf" w:id="41"/>
      <w:bookmarkEnd w:id="41"/>
      <w:r w:rsidDel="00000000" w:rsidR="00000000" w:rsidRPr="00000000">
        <w:rPr>
          <w:rFonts w:ascii="Times New Roman" w:cs="Times New Roman" w:eastAsia="Times New Roman" w:hAnsi="Times New Roman"/>
          <w:b w:val="1"/>
          <w:bCs w:val="1"/>
          <w:color w:val="000000"/>
          <w:rtl w:val="0"/>
        </w:rPr>
        <w:t xml:space="preserve">17.1.5.1. Introducción y Alcance</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 el framework de métricas y a la validación experimental de la validación experimental.</w:t>
      </w:r>
    </w:p>
    <w:p w:rsidR="00000000" w:rsidDel="00000000" w:rsidP="00000000" w:rsidRDefault="00000000" w:rsidRPr="00000000" w14:paraId="00000107">
      <w:pPr>
        <w:pStyle w:val="Heading4"/>
        <w:spacing w:after="0" w:before="0" w:line="480" w:lineRule="auto"/>
        <w:rPr>
          <w:rFonts w:ascii="Times New Roman" w:cs="Times New Roman" w:eastAsia="Times New Roman" w:hAnsi="Times New Roman"/>
          <w:b w:val="1"/>
          <w:bCs w:val="1"/>
          <w:color w:val="000000"/>
        </w:rPr>
      </w:pPr>
      <w:bookmarkStart w:colFirst="0" w:colLast="0" w:name="_90htu6jt8p9b" w:id="42"/>
      <w:bookmarkEnd w:id="42"/>
      <w:r w:rsidDel="00000000" w:rsidR="00000000" w:rsidRPr="00000000">
        <w:rPr>
          <w:rFonts w:ascii="Times New Roman" w:cs="Times New Roman" w:eastAsia="Times New Roman" w:hAnsi="Times New Roman"/>
          <w:b w:val="1"/>
          <w:bCs w:val="1"/>
          <w:color w:val="000000"/>
          <w:rtl w:val="0"/>
        </w:rPr>
        <w:t xml:space="preserve">17.1.5.2. Taxonomía de Condiciones de Riesgo para el Prototipo</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gtik3dr44jjj" w:id="43"/>
      <w:bookmarkEnd w:id="43"/>
      <w:r w:rsidDel="00000000" w:rsidR="00000000" w:rsidRPr="00000000">
        <w:rPr>
          <w:rFonts w:ascii="Times New Roman" w:cs="Times New Roman" w:eastAsia="Times New Roman" w:hAnsi="Times New Roman"/>
          <w:b w:val="1"/>
          <w:bCs w:val="1"/>
          <w:color w:val="000000"/>
          <w:sz w:val="24"/>
          <w:szCs w:val="24"/>
          <w:rtl w:val="0"/>
        </w:rPr>
        <w:t xml:space="preserve">17.1.5.2.1. Criterios de Selección del Subconjunto del Prototipo Experimental</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r33rvmnz8aoh" w:id="44"/>
      <w:bookmarkEnd w:id="44"/>
      <w:r w:rsidDel="00000000" w:rsidR="00000000" w:rsidRPr="00000000">
        <w:rPr>
          <w:rFonts w:ascii="Times New Roman" w:cs="Times New Roman" w:eastAsia="Times New Roman" w:hAnsi="Times New Roman"/>
          <w:b w:val="1"/>
          <w:bCs w:val="1"/>
          <w:color w:val="000000"/>
          <w:sz w:val="24"/>
          <w:szCs w:val="24"/>
          <w:rtl w:val="0"/>
        </w:rPr>
        <w:t xml:space="preserve">17.1.5.2.2. Clasificación por Niveles de Complejidad</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fotograma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fotograma.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fotograma, por ejemplo a través de reglas geométricas de solapamiento, proximidad o posicionamiento relativo entre regiones detectadas. A diferencia del Nivel 3, este tipo de condición no exige aún persistencia temporal ni mantenimiento de identidad entre frames, pero sí introduce una capa adicional de razonamiento espacial intra-frame.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frame-a-frame,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frames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iyopholklets" w:id="45"/>
      <w:bookmarkEnd w:id="45"/>
      <w:r w:rsidDel="00000000" w:rsidR="00000000" w:rsidRPr="00000000">
        <w:rPr>
          <w:rFonts w:ascii="Times New Roman" w:cs="Times New Roman" w:eastAsia="Times New Roman" w:hAnsi="Times New Roman"/>
          <w:b w:val="1"/>
          <w:bCs w:val="1"/>
          <w:color w:val="000000"/>
          <w:sz w:val="24"/>
          <w:szCs w:val="24"/>
          <w:rtl w:val="0"/>
        </w:rPr>
        <w:t xml:space="preserve">17.1.5.2.3. Catálogo de condiciones de riesgo seleccionadas</w:t>
      </w:r>
    </w:p>
    <w:p w:rsidR="00000000" w:rsidDel="00000000" w:rsidP="00000000" w:rsidRDefault="00000000" w:rsidRPr="00000000" w14:paraId="0000011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bookmarkStart w:colFirst="0" w:colLast="0" w:name="_qd0168k3mh87" w:id="46"/>
      <w:bookmarkEnd w:id="46"/>
      <w:r w:rsidDel="00000000" w:rsidR="00000000" w:rsidRPr="00000000">
        <w:rPr>
          <w:rFonts w:ascii="Times New Roman" w:cs="Times New Roman" w:eastAsia="Times New Roman" w:hAnsi="Times New Roman"/>
          <w:b w:val="1"/>
          <w:bCs w:val="1"/>
          <w:i w:val="1"/>
          <w:iCs w:val="1"/>
          <w:sz w:val="24"/>
          <w:szCs w:val="24"/>
          <w:rtl w:val="0"/>
        </w:rPr>
        <w:t xml:space="preserve">Tabla 23</w:t>
      </w: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intra-frame</w:t>
            </w:r>
          </w:p>
        </w:tc>
        <w:tc>
          <w:tcPr>
            <w:tcBorders>
              <w:top w:color="000000" w:space="0" w:sz="0" w:val="nil"/>
              <w:left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“Componente evaluador” indica qué módulos del sistema participan en la evaluación de cada condición. “OVD frame-a-frame” significa que la condición es resoluble con una o más consultas al detector por fotograma. “OVD + contexto espacial intra-frame” indica que se requiere evaluar relaciones geométricas entre detecciones dentro del mismo frame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14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9q90c50gv28" w:id="47"/>
      <w:bookmarkEnd w:id="47"/>
      <w:r w:rsidDel="00000000" w:rsidR="00000000" w:rsidRPr="00000000">
        <w:rPr>
          <w:rFonts w:ascii="Times New Roman" w:cs="Times New Roman" w:eastAsia="Times New Roman" w:hAnsi="Times New Roman"/>
          <w:b w:val="1"/>
          <w:bCs w:val="1"/>
          <w:color w:val="000000"/>
          <w:sz w:val="24"/>
          <w:szCs w:val="24"/>
          <w:rtl w:val="0"/>
        </w:rPr>
        <w:t xml:space="preserve">17.1.5.2.4. Consideraciones sobre Evaluabilidad y Limitaciones</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intra-frame, sino también de la visibilidad efectiva del EPP que debería observarse.</w:t>
      </w:r>
    </w:p>
    <w:p w:rsidR="00000000" w:rsidDel="00000000" w:rsidP="00000000" w:rsidRDefault="00000000" w:rsidRPr="00000000" w14:paraId="000001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F">
      <w:pPr>
        <w:pStyle w:val="Heading4"/>
        <w:spacing w:after="0" w:before="0" w:line="480" w:lineRule="auto"/>
        <w:rPr>
          <w:rFonts w:ascii="Times New Roman" w:cs="Times New Roman" w:eastAsia="Times New Roman" w:hAnsi="Times New Roman"/>
          <w:b w:val="1"/>
          <w:bCs w:val="1"/>
          <w:color w:val="000000"/>
        </w:rPr>
      </w:pPr>
      <w:bookmarkStart w:colFirst="0" w:colLast="0" w:name="_nnpbhuqf8r4k" w:id="48"/>
      <w:bookmarkEnd w:id="48"/>
      <w:r w:rsidDel="00000000" w:rsidR="00000000" w:rsidRPr="00000000">
        <w:rPr>
          <w:rFonts w:ascii="Times New Roman" w:cs="Times New Roman" w:eastAsia="Times New Roman" w:hAnsi="Times New Roman"/>
          <w:b w:val="1"/>
          <w:bCs w:val="1"/>
          <w:color w:val="000000"/>
          <w:rtl w:val="0"/>
        </w:rPr>
        <w:t xml:space="preserve">17.1.5.3. Definición Conceptual de Patrones de Riesgo</w:t>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5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8q8h2hzc5h6r" w:id="49"/>
      <w:bookmarkEnd w:id="49"/>
      <w:r w:rsidDel="00000000" w:rsidR="00000000" w:rsidRPr="00000000">
        <w:rPr>
          <w:rFonts w:ascii="Times New Roman" w:cs="Times New Roman" w:eastAsia="Times New Roman" w:hAnsi="Times New Roman"/>
          <w:b w:val="1"/>
          <w:bCs w:val="1"/>
          <w:color w:val="000000"/>
          <w:sz w:val="24"/>
          <w:szCs w:val="24"/>
          <w:rtl w:val="0"/>
        </w:rPr>
        <w:t xml:space="preserve">17.1.5.3.1. El Patrón de Riesgo como Unidad de Análisis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frames— en eventos operativamente significativos cuya confirmación justifique la generación de una alerta asistiva.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6eys8thakk7z" w:id="50"/>
      <w:bookmarkEnd w:id="50"/>
      <w:r w:rsidDel="00000000" w:rsidR="00000000" w:rsidRPr="00000000">
        <w:rPr>
          <w:rFonts w:ascii="Times New Roman" w:cs="Times New Roman" w:eastAsia="Times New Roman" w:hAnsi="Times New Roman"/>
          <w:b w:val="1"/>
          <w:bCs w:val="1"/>
          <w:color w:val="000000"/>
          <w:sz w:val="24"/>
          <w:szCs w:val="24"/>
          <w:rtl w:val="0"/>
        </w:rPr>
        <w:t xml:space="preserve">17.1.5.3.2. Niveles de Severidad</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alto</w:t>
      </w:r>
      <w:r w:rsidDel="00000000" w:rsidR="00000000" w:rsidRPr="00000000">
        <w:rPr>
          <w:rFonts w:ascii="Times New Roman" w:cs="Times New Roman" w:eastAsia="Times New Roman" w:hAnsi="Times New Roman"/>
          <w:sz w:val="24"/>
          <w:szCs w:val="24"/>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t7ebr5qcrz6" w:id="51"/>
      <w:bookmarkEnd w:id="51"/>
      <w:r w:rsidDel="00000000" w:rsidR="00000000" w:rsidRPr="00000000">
        <w:rPr>
          <w:rFonts w:ascii="Times New Roman" w:cs="Times New Roman" w:eastAsia="Times New Roman" w:hAnsi="Times New Roman"/>
          <w:b w:val="1"/>
          <w:bCs w:val="1"/>
          <w:color w:val="000000"/>
          <w:sz w:val="24"/>
          <w:szCs w:val="24"/>
          <w:rtl w:val="0"/>
        </w:rPr>
        <w:t xml:space="preserve">17.1.5.3.3. Criterios de Persistencia Temporal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fotograma a fotograma. Como se documentó en el análisis de modelos OVD, el componente OVD introduce variabilidad en los puntajes de confianza y puede producir apariciones espurias entre fotogramas consecutivos, por lo que la confirmación temporal constituye una necesidad operativa.</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fotogramas,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framerate real del sistema. En congruencia con el framework de métricas, esta ventana expresa  y no debe confundirse ni con  —subtramo computacional por frame— ni con, que integra además la confirmación operativa del patrón.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Conviene precisar que estos rangos tienen carácter analítico y orientativo. Los valores definitivos se calibrarán empíricamente durante la validación experimental (validación),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1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td55thx5x9oa" w:id="52"/>
      <w:bookmarkEnd w:id="52"/>
      <w:r w:rsidDel="00000000" w:rsidR="00000000" w:rsidRPr="00000000">
        <w:rPr>
          <w:rFonts w:ascii="Times New Roman" w:cs="Times New Roman" w:eastAsia="Times New Roman" w:hAnsi="Times New Roman"/>
          <w:b w:val="1"/>
          <w:bCs w:val="1"/>
          <w:color w:val="000000"/>
          <w:sz w:val="24"/>
          <w:szCs w:val="24"/>
          <w:rtl w:val="0"/>
        </w:rPr>
        <w:t xml:space="preserve">17.1.5.3.4. Operacionalización Preliminar del Motor de Patrones</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tracking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frame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frames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intra-frame,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de estado y evita alertas repetidas sobre una misma situación.</w:t>
      </w:r>
    </w:p>
    <w:p w:rsidR="00000000" w:rsidDel="00000000" w:rsidP="00000000" w:rsidRDefault="00000000" w:rsidRPr="00000000" w14:paraId="000001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experimental deberá implementarla en el prototipo experimental;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16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p7mv3zc66218" w:id="53"/>
      <w:bookmarkEnd w:id="53"/>
      <w:r w:rsidDel="00000000" w:rsidR="00000000" w:rsidRPr="00000000">
        <w:rPr>
          <w:rFonts w:ascii="Times New Roman" w:cs="Times New Roman" w:eastAsia="Times New Roman" w:hAnsi="Times New Roman"/>
          <w:b w:val="1"/>
          <w:bCs w:val="1"/>
          <w:color w:val="000000"/>
          <w:sz w:val="24"/>
          <w:szCs w:val="24"/>
          <w:rtl w:val="0"/>
        </w:rPr>
        <w:t xml:space="preserve">17.1.5.3.5. Catálogo de Patrones de Riesgo</w:t>
      </w:r>
    </w:p>
    <w:p w:rsidR="00000000" w:rsidDel="00000000" w:rsidP="00000000" w:rsidRDefault="00000000" w:rsidRPr="00000000" w14:paraId="0000016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bookmarkStart w:colFirst="0" w:colLast="0" w:name="_jsd2zh39qs2c" w:id="54"/>
      <w:bookmarkEnd w:id="54"/>
      <w:r w:rsidDel="00000000" w:rsidR="00000000" w:rsidRPr="00000000">
        <w:rPr>
          <w:rFonts w:ascii="Times New Roman" w:cs="Times New Roman" w:eastAsia="Times New Roman" w:hAnsi="Times New Roman"/>
          <w:b w:val="1"/>
          <w:bCs w:val="1"/>
          <w:i w:val="1"/>
          <w:iCs w:val="1"/>
          <w:sz w:val="24"/>
          <w:szCs w:val="24"/>
          <w:rtl w:val="0"/>
        </w:rPr>
        <w:t xml:space="preserve">Tabla 24</w:t>
      </w: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Ficha-SH, el Decreto 911/96 y la Ley 19.587.</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xwiegjcfvmhd" w:id="55"/>
      <w:bookmarkEnd w:id="55"/>
      <w:r w:rsidDel="00000000" w:rsidR="00000000" w:rsidRPr="00000000">
        <w:rPr>
          <w:rFonts w:ascii="Times New Roman" w:cs="Times New Roman" w:eastAsia="Times New Roman" w:hAnsi="Times New Roman"/>
          <w:b w:val="1"/>
          <w:bCs w:val="1"/>
          <w:color w:val="000000"/>
          <w:sz w:val="24"/>
          <w:szCs w:val="24"/>
          <w:rtl w:val="0"/>
        </w:rPr>
        <w:t xml:space="preserve">17.1.5.3.6. Criterios de Activación Combinada para Condiciones de Nivel 3</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frames consecutivos.</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track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qcods13ynmlr" w:id="56"/>
      <w:bookmarkEnd w:id="56"/>
      <w:r w:rsidDel="00000000" w:rsidR="00000000" w:rsidRPr="00000000">
        <w:rPr>
          <w:rFonts w:ascii="Times New Roman" w:cs="Times New Roman" w:eastAsia="Times New Roman" w:hAnsi="Times New Roman"/>
          <w:b w:val="1"/>
          <w:bCs w:val="1"/>
          <w:color w:val="000000"/>
          <w:sz w:val="24"/>
          <w:szCs w:val="24"/>
          <w:rtl w:val="0"/>
        </w:rPr>
        <w:t xml:space="preserve">17.1.5.3.7. Frontera Explícita con la Instancia de Análisis y Diseño Arquitectónico</w:t>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track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8">
      <w:pPr>
        <w:pStyle w:val="Heading4"/>
        <w:spacing w:after="0" w:before="0" w:line="480" w:lineRule="auto"/>
        <w:rPr>
          <w:rFonts w:ascii="Times New Roman" w:cs="Times New Roman" w:eastAsia="Times New Roman" w:hAnsi="Times New Roman"/>
          <w:b w:val="1"/>
          <w:bCs w:val="1"/>
          <w:color w:val="000000"/>
        </w:rPr>
      </w:pPr>
      <w:bookmarkStart w:colFirst="0" w:colLast="0" w:name="_umipbw8vi6dc" w:id="57"/>
      <w:bookmarkEnd w:id="57"/>
      <w:r w:rsidDel="00000000" w:rsidR="00000000" w:rsidRPr="00000000">
        <w:rPr>
          <w:rFonts w:ascii="Times New Roman" w:cs="Times New Roman" w:eastAsia="Times New Roman" w:hAnsi="Times New Roman"/>
          <w:b w:val="1"/>
          <w:bCs w:val="1"/>
          <w:color w:val="000000"/>
          <w:rtl w:val="0"/>
        </w:rPr>
        <w:t xml:space="preserve">17.1.5.4. Protocolo de Diseño y Evaluación de Prompts OVD</w:t>
      </w:r>
    </w:p>
    <w:p w:rsidR="00000000" w:rsidDel="00000000" w:rsidP="00000000" w:rsidRDefault="00000000" w:rsidRPr="00000000" w14:paraId="000001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ucab2w562lvt" w:id="58"/>
      <w:bookmarkEnd w:id="58"/>
      <w:r w:rsidDel="00000000" w:rsidR="00000000" w:rsidRPr="00000000">
        <w:rPr>
          <w:rFonts w:ascii="Times New Roman" w:cs="Times New Roman" w:eastAsia="Times New Roman" w:hAnsi="Times New Roman"/>
          <w:b w:val="1"/>
          <w:bCs w:val="1"/>
          <w:color w:val="000000"/>
          <w:sz w:val="24"/>
          <w:szCs w:val="24"/>
          <w:rtl w:val="0"/>
        </w:rPr>
        <w:t xml:space="preserve">17.1.5.4.1. Sensibilidad a la Formulación del Prompt como Variable del Sistema</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zl9zarptypl" w:id="59"/>
      <w:bookmarkEnd w:id="59"/>
      <w:r w:rsidDel="00000000" w:rsidR="00000000" w:rsidRPr="00000000">
        <w:rPr>
          <w:rFonts w:ascii="Times New Roman" w:cs="Times New Roman" w:eastAsia="Times New Roman" w:hAnsi="Times New Roman"/>
          <w:b w:val="1"/>
          <w:bCs w:val="1"/>
          <w:color w:val="000000"/>
          <w:sz w:val="24"/>
          <w:szCs w:val="24"/>
          <w:rtl w:val="0"/>
        </w:rPr>
        <w:t xml:space="preserve">17.1.5.4.2. Estrategia de Variación Sistemática</w:t>
      </w:r>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fotograma,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intra-frame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 </w:t>
      </w:r>
      <w:r w:rsidDel="00000000" w:rsidR="00000000" w:rsidRPr="00000000">
        <w:rPr>
          <w:rFonts w:ascii="Times New Roman" w:cs="Times New Roman" w:eastAsia="Times New Roman" w:hAnsi="Times New Roman"/>
          <w:sz w:val="24"/>
          <w:szCs w:val="24"/>
          <w:rtl w:val="0"/>
        </w:rPr>
        <w:t xml:space="preserve">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frame,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mnhpyidw9uc" w:id="60"/>
      <w:bookmarkEnd w:id="60"/>
      <w:r w:rsidDel="00000000" w:rsidR="00000000" w:rsidRPr="00000000">
        <w:rPr>
          <w:rFonts w:ascii="Times New Roman" w:cs="Times New Roman" w:eastAsia="Times New Roman" w:hAnsi="Times New Roman"/>
          <w:b w:val="1"/>
          <w:bCs w:val="1"/>
          <w:color w:val="000000"/>
          <w:sz w:val="24"/>
          <w:szCs w:val="24"/>
          <w:rtl w:val="0"/>
        </w:rPr>
        <w:t xml:space="preserve">17.1.5.4.3. Consideraciones sobre el Idioma de los Prompts</w:t>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tbfowy2t2h8" w:id="61"/>
      <w:bookmarkEnd w:id="61"/>
      <w:r w:rsidDel="00000000" w:rsidR="00000000" w:rsidRPr="00000000">
        <w:rPr>
          <w:rFonts w:ascii="Times New Roman" w:cs="Times New Roman" w:eastAsia="Times New Roman" w:hAnsi="Times New Roman"/>
          <w:b w:val="1"/>
          <w:bCs w:val="1"/>
          <w:color w:val="000000"/>
          <w:sz w:val="24"/>
          <w:szCs w:val="24"/>
          <w:rtl w:val="0"/>
        </w:rPr>
        <w:t xml:space="preserve">17.1.5.4.4. Catálogo de Prompts Candidatos</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catálogo completo de prompts candidatos y sus variantes se desarrolla en el Anexo C en la Tabla C.1.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dlu0agbsascp" w:id="62"/>
      <w:bookmarkEnd w:id="62"/>
      <w:r w:rsidDel="00000000" w:rsidR="00000000" w:rsidRPr="00000000">
        <w:rPr>
          <w:rFonts w:ascii="Times New Roman" w:cs="Times New Roman" w:eastAsia="Times New Roman" w:hAnsi="Times New Roman"/>
          <w:b w:val="1"/>
          <w:bCs w:val="1"/>
          <w:color w:val="000000"/>
          <w:sz w:val="24"/>
          <w:szCs w:val="24"/>
          <w:rtl w:val="0"/>
        </w:rPr>
        <w:t xml:space="preserve">17.1.5.4.5. Protocolo de Evaluación de Prompts</w:t>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 </w:t>
      </w:r>
      <w:r w:rsidDel="00000000" w:rsidR="00000000" w:rsidRPr="00000000">
        <w:rPr>
          <w:rFonts w:ascii="Times New Roman" w:cs="Times New Roman" w:eastAsia="Times New Roman" w:hAnsi="Times New Roman"/>
          <w:sz w:val="24"/>
          <w:szCs w:val="24"/>
          <w:rtl w:val="0"/>
        </w:rPr>
        <w:t xml:space="preserve">Para cada condición de riesgo, se selecciona un subconjunto del inventario de datasets documentado en la estrategia de datos, benchmarks y partición que contenga imágenes o frames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de esta evaluación comparativa se procurará contar con al menos 200 instancias positivas anotadas por condición, complementadas con casos negativos o imágenes sin la condición objetivo cuando sean necesarios para estimar precisión, falsos positivos y desempeño frente a confusores. Este piso no reemplaza los criterios globales de cobertura definidos en la estrategia de datos, sino que fija un mínimo razonable para comparar variaciones de prompt dentro del proyecto. Si la disponibilidad de datos no permitiera alcanzar ese objetivo, se documentará el tamaño efectivo del subconjunto evaluado y se reportarán intervalos de confianza junto con las métricas obtenidas.</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 </w:t>
      </w:r>
      <w:r w:rsidDel="00000000" w:rsidR="00000000" w:rsidRPr="00000000">
        <w:rPr>
          <w:rFonts w:ascii="Times New Roman" w:cs="Times New Roman" w:eastAsia="Times New Roman" w:hAnsi="Times New Roman"/>
          <w:sz w:val="24"/>
          <w:szCs w:val="24"/>
          <w:rtl w:val="0"/>
        </w:rPr>
        <w:t xml:space="preserve">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 </w:t>
      </w:r>
      <w:r w:rsidDel="00000000" w:rsidR="00000000" w:rsidRPr="00000000">
        <w:rPr>
          <w:rFonts w:ascii="Times New Roman" w:cs="Times New Roman" w:eastAsia="Times New Roman" w:hAnsi="Times New Roman"/>
          <w:sz w:val="24"/>
          <w:szCs w:val="24"/>
          <w:rtl w:val="0"/>
        </w:rPr>
        <w:t xml:space="preserve">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bookmarkStart w:colFirst="0" w:colLast="0" w:name="_f5k9my21inxw" w:id="63"/>
      <w:bookmarkEnd w:id="63"/>
      <w:r w:rsidDel="00000000" w:rsidR="00000000" w:rsidRPr="00000000">
        <w:rPr>
          <w:rFonts w:ascii="Times New Roman" w:cs="Times New Roman" w:eastAsia="Times New Roman" w:hAnsi="Times New Roman"/>
          <w:b w:val="1"/>
          <w:bCs w:val="1"/>
          <w:color w:val="000000"/>
          <w:rtl w:val="0"/>
        </w:rPr>
        <w:t xml:space="preserve">17.1.5.5. Síntesis parcial de condiciones, prompts y variantes de prueba</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 Anexo C. </w:t>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l9636wt6eh8f" w:id="64"/>
      <w:bookmarkEnd w:id="64"/>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bookmarkStart w:colFirst="0" w:colLast="0" w:name="_py783oq9mxqe" w:id="65"/>
      <w:bookmarkEnd w:id="65"/>
      <w:r w:rsidDel="00000000" w:rsidR="00000000" w:rsidRPr="00000000">
        <w:rPr>
          <w:rFonts w:ascii="Times New Roman" w:cs="Times New Roman" w:eastAsia="Times New Roman" w:hAnsi="Times New Roman"/>
          <w:b w:val="1"/>
          <w:bCs w:val="1"/>
          <w:color w:val="000000"/>
          <w:rtl w:val="0"/>
        </w:rPr>
        <w:t xml:space="preserve">17.1.6.1. Introducción y Alcance</w:t>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ti1vg4l37ep5" w:id="66"/>
      <w:bookmarkEnd w:id="66"/>
      <w:r w:rsidDel="00000000" w:rsidR="00000000" w:rsidRPr="00000000">
        <w:rPr>
          <w:rFonts w:ascii="Times New Roman" w:cs="Times New Roman" w:eastAsia="Times New Roman" w:hAnsi="Times New Roman"/>
          <w:b w:val="1"/>
          <w:bCs w:val="1"/>
          <w:color w:val="000000"/>
          <w:sz w:val="24"/>
          <w:szCs w:val="24"/>
          <w:rtl w:val="0"/>
        </w:rPr>
        <w:t xml:space="preserve">17.1.6.1.1. Propósito y Preguntas Rectoras</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16.7.6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ov2y1q3el8m" w:id="67"/>
      <w:bookmarkEnd w:id="67"/>
      <w:r w:rsidDel="00000000" w:rsidR="00000000" w:rsidRPr="00000000">
        <w:rPr>
          <w:rFonts w:ascii="Times New Roman" w:cs="Times New Roman" w:eastAsia="Times New Roman" w:hAnsi="Times New Roman"/>
          <w:b w:val="1"/>
          <w:bCs w:val="1"/>
          <w:color w:val="000000"/>
          <w:sz w:val="24"/>
          <w:szCs w:val="24"/>
          <w:rtl w:val="0"/>
        </w:rPr>
        <w:t xml:space="preserve">17.1.6.1.2. Criterios de Categorización y Exclusión</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 </w:t>
      </w:r>
      <w:r w:rsidDel="00000000" w:rsidR="00000000" w:rsidRPr="00000000">
        <w:rPr>
          <w:rFonts w:ascii="Times New Roman" w:cs="Times New Roman" w:eastAsia="Times New Roman" w:hAnsi="Times New Roman"/>
          <w:sz w:val="24"/>
          <w:szCs w:val="24"/>
          <w:rtl w:val="0"/>
        </w:rPr>
        <w:t xml:space="preserve">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 </w:t>
      </w:r>
      <w:r w:rsidDel="00000000" w:rsidR="00000000" w:rsidRPr="00000000">
        <w:rPr>
          <w:rFonts w:ascii="Times New Roman" w:cs="Times New Roman" w:eastAsia="Times New Roman" w:hAnsi="Times New Roman"/>
          <w:sz w:val="24"/>
          <w:szCs w:val="24"/>
          <w:rtl w:val="0"/>
        </w:rPr>
        <w:t xml:space="preserve">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pep1zje6jj1" w:id="68"/>
      <w:bookmarkEnd w:id="68"/>
      <w:r w:rsidDel="00000000" w:rsidR="00000000" w:rsidRPr="00000000">
        <w:rPr>
          <w:rFonts w:ascii="Times New Roman" w:cs="Times New Roman" w:eastAsia="Times New Roman" w:hAnsi="Times New Roman"/>
          <w:b w:val="1"/>
          <w:bCs w:val="1"/>
          <w:color w:val="000000"/>
          <w:sz w:val="24"/>
          <w:szCs w:val="24"/>
          <w:rtl w:val="0"/>
        </w:rPr>
        <w:t xml:space="preserve">17.1.6.1.3. Criterios Metodológicos de Selección y Evaluación</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bookmarkStart w:colFirst="0" w:colLast="0" w:name="_f6cmdwgtk27l" w:id="69"/>
      <w:bookmarkEnd w:id="69"/>
      <w:r w:rsidDel="00000000" w:rsidR="00000000" w:rsidRPr="00000000">
        <w:rPr>
          <w:rFonts w:ascii="Times New Roman" w:cs="Times New Roman" w:eastAsia="Times New Roman" w:hAnsi="Times New Roman"/>
          <w:b w:val="1"/>
          <w:bCs w:val="1"/>
          <w:i w:val="1"/>
          <w:iCs w:val="1"/>
          <w:sz w:val="24"/>
          <w:szCs w:val="24"/>
          <w:rtl w:val="0"/>
        </w:rPr>
        <w:t xml:space="preserve">Tabla 25</w:t>
      </w: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bookmarkStart w:colFirst="0" w:colLast="0" w:name="_y6orisg7437m" w:id="70"/>
      <w:bookmarkEnd w:id="70"/>
      <w:r w:rsidDel="00000000" w:rsidR="00000000" w:rsidRPr="00000000">
        <w:rPr>
          <w:rFonts w:ascii="Times New Roman" w:cs="Times New Roman" w:eastAsia="Times New Roman" w:hAnsi="Times New Roman"/>
          <w:b w:val="1"/>
          <w:bCs w:val="1"/>
          <w:color w:val="000000"/>
          <w:rtl w:val="0"/>
        </w:rPr>
        <w:t xml:space="preserve">17.1.6.2. Datasets de Gestión Directa (Categoría 1)</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Este grupo reúne las colecciones retenidas como candidatas a gestión directa por su relevancia temática y disponibilidad pública, aunque no todas presentan el mismo grado de certeza sobre formato nativo, licencia o alcance exacto de la versión descargable. Por esa razón, el inventario distingue entre especificaciones verificadas en fuente primaria y aspectos que deberán confirmarse antes de la gestión efectiva en la instancia de análisis y diseño arquitectónico. La decisión final sobre cuáles se descargan, convierten y particionan sigue quedando diferida a esa etapa. </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0z6o9xnrd8n" w:id="71"/>
      <w:bookmarkEnd w:id="71"/>
      <w:r w:rsidDel="00000000" w:rsidR="00000000" w:rsidRPr="00000000">
        <w:rPr>
          <w:rFonts w:ascii="Times New Roman" w:cs="Times New Roman" w:eastAsia="Times New Roman" w:hAnsi="Times New Roman"/>
          <w:b w:val="1"/>
          <w:bCs w:val="1"/>
          <w:color w:val="000000"/>
          <w:sz w:val="24"/>
          <w:szCs w:val="24"/>
          <w:rtl w:val="0"/>
        </w:rPr>
        <w:t xml:space="preserve">17.1.6.2.1. Inventario y Análisis Individual</w:t>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rPr>
      </w:pPr>
      <w:bookmarkStart w:colFirst="0" w:colLast="0" w:name="_fjzqybi8cz17" w:id="72"/>
      <w:bookmarkEnd w:id="72"/>
      <w:r w:rsidDel="00000000" w:rsidR="00000000" w:rsidRPr="00000000">
        <w:rPr>
          <w:rFonts w:ascii="Times New Roman" w:cs="Times New Roman" w:eastAsia="Times New Roman" w:hAnsi="Times New Roman"/>
          <w:b w:val="1"/>
          <w:bCs w:val="1"/>
          <w:i w:val="1"/>
          <w:iCs w:val="1"/>
          <w:sz w:val="24"/>
          <w:szCs w:val="24"/>
          <w:rtl w:val="0"/>
        </w:rPr>
        <w:t xml:space="preserve">Tabla 26</w:t>
      </w:r>
      <w:r w:rsidDel="00000000" w:rsidR="00000000" w:rsidRPr="00000000">
        <w:rPr>
          <w:rtl w:val="0"/>
        </w:rPr>
      </w:r>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candidatos a gestión directa para EPP y dominio construcción</w:t>
      </w:r>
      <w:r w:rsidDel="00000000" w:rsidR="00000000" w:rsidRPr="00000000">
        <w:rPr>
          <w:rtl w:val="0"/>
        </w:rPr>
      </w:r>
    </w:p>
    <w:tbl>
      <w:tblPr>
        <w:tblStyle w:val="Table11"/>
        <w:tblW w:w="10460.0" w:type="dxa"/>
        <w:jc w:val="center"/>
        <w:tblLayout w:type="fixed"/>
        <w:tblLook w:val="0400"/>
      </w:tblPr>
      <w:tblGrid>
        <w:gridCol w:w="1500"/>
        <w:gridCol w:w="1320"/>
        <w:gridCol w:w="2620"/>
        <w:gridCol w:w="1260"/>
        <w:gridCol w:w="1100"/>
        <w:gridCol w:w="1180"/>
        <w:gridCol w:w="1480"/>
        <w:tblGridChange w:id="0">
          <w:tblGrid>
            <w:gridCol w:w="1500"/>
            <w:gridCol w:w="1320"/>
            <w:gridCol w:w="2620"/>
            <w:gridCol w:w="1260"/>
            <w:gridCol w:w="1100"/>
            <w:gridCol w:w="1180"/>
            <w:gridCol w:w="14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Imgs / Inst.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Clases principales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 (Ahmad y Rahimi, 2025)</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8.099 imgs.; 75.994 inst.</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clases (person, helmet, safety-vest, gloves, shoes, glasses y otras partes/elementos de seguridad)</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Pascal VOC a verificar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 CR-02 parcial</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Dominio manufactura/industrial. Sin video. No cubre altura.</w:t>
            </w:r>
          </w:p>
        </w:tc>
      </w:tr>
      <w:tr>
        <w:trPr>
          <w:cantSplit w:val="1"/>
          <w:trHeight w:val="3326" w:hRule="atLeast"/>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5.000 imgs.; ≈75,58k labels</w:t>
            </w:r>
            <w:r w:rsidDel="00000000" w:rsidR="00000000" w:rsidRPr="00000000">
              <w:rPr>
                <w:rtl w:val="0"/>
              </w:rPr>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clases (helmet, head with helmet, person with helmet, head, person without helmet, face)</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casco. Sin color. Sin video.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imgs.; 9.209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clases (person, vest, blue/red/white/yellow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libre declarado; paper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modesto; términos de redistribución del dataset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 (Nath et al., 2020)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1.472 imgs. nominales; versión pública parcial (~770–780 imgs.)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clases base (worker, hat, vest); compliance W/WH/WV/WHV en tareas derivadas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especificada en fuente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pública parcial; alcance exacto de la fracción pública y licencia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 (Dalvi et al., 2025)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 imgs.; 11 clases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clases de PPE, persona y ausencia/incumplimiento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AGPL-3.0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 directas; missing PPE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pequeño. Copyleft fuerte si se redistribuye.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(Wu et al., 2019)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3.174 imgs.; 18.893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clases (blue, white, yellow, red, none)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verificar (cajas + label; benchmark SSD/Caffe)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repositorio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 (incluye ausencia de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casco/color. Sin chaleco. Alcance efectivo de la licencia sobre los datos descargables a confirmar.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SHWD (njvisionpower,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7.581 imgs.; 120.558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clases operativas (hat, person); positivos y negativos para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casco. Sin color. La clase negativa se operacionaliza como person/head sin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 (Duan et al., 2022)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19.846 imgs; 286.201 obj.</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clases (person, helmet, vest, board, wood, rebar, brick, scaffold, handcart, cutter, ebox, hopper, hook, fence, slogan)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abierto documentado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y CR-06 parciales; apoyo contextual 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modela relaciones espaciales ni ausencia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 (An et al., 2021)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41.668 imgs.; 222.861 inst.</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clases de objetos móviles de obra (worker, tower crane, hanging hook, vehicle crane, roller, bulldozer, excavator, truck, loader, pump truck, concrete transport mixer, pile driver, other vehicle)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Multi-type annotation / formato a verificar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 4.0 + términos adicionales; acceso por solicitud</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trabajadores y contexto dinámico de obra; apoyo parcial para CR-05</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EPP ni ausencia de EPP. Acceso condicionado por solicitud y términos adicionales. No modela por sí solo la relación espacial de riesgo.</w:t>
            </w:r>
          </w:p>
        </w:tc>
      </w:tr>
    </w:tbl>
    <w:p w:rsidR="00000000" w:rsidDel="00000000" w:rsidP="00000000" w:rsidRDefault="00000000" w:rsidRPr="00000000" w14:paraId="0000024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“Cobertura” se refiere a la correspondencia directa o parcial con las condiciones de riesgo CR-01–CR-06 definidas en la taxonomía de condiciones de riesgo, patrones y prompts. En Pictor-PPE se distingue entre el tamaño nominal reportado por los autores y la fracción públicamente accesible indicada en la fuente visible. MOCS se incorpora como candidato complementario para contexto de obra y maquinaria, aunque su acceso oficial requiere solicitud previa y no aporta clases de EPP. </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m7kxv96rjsht" w:id="73"/>
      <w:bookmarkEnd w:id="73"/>
      <w:r w:rsidDel="00000000" w:rsidR="00000000" w:rsidRPr="00000000">
        <w:rPr>
          <w:rFonts w:ascii="Times New Roman" w:cs="Times New Roman" w:eastAsia="Times New Roman" w:hAnsi="Times New Roman"/>
          <w:b w:val="1"/>
          <w:bCs w:val="1"/>
          <w:color w:val="000000"/>
          <w:sz w:val="24"/>
          <w:szCs w:val="24"/>
          <w:rtl w:val="0"/>
        </w:rPr>
        <w:t xml:space="preserve">17.1.6.2.2. Mapeo a Condiciones de Riesgo</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siguiente mapeo articula el inventario de candidatos a gestión directa con las seis condiciones de riesgo del catálogo CR-01–CR-06 establecido en la taxonomía de condiciones de riesgo, patrones y prompts. La lectura del mapeo distingue entre cobertura directa de la condición, cobertura parcial de entidades o contexto, y brechas de cobertura visual directa. Esta distinción es necesaria porque, en el proyecto, no todas las condiciones se resuelven del mismo modo: algunas dependen principalmente de detección frame-a-frame, mientras que otras requieren razonamiento espacial intra-frame, definición de regiones de interés o integración con MOT y lógica contextual.</w:t>
        <w:br w:type="textWrapping"/>
        <w:tab/>
        <w:t xml:space="preserve">En todos los casos, la presencia de objetos relevantes en un dataset no equivale necesariamente a una etiqueta nativa del patrón de riesgo completo. Esta distinción resulta especialmente importante para CR-03 y CR-04: la existencia de clases como persona, andamio, plataforma, borde, valla o baranda puede aportar evidencia contextual o entidades auxiliares, pero no alcanza por sí sola para validar trabajo en altura sin sistema anticaídas ni borde elevado desprotegido con personas próximas. Por ello, la tabla diferencia entre datasets que permiten evaluar una condición de manera directa, datasets que sólo aportan componentes visuales parciales para reconstruirla, y condiciones que permanecen como brechas de cobertura dentro del inventario.</w:t>
      </w:r>
    </w:p>
    <w:p w:rsidR="00000000" w:rsidDel="00000000" w:rsidP="00000000" w:rsidRDefault="00000000" w:rsidRPr="00000000" w14:paraId="0000024B">
      <w:pPr>
        <w:spacing w:line="360" w:lineRule="auto"/>
        <w:rPr>
          <w:rFonts w:ascii="Times New Roman" w:cs="Times New Roman" w:eastAsia="Times New Roman" w:hAnsi="Times New Roman"/>
          <w:i w:val="1"/>
          <w:iCs w:val="1"/>
          <w:sz w:val="24"/>
          <w:szCs w:val="24"/>
        </w:rPr>
      </w:pPr>
      <w:bookmarkStart w:colFirst="0" w:colLast="0" w:name="_63dadc2cehqd" w:id="74"/>
      <w:bookmarkEnd w:id="74"/>
      <w:r w:rsidDel="00000000" w:rsidR="00000000" w:rsidRPr="00000000">
        <w:rPr>
          <w:rFonts w:ascii="Times New Roman" w:cs="Times New Roman" w:eastAsia="Times New Roman" w:hAnsi="Times New Roman"/>
          <w:b w:val="1"/>
          <w:bCs w:val="1"/>
          <w:i w:val="1"/>
          <w:iCs w:val="1"/>
          <w:sz w:val="24"/>
          <w:szCs w:val="24"/>
          <w:rtl w:val="0"/>
        </w:rPr>
        <w:t xml:space="preserve">Tabla 27</w:t>
      </w:r>
      <w:r w:rsidDel="00000000" w:rsidR="00000000" w:rsidRPr="00000000">
        <w:rPr>
          <w:rtl w:val="0"/>
        </w:rPr>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Mapeo de condiciones de riesgo a datasets candidatos a gestión directa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 /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Datasets con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 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 o entorno operativo asimilable.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Existe redundancia suficiente para casco y ausencia de casco. Algunas colecciones proveen etiqueta negativa explícita o clases de incumplimiento; en otras, la condición puede reconstruirse de forma indirecta.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maquinaria o circulación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adecuada. CHV y Pictor-PPE aportan persona, chaleco y cumplimiento combinado; Construction-PPE incorpora clases de EPP y ausencia/incumplimiento. SODA contiene helmet/vest/person, pero no etiqueta nativamente la condición de incumplimiento.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 con cobertura directa. SODA puede aportar contexto parcial de obra, pero no anota sistema anticaídas ni condición de altura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No se identificó un dataset del inventario que combine persona en altura, sistema anticaídas y anotación aprovechable para reconstruir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sin baranda, red u otra protección colectiva, con personas próximas.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 con cobertura directa. SODA aporta layout parcial mediante clases como scaffold o fence, pero no anota borde elevado desprotegido como entidad o relación.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La ausencia de protección colectiva y la proximidad de personas al borde requieren información espacial específica no provista de forma nativa por los datasets inventariados.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o vehículo de obra circulando u operando en proximidad de peatones o trabajadores.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 aporta trabajadores y maquinaria/vehículos de obra; SODA aporta personas y elementos de contexto/máquinas de obra.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parcial. La condición completa depende de razonamiento espacial y temporal externo al dataset.</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delimitada, restringida o no habilitada para circulación.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 MOCS puede aportar trabajadores, pero no delimita zonas restringidas ni elementos normativos de acceso.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parcial. La condición requiere polígono externo y regla espacial.</w:t>
            </w:r>
          </w:p>
        </w:tc>
      </w:tr>
    </w:tbl>
    <w:p w:rsidR="00000000" w:rsidDel="00000000" w:rsidP="00000000" w:rsidRDefault="00000000" w:rsidRPr="00000000" w14:paraId="000002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Elaboración propia basada en el catálogo CR-01–CR-06 de la taxonomía de condiciones de riesgo, patrones y prompts y el inventario de la Tabla 26. “Cobertura directa” indica clases o etiquetas suficientes para evaluar la condición con transformación metodológica defendible; “cobertura parcial” indica entidades o contexto útiles, pero no una etiqueta nativa del patrón de riesgo completo.</w:t>
      </w:r>
    </w:p>
    <w:p w:rsidR="00000000" w:rsidDel="00000000" w:rsidP="00000000" w:rsidRDefault="00000000" w:rsidRPr="00000000" w14:paraId="0000026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wr9dyfkbepzx" w:id="75"/>
      <w:bookmarkEnd w:id="75"/>
      <w:r w:rsidDel="00000000" w:rsidR="00000000" w:rsidRPr="00000000">
        <w:rPr>
          <w:rFonts w:ascii="Times New Roman" w:cs="Times New Roman" w:eastAsia="Times New Roman" w:hAnsi="Times New Roman"/>
          <w:b w:val="1"/>
          <w:bCs w:val="1"/>
          <w:color w:val="000000"/>
          <w:sz w:val="24"/>
          <w:szCs w:val="24"/>
          <w:rtl w:val="0"/>
        </w:rPr>
        <w:t xml:space="preserve">17.1.6.2.3. Síntesis de Cobertura Conjunta y Brechas</w:t>
      </w:r>
    </w:p>
    <w:p w:rsidR="00000000" w:rsidDel="00000000" w:rsidP="00000000" w:rsidRDefault="00000000" w:rsidRPr="00000000" w14:paraId="000002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individual de los datasets y su mapeo a condiciones de riesgo permite extraer una conclusión de cobertura agregada. Las condiciones de EPP principales del prototipo experimental —CR-01 persona sin casco y CR-02 persona sin chaleco— cuentan con la cobertura más robusta del inventario. CR-01 presenta una cobertura sólida, respaldada por múltiples colecciones independientes centradas en casco, ausencia de casco y cumplimiento de EPP. CR-02 presenta una cobertura adecuada, aunque menos redundante que CR-01, porque depende de un subconjunto menor de datasets que anotan chaleco, persona y/o combinaciones de cumplimiento.</w:t>
      </w:r>
    </w:p>
    <w:p w:rsidR="00000000" w:rsidDel="00000000" w:rsidP="00000000" w:rsidRDefault="00000000" w:rsidRPr="00000000" w14:paraId="000002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CR-03 —trabajo en altura sin sistema anticaídas visible— y CR-04 —borde elevado desprotegido con personas próximas— mantienen brechas estructurales de cobertura visual directa dentro del inventario actual. No se identifican datasets que combinen, de forma nativa y aprovechable, las entidades, relaciones espaciales y ausencias visuales necesarias para evaluar esas condiciones completas. Por ello, su presencia en el catálogo no debe interpretarse como compromiso de validación plena mediante datasets públicos disponibles, sino como una definición metodológica de condiciones relevantes cuya evaluación queda condicionada a datos complementarios, anotación específica o escenas controladas. En ausencia de ese soporte, sólo corresponde reportar evidencia parcial sobre componentes visuales o reglas espaciales exploratorias, sin atribuir esos resultados al patrón de riesgo completo.</w:t>
      </w:r>
    </w:p>
    <w:p w:rsidR="00000000" w:rsidDel="00000000" w:rsidP="00000000" w:rsidRDefault="00000000" w:rsidRPr="00000000" w14:paraId="000002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CR-05 —maquinaria cerca de peatones— y CR-06 —persona en zona restringida— no carecen por completo de entidades de apoyo. SODA y MOCS aportan contexto de obra, trabajadores, maquinaria o elementos del entorno que pueden ser útiles para aproximar escenarios relacionales. Sin embargo, la condición operativa completa no está anotada como patrón de riesgo nativo y depende de razonamiento composicional externo al dataset, reglas espaciales, definición de regiones de interés o integración con seguimiento temporal.</w:t>
      </w:r>
    </w:p>
    <w:p w:rsidR="00000000" w:rsidDel="00000000" w:rsidP="00000000" w:rsidRDefault="00000000" w:rsidRPr="00000000" w14:paraId="000002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el tamaño nominal de las colecciones candidatas de gestión directa, el inventario reúne aproximadamente entre 88,9 mil y 89,6 mil imágenes si se incluye MOCS como candidato condicionado, según se contabilice sólo la porción públicamente accesible de Pictor-PPE o su tamaño nominal completo. Sin MOCS, el volumen operativo preliminar se ubica aproximadamente entre 47,2 mil y 47,9 mil imágenes. Esta distinción es metodológicamente relevante porque MOCS requiere solicitud previa de acceso y verificación de condiciones de uso antes de poder considerarse efectivamente gestionable en la instancia de análisis y diseño arquitectónico.</w:t>
      </w:r>
    </w:p>
    <w:p w:rsidR="00000000" w:rsidDel="00000000" w:rsidP="00000000" w:rsidRDefault="00000000" w:rsidRPr="00000000" w14:paraId="000002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verse la síntesis de cobertura conjunta por condición de riesgo en la Tabla C.3 del Anexo C.</w:t>
      </w:r>
    </w:p>
    <w:p w:rsidR="00000000" w:rsidDel="00000000" w:rsidP="00000000" w:rsidRDefault="00000000" w:rsidRPr="00000000" w14:paraId="0000027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i8zbwktenhh" w:id="76"/>
      <w:bookmarkEnd w:id="76"/>
      <w:r w:rsidDel="00000000" w:rsidR="00000000" w:rsidRPr="00000000">
        <w:rPr>
          <w:rFonts w:ascii="Times New Roman" w:cs="Times New Roman" w:eastAsia="Times New Roman" w:hAnsi="Times New Roman"/>
          <w:b w:val="1"/>
          <w:bCs w:val="1"/>
          <w:color w:val="000000"/>
          <w:sz w:val="24"/>
          <w:szCs w:val="24"/>
          <w:rtl w:val="0"/>
        </w:rPr>
        <w:t xml:space="preserve">17.1.6.2.4. Análisis de Viabilidad para Fine-Tuning</w:t>
      </w:r>
    </w:p>
    <w:p w:rsidR="00000000" w:rsidDel="00000000" w:rsidP="00000000" w:rsidRDefault="00000000" w:rsidRPr="00000000" w14:paraId="000002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evalúa la aptitud de los datasets de Categoría 1 como posibles insumos para el experimento comparativo de fine-tuning contemplado en el proyecto. Dicho experimento busca determinar si la adaptación de dominio mediante fine-tuning ligero mejora el rendimiento en categorías de seguridad industrial o construcción civil directamente representadas en los datos —categorías vistas— sin degradar la capacidad de generalización open-vocabulary a categorías no entrenadas —categorías no vistas—. La línea base del prototipo experimental opera con modelos preentrenados en modo zero-shot, y el fine-tuning constituye un experimento comparativo acotado, no el eje central del prototipo. El protocolo de evaluación mide ambas dimensiones simultáneamente, conforme a lo establecido en el framework de métricas. La inclusión de un dataset en la Categoría 1 no implica, por sí misma, que sea igualmente apto para fine-tuning. Algunos datasets presentan una correspondencia directa con las condiciones de EPP priorizadas —especialmente CR-01 y CR-02— y pueden funcionar como insumo de entrenamiento o evaluación. Otros aportan principalmente contexto de obra, maquinaria, trabajadores o elementos del entorno, por lo que su utilidad para fine-tuning depende de la estrategia experimental definida en la instancia de análisis y diseño arquitectónico.</w:t>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experimento comparativo de fine-tuning se plantea sobre un máximo de dos modelos. Con base en el análisis de la la sección de entorno experimental, infraestructura y escenarios de evaluación, los modelos priorizados son Grounding DINO y YOLOE, seleccionados por representar los extremos del trade-off entre latencia de inferencia y expresividad semántica identificado en la fundamentación teórica. La confirmación definitiva de cuáles se ajustan efectivamente, qué datasets se emplean como entrenamiento y cuáles se reservan para evaluación corresponde a la instancia de análisis y diseño arquitectónico.</w:t>
      </w:r>
    </w:p>
    <w:p w:rsidR="00000000" w:rsidDel="00000000" w:rsidP="00000000" w:rsidRDefault="00000000" w:rsidRPr="00000000" w14:paraId="000002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se ejecutará en el clúster de cómputo de alto rendimiento Mendieta (CCAD-UNC), mientras que la evaluación e inferencia operativa se realizarán en el hardware local documentado en la sección de entorno experimental, infraestructura y escenarios de evaluación. La presente sección sólo necesita esa distinción funcional; el detalle completo del entorno queda remitido a dicha sección.</w:t>
      </w:r>
    </w:p>
    <w:p w:rsidR="00000000" w:rsidDel="00000000" w:rsidP="00000000" w:rsidRDefault="00000000" w:rsidRPr="00000000" w14:paraId="000002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de Formato de Anotación. </w:t>
      </w:r>
      <w:r w:rsidDel="00000000" w:rsidR="00000000" w:rsidRPr="00000000">
        <w:rPr>
          <w:rFonts w:ascii="Times New Roman" w:cs="Times New Roman" w:eastAsia="Times New Roman" w:hAnsi="Times New Roman"/>
          <w:sz w:val="24"/>
          <w:szCs w:val="24"/>
          <w:rtl w:val="0"/>
        </w:rPr>
        <w:t xml:space="preserve">Los modelos OVD candidatos requieren pipelines de datos distintos. En la implementación Open-GroundingDINO, el entrenamiento se organiza en formato ODVG y la validación se ejecuta sobre COCO. En el caso de YOLOE, la vía operativa considerada por el proyecto es el pipeline de Ultralytics, cuyo formato nativo de trabajo es YOLO y admite datasets previamente convertidos. Esto puede verse con más detalle en la tabla C.4 del Anexo C, donde no se equipara abstractamente a todos los modelos OVD, sino que organiza la compatibilidad de formatos en función de los dos pipelines que esta etapa analiza como alternativas principales para el experimento comparativo.</w:t>
      </w:r>
    </w:p>
    <w:p w:rsidR="00000000" w:rsidDel="00000000" w:rsidP="00000000" w:rsidRDefault="00000000" w:rsidRPr="00000000" w14:paraId="000002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y Suficiencia para Fine-Tuning. </w:t>
      </w:r>
      <w:r w:rsidDel="00000000" w:rsidR="00000000" w:rsidRPr="00000000">
        <w:rPr>
          <w:rFonts w:ascii="Times New Roman" w:cs="Times New Roman" w:eastAsia="Times New Roman" w:hAnsi="Times New Roman"/>
          <w:sz w:val="24"/>
          <w:szCs w:val="24"/>
          <w:rtl w:val="0"/>
        </w:rPr>
        <w:t xml:space="preserve">Como antecedente práctico de ajuste ligero, implementaciones públicas de fine-tuning de Grounding DINO muestran que la adaptación al dominio puede ejecutarse con algunos centenares de imágenes, pero también que el modelo puede sobreajustarse rápidamente si el entrenamiento se prolonga sin control (Mallick, 2025). Asimismo, la implementación Open-GroundingDINO documenta un pipeline de entrenamiento que permite adaptar el modelo a datasets personalizados mediante conversión al formato requerido por dicho entorno (Long y Li, 2023). Sobre esa base —y como decisión metodológica propia del proyecto— se mantiene un rango conservador de 500 a 2.000 imágenes anotadas para el split de entrenamiento destinado al experimento comparativo. Este rango no pretende universalidad: funciona como diseño experimental acotado y deberá validarse empíricamente en la validación experimental.</w:t>
      </w:r>
    </w:p>
    <w:p w:rsidR="00000000" w:rsidDel="00000000" w:rsidP="00000000" w:rsidRDefault="00000000" w:rsidRPr="00000000" w14:paraId="000002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no define todavía el subset de entrenamiento definitivo. Su función es establecer si el inventario cuenta con volumen suficiente para construirlo, manteniendo margen para curación, balance de clases y reserva de conjuntos de evaluación disjuntos. La selección concreta de imágenes, la proporción aportada por cada dataset y la separación final entre entrenamiento, validación y evaluación corresponden a la instancia de análisis y diseño arquitectónico.</w:t>
      </w:r>
    </w:p>
    <w:p w:rsidR="00000000" w:rsidDel="00000000" w:rsidP="00000000" w:rsidRDefault="00000000" w:rsidRPr="00000000" w14:paraId="000002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estrictamente cuantitativo, varios datasets superan holgadamente el rango definido. SODA —19.846 imágenes—, SH17 —8.099 imágenes—, SHWD —7.581 imágenes—, SHEL5K —5.000 imágenes— y GDUT-HWD —3.174 imágenes— ofrecen volumen suficiente para seleccionar subconjuntos curados sin necesidad de utilizar la colección completa (Duan et al., 2022; Ahmad y Rahimi, 2025; NJVisionPower, 2019; Otgonbold et al., 2022; Wu et al., 2019). Esta posibilidad es metodológicamente relevante porque permite controlar balance de clases, calidad de anotación, diversidad visual y separación entre entrenamiento y evaluación.</w:t>
      </w:r>
    </w:p>
    <w:p w:rsidR="00000000" w:rsidDel="00000000" w:rsidP="00000000" w:rsidRDefault="00000000" w:rsidRPr="00000000" w14:paraId="000002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CHV </w:t>
      </w:r>
      <w:r w:rsidDel="00000000" w:rsidR="00000000" w:rsidRPr="00000000">
        <w:rPr>
          <w:rFonts w:ascii="Times New Roman" w:cs="Times New Roman" w:eastAsia="Times New Roman" w:hAnsi="Times New Roman"/>
          <w:sz w:val="24"/>
          <w:szCs w:val="24"/>
          <w:rtl w:val="0"/>
        </w:rPr>
        <w:t xml:space="preserve">—1.330 imágenes— y </w:t>
      </w:r>
      <w:r w:rsidDel="00000000" w:rsidR="00000000" w:rsidRPr="00000000">
        <w:rPr>
          <w:rFonts w:ascii="Times New Roman" w:cs="Times New Roman" w:eastAsia="Times New Roman" w:hAnsi="Times New Roman"/>
          <w:b w:val="1"/>
          <w:bCs w:val="1"/>
          <w:sz w:val="24"/>
          <w:szCs w:val="24"/>
          <w:rtl w:val="0"/>
        </w:rPr>
        <w:t xml:space="preserve">Construction-PPE</w:t>
      </w:r>
      <w:r w:rsidDel="00000000" w:rsidR="00000000" w:rsidRPr="00000000">
        <w:rPr>
          <w:rFonts w:ascii="Times New Roman" w:cs="Times New Roman" w:eastAsia="Times New Roman" w:hAnsi="Times New Roman"/>
          <w:sz w:val="24"/>
          <w:szCs w:val="24"/>
          <w:rtl w:val="0"/>
        </w:rPr>
        <w:t xml:space="preserve"> —1.416 imágenes— se ubican dentro del rango definido para el split de entrenamiento (Wang et al., 2021; Dalvi et al., 2025). Por su tamaño y pertinencia visual, podrían funcionar como insumos de entrenamiento acotado, entrenamiento complementario o evaluación, según la estrategia de partición que se defina en la instancia de análisis y diseño arquitectónico. Pictor-PPE requiere una lectura más cautelosa: su tamaño nominal es de 1.472 imágenes, pero la porción pública preliminarmente identificada se ubica alrededor de 770–780 imágenes (Nath et al., 2020; CIBER Lab, 2020). En ambos escenarios se mantiene dentro del rango operativo, aunque su aporte efectivo deberá confirmarse al momento de la descarga, inspección y curación.</w:t>
      </w:r>
    </w:p>
    <w:p w:rsidR="00000000" w:rsidDel="00000000" w:rsidP="00000000" w:rsidRDefault="00000000" w:rsidRPr="00000000" w14:paraId="000002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MOCS </w:t>
      </w:r>
      <w:r w:rsidDel="00000000" w:rsidR="00000000" w:rsidRPr="00000000">
        <w:rPr>
          <w:rFonts w:ascii="Times New Roman" w:cs="Times New Roman" w:eastAsia="Times New Roman" w:hAnsi="Times New Roman"/>
          <w:sz w:val="24"/>
          <w:szCs w:val="24"/>
          <w:rtl w:val="0"/>
        </w:rPr>
        <w:t xml:space="preserve">—41.668 imágenes— supera ampliamente el rango de entrenamiento, pero no debe interpretarse como volumen disponible automáticamente para fine-tuning (An et al., 2021). Su contribución principal no está vinculada a EPP, sino a trabajadores, maquinaria, vehículos y contexto dinámico de obra. Por ello su eventual uso tendría un rol más probable en tareas de contexto, evaluación relacional o apoyo a condiciones como CR-05, antes que como fuente principal para ajuste de las condiciones de EPP.</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el inventario presenta suficiencia cuantitativa para construir un subset de entrenamiento acotado dentro del rango definido para el experimento comparativo de fine-tuning, especialmente sobre las condiciones de EPP que integran el núcleo del prototipo —CR-01 y CR-02—. Esta suficiencia no debe extenderse automáticamente a las condiciones complejas del catálogo. En particular, CR-03 y CR-04 no quedan resueltas por el volumen total de imágenes disponibles, ya que su validación requiere anotaciones sobre relaciones espaciales, ausencia visible de protecciones y configuración contextual de la escena. Por ello, la decisión de uso no debe basarse sólo en la cantidad de imágenes. La instancia de análisis y diseño arquitectónico deberá priorizar subconjuntos según cobertura efectiva de las condiciones de riesgo, compatibilidad de formato, claridad de licencia, calidad de anotación y necesidad de preservar conjuntos de evaluación estrictamente disjuntos.</w:t>
      </w:r>
    </w:p>
    <w:p w:rsidR="00000000" w:rsidDel="00000000" w:rsidP="00000000" w:rsidRDefault="00000000" w:rsidRPr="00000000" w14:paraId="0000027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fcro547sfay8" w:id="77"/>
      <w:bookmarkEnd w:id="77"/>
      <w:r w:rsidDel="00000000" w:rsidR="00000000" w:rsidRPr="00000000">
        <w:rPr>
          <w:rFonts w:ascii="Times New Roman" w:cs="Times New Roman" w:eastAsia="Times New Roman" w:hAnsi="Times New Roman"/>
          <w:b w:val="1"/>
          <w:bCs w:val="1"/>
          <w:color w:val="000000"/>
          <w:sz w:val="24"/>
          <w:szCs w:val="24"/>
          <w:rtl w:val="0"/>
        </w:rPr>
        <w:t xml:space="preserve">17.1.6.2.5. Análisis Cualitativo de Transferibilidad</w:t>
      </w:r>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de un dataset al escenario operativo objetivo —construcción civil en condiciones típicas argentinas, obra a cielo abierto o semi-cubierta, iluminación diurna predominante— depende de la similitud entre las condiciones visuales capturadas en el dataset y las del entorno real de despliegue. En esta sección, la transferibilidad se analiza de manera cualitativa: no se estima formalmente el domain shift, sino que se identifican las colecciones con mayor proximidad visual, semántica y contextual respecto de las condiciones de riesgo definidas en la taxonomía de condiciones de riesgo, patrones y prompts.</w:t>
      </w:r>
    </w:p>
    <w:p w:rsidR="00000000" w:rsidDel="00000000" w:rsidP="00000000" w:rsidRDefault="00000000" w:rsidRPr="00000000" w14:paraId="000002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del contexto de obra, SODA presenta alta transferibilidad estimada, porque fue construido específicamente sobre escenas de sitios de construcción e incluye trabajadores, materiales, maquinaria y elementos de layout relevantes para interpretar el entorno operativo (Duan et al., 2022). MOCS también resulta pertinente para contexto dinámico de obra, trabajadores y maquinaria en movimiento, aunque su aporte se vincula principalmente con condiciones relacionales como CR-05 y no con las condiciones de EPP (An et al., 2021).</w:t>
      </w:r>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de EPP, CHV y Construction-PPE presentan alta cercanía visual con escenas reales de construcción y son especialmente pertinentes para CR-01 y CR-02, por incluir personas, cascos, chalecos y/o clases explícitas de incumplimiento de EPP (Wang et al., 2021; Dalvi et al., 2025). GDUT-HWD también es transferible para CR-01, dado que se orienta a la detección de uso y color de casco en construcción, aunque no aporta chaleco ni contexto relacional (Wu et al., 2019). SHWD aporta volumen relevante para casco y ausencia de casco, pero su utilidad se concentra en CR-01 (NJVisionPower, 2019).</w:t>
      </w:r>
    </w:p>
    <w:p w:rsidR="00000000" w:rsidDel="00000000" w:rsidP="00000000" w:rsidRDefault="00000000" w:rsidRPr="00000000" w14:paraId="000002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 ofrece la mayor amplitud de clases de seguridad y puede funcionar como puente de dominio para EPP, aunque su dominio primario es manufactura/industria y no construcción civil (Ahmad y Rahimi, 2025). SHEL5K resulta útil para detección de casco y ausencia de casco, pero su cobertura se concentra en CR-01 (Otgonbold et al., 2022). Pictor-PPE es pertinente para combinaciones de cumplimiento casco/chaleco, aunque su aporte debe interpretarse con cautela por la disponibilidad pública parcial de la colección (Nath et al., 2020; CIBER Lab, 2020).</w:t>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la mayor transferibilidad contextual corresponde a SODA y MOCS; la mayor transferibilidad para EPP en construcción corresponde a CHV, Construction-PPE y GDUT-HWD; y la mayor amplitud semántica complementaria corresponde a SH17. SHEL5K, SHWD y Pictor-PPE aportan valor específico para casco o cumplimiento básico de EPP, pero con menor capacidad para representar la complejidad completa del escenario operativo. Esta evaluación no define todavía la asignación final de datasets a entrenamiento o evaluación; esa decisión corresponde a la instancia de análisis y diseño arquitectónico y deberá contrastarse empíricamente en la validación experimental.</w:t>
      </w:r>
    </w:p>
    <w:p w:rsidR="00000000" w:rsidDel="00000000" w:rsidP="00000000" w:rsidRDefault="00000000" w:rsidRPr="00000000" w14:paraId="000002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Estimación de Esfuerzo de Anotación Complementaria. </w:t>
      </w:r>
      <w:r w:rsidDel="00000000" w:rsidR="00000000" w:rsidRPr="00000000">
        <w:rPr>
          <w:rFonts w:ascii="Times New Roman" w:cs="Times New Roman" w:eastAsia="Times New Roman" w:hAnsi="Times New Roman"/>
          <w:sz w:val="24"/>
          <w:szCs w:val="24"/>
          <w:rtl w:val="0"/>
        </w:rPr>
        <w:t xml:space="preserve">El mapeo de la Tabla 27 identificó dos brechas directas de cobertura: CR-03 —trabajo en altura sin sistema anticaídas visible— y CR-04 —borde elevado desprotegido con personas próximas—. En ambos casos, el inventario no ofrece datasets con anotaciones suficientes para reconstruir la condición completa de manera directa. CR-05 y CR-06, en cambio, disponen de cobertura parcial de entidades y contexto mediante SODA y MOCS, pero podrían requerir datos complementarios si la instancia de análisis y diseño arquitectónico decide evaluar con mayor control el razonamiento espacial, la definición de zonas de riesgo o la persistencia temporal.</w:t>
      </w:r>
    </w:p>
    <w:p w:rsidR="00000000" w:rsidDel="00000000" w:rsidP="00000000" w:rsidRDefault="00000000" w:rsidRPr="00000000" w14:paraId="000002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estimación operativa propia del proyecto, si la instancia de análisis y diseño arquitectónico decidiera habilitar una evaluación complementaria sobre condiciones directamente brechadas, se considera un piso exploratorio de 150 a 200 imágenes por condición. Esto equivale a 300 a 400 imágenes totales para CR-03 y CR-04, no como garantía de validación plena, sino como base mínima para ensayar anotaciones, reglas espaciales y criterios de interpretación sobre escenas relevantes. La anotación manual inicial con cajas delimitadoras en formato COCO se estima entre 2 y 5 minutos por imagen, dependiendo de la densidad de objetos, la complejidad de la escena y la cantidad de clases o entidades a etiquetar.</w:t>
      </w:r>
    </w:p>
    <w:p w:rsidR="00000000" w:rsidDel="00000000" w:rsidP="00000000" w:rsidRDefault="00000000" w:rsidRPr="00000000" w14:paraId="000002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rango, el esfuerzo manual inicial se ubicaría aproximadamente entre 10 y 33,3 horas-persona. Si se adopta un escenario promedio de 3,5 minutos por imagen, el esfuerzo esperado para la anotación inicial sería de 17,5 a 23,3 horas-persona. Estos valores son aritméticamente consistentes, pero deben interpretarse como una cota inferior: CR-03 y CR-04 no requieren sólo dibujar cajas, sino también interpretar ausencias visuales, relaciones espaciales y condiciones de contexto.</w:t>
      </w:r>
    </w:p>
    <w:p w:rsidR="00000000" w:rsidDel="00000000" w:rsidP="00000000" w:rsidRDefault="00000000" w:rsidRPr="00000000" w14:paraId="000002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incorporar revisión de calidad, resolución de inconsistencias, refinamiento de criterios y normalización final de formato, el esfuerzo operativo completo podría ubicarse de forma más realista en torno a 20–45 horas-persona, dependiendo de la complejidad de las escenas y del nivel de detalle exigido por el protocolo de evaluación. La Sección 17.1.6.2.6 analiza alternativas —como anotación asistida por modelo, curación de imágenes abiertas o grabación en entorno simulado— que podrían reducir o redistribuir ese esfuerzo.</w:t>
      </w:r>
    </w:p>
    <w:p w:rsidR="00000000" w:rsidDel="00000000" w:rsidP="00000000" w:rsidRDefault="00000000" w:rsidRPr="00000000" w14:paraId="00000285">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5gor4ohkm3d" w:id="78"/>
      <w:bookmarkEnd w:id="78"/>
      <w:r w:rsidDel="00000000" w:rsidR="00000000" w:rsidRPr="00000000">
        <w:rPr>
          <w:rFonts w:ascii="Times New Roman" w:cs="Times New Roman" w:eastAsia="Times New Roman" w:hAnsi="Times New Roman"/>
          <w:b w:val="1"/>
          <w:bCs w:val="1"/>
          <w:color w:val="000000"/>
          <w:sz w:val="24"/>
          <w:szCs w:val="24"/>
          <w:rtl w:val="0"/>
        </w:rPr>
        <w:t xml:space="preserve">17.1.6.2.6. Alternativas para Datos Complementarios</w:t>
      </w:r>
    </w:p>
    <w:p w:rsidR="00000000" w:rsidDel="00000000" w:rsidP="00000000" w:rsidRDefault="00000000" w:rsidRPr="00000000" w14:paraId="000002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directas de cobertura y las necesidades parciales de razonamiento identificadas en el inventario pueden requerir datos complementarios si la instancia de análisis y diseño arquitectónico decide mantener dentro del alcance experimental condiciones para las cuales la cobertura actual es insuficiente o demasiado indirecta. Se presentan a continuación cinco alternativas en orden de preferencia según viabilidad operativa, madurez de las herramientas y alineación con el alcance de un prototipo experimental académico.</w:t>
      </w:r>
    </w:p>
    <w:p w:rsidR="00000000" w:rsidDel="00000000" w:rsidP="00000000" w:rsidRDefault="00000000" w:rsidRPr="00000000" w14:paraId="000002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Anotación asistida por modelo. </w:t>
      </w:r>
      <w:r w:rsidDel="00000000" w:rsidR="00000000" w:rsidRPr="00000000">
        <w:rPr>
          <w:rFonts w:ascii="Times New Roman" w:cs="Times New Roman" w:eastAsia="Times New Roman" w:hAnsi="Times New Roman"/>
          <w:sz w:val="24"/>
          <w:szCs w:val="24"/>
          <w:rtl w:val="0"/>
        </w:rPr>
        <w:t xml:space="preserve">La herramienta Autodistill (Roboflow, 2023, licencia Apache-2.0) permite utilizar modelos OVD como Grounding DINO en modo zero-shot para generar pseudo-anotaciones automáticas sobre imágenes sin etiquetar. El workflow consiste en definir prompts de detección, generar cajas automáticamente y luego revisar y corregir manualmente las predicciones. Esta estrategia transforma la tarea de creación de anotaciones en una tarea de revisión y corrección, reduciendo el esfuerzo estimado en un factor de 2× a 3× según la calidad del modelo sobre las condiciones específicas. Herramientas alternativas con capacidades similares incluyen Grounding SAM (combinación de Grounding DINO con Segment Anything Model) y Label Studio con backends de preanotación automática.</w:t>
      </w:r>
    </w:p>
    <w:p w:rsidR="00000000" w:rsidDel="00000000" w:rsidP="00000000" w:rsidRDefault="00000000" w:rsidRPr="00000000" w14:paraId="000002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augmentation. </w:t>
      </w:r>
      <w:r w:rsidDel="00000000" w:rsidR="00000000" w:rsidRPr="00000000">
        <w:rPr>
          <w:rFonts w:ascii="Times New Roman" w:cs="Times New Roman" w:eastAsia="Times New Roman" w:hAnsi="Times New Roman"/>
          <w:sz w:val="24"/>
          <w:szCs w:val="24"/>
          <w:rtl w:val="0"/>
        </w:rPr>
        <w:t xml:space="preserve">La aplicación de transformaciones sobre imágenes existentes mediante la biblioteca Albumentations (Buslaev et al., 2020) permite ampliar artificialmente la diversidad del conjunto de datos. Las transformaciones más relevantes para el dominio incluyen variaciones de brillo y contraste, rotaciones leves, recortes aleatorios, desenfoque por movimiento y adición de ruido. Esta técnica incrementa la diversidad visual sin requerir imágenes nuevas, pero no resuelve la ausencia de categorías no representadas; su utilidad es complementaria a la anotación de datos originales, no sustitutiva.</w:t>
      </w:r>
    </w:p>
    <w:p w:rsidR="00000000" w:rsidDel="00000000" w:rsidP="00000000" w:rsidRDefault="00000000" w:rsidRPr="00000000" w14:paraId="000002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Curación de imágenes de dominio abierto. </w:t>
      </w:r>
      <w:r w:rsidDel="00000000" w:rsidR="00000000" w:rsidRPr="00000000">
        <w:rPr>
          <w:rFonts w:ascii="Times New Roman" w:cs="Times New Roman" w:eastAsia="Times New Roman" w:hAnsi="Times New Roman"/>
          <w:sz w:val="24"/>
          <w:szCs w:val="24"/>
          <w:rtl w:val="0"/>
        </w:rPr>
        <w:t xml:space="preserve">Plataformas de imágenes abiertas y repositorios académicos contienen material visual de contextos de construcción que, aunque no anotado, puede combinarse con la anotación asistida por modelo. La búsqueda dirigida en repositorios con licencias compatibles (CC BY, CC0) permite generar un corpus de imágenes relevantes que luego se anota con el workflow de la primera alternativa. Esta opción requiere un esfuerzo de curación adicional —verificación de licencia, filtrado de calidad y eliminación de duplicados— pero tiene el potencial de cubrir brechas de cobertura sin necesidad de grabación propia.</w:t>
      </w:r>
    </w:p>
    <w:p w:rsidR="00000000" w:rsidDel="00000000" w:rsidP="00000000" w:rsidRDefault="00000000" w:rsidRPr="00000000" w14:paraId="000002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Grabación en entorno simulado. </w:t>
      </w:r>
      <w:r w:rsidDel="00000000" w:rsidR="00000000" w:rsidRPr="00000000">
        <w:rPr>
          <w:rFonts w:ascii="Times New Roman" w:cs="Times New Roman" w:eastAsia="Times New Roman" w:hAnsi="Times New Roman"/>
          <w:sz w:val="24"/>
          <w:szCs w:val="24"/>
          <w:rtl w:val="0"/>
        </w:rPr>
        <w:t xml:space="preserve">La captura de video o imágenes en un entorno controlado —laboratorio o espacio de prácticas del centro educativo— con participantes informados bajo protocolo de consentimiento informado y anonimización de rostros, conforme a la normativa vigente de protección de datos personales (Ley 25.326, 2000), permite generar datos con las condiciones de riesgo específicas que los datasets públicos no cubren. Esta alternativa ofrece control total sobre las condiciones visuales (iluminación, ángulo, EPP utilizado) pero introduce limitaciones de diversidad ambiental y requiere coordinación logística y recaudos éticos (consentimiento informado, anonimización de rostros).</w:t>
      </w:r>
    </w:p>
    <w:p w:rsidR="00000000" w:rsidDel="00000000" w:rsidP="00000000" w:rsidRDefault="00000000" w:rsidRPr="00000000" w14:paraId="000002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Exclusión de la condición del alcance experimental. </w:t>
      </w:r>
      <w:r w:rsidDel="00000000" w:rsidR="00000000" w:rsidRPr="00000000">
        <w:rPr>
          <w:rFonts w:ascii="Times New Roman" w:cs="Times New Roman" w:eastAsia="Times New Roman" w:hAnsi="Times New Roman"/>
          <w:sz w:val="24"/>
          <w:szCs w:val="24"/>
          <w:rtl w:val="0"/>
        </w:rPr>
        <w:t xml:space="preserve">Como opción residual, si ninguna de las alternativas anteriores resulta viable dentro del cronograma y los recursos disponibles, las condiciones sin cobertura adecuada se excluirían del alcance experimental con mención explícita como limitación del trabajo. Esta exclusión no afectaría la evaluación de las condiciones de EPP principales, que cuentan con cobertura sólida en el inventario.</w:t>
      </w:r>
    </w:p>
    <w:p w:rsidR="00000000" w:rsidDel="00000000" w:rsidP="00000000" w:rsidRDefault="00000000" w:rsidRPr="00000000" w14:paraId="000002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entre estas alternativas corresponde a la instancia de análisis y diseño arquitectónico, considerando el cronograma disponible, la calidad preliminar del modelo zero-shot sobre las condiciones objetivo y la viabilidad logística de la grabación simulada.</w:t>
      </w:r>
    </w:p>
    <w:p w:rsidR="00000000" w:rsidDel="00000000" w:rsidP="00000000" w:rsidRDefault="00000000" w:rsidRPr="00000000" w14:paraId="0000028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5w0yz68jxryh" w:id="79"/>
      <w:bookmarkEnd w:id="79"/>
      <w:r w:rsidDel="00000000" w:rsidR="00000000" w:rsidRPr="00000000">
        <w:rPr>
          <w:rFonts w:ascii="Times New Roman" w:cs="Times New Roman" w:eastAsia="Times New Roman" w:hAnsi="Times New Roman"/>
          <w:b w:val="1"/>
          <w:bCs w:val="1"/>
          <w:color w:val="000000"/>
          <w:sz w:val="24"/>
          <w:szCs w:val="24"/>
          <w:rtl w:val="0"/>
        </w:rPr>
        <w:t xml:space="preserve">17.1.6.2.7. Condiciones para la Partición de Datos</w:t>
      </w:r>
    </w:p>
    <w:p w:rsidR="00000000" w:rsidDel="00000000" w:rsidP="00000000" w:rsidRDefault="00000000" w:rsidRPr="00000000" w14:paraId="000002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p>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bookmarkStart w:colFirst="0" w:colLast="0" w:name="_ubrn1ilrwo16" w:id="80"/>
      <w:bookmarkEnd w:id="80"/>
      <w:r w:rsidDel="00000000" w:rsidR="00000000" w:rsidRPr="00000000">
        <w:rPr>
          <w:rFonts w:ascii="Times New Roman" w:cs="Times New Roman" w:eastAsia="Times New Roman" w:hAnsi="Times New Roman"/>
          <w:b w:val="1"/>
          <w:bCs w:val="1"/>
          <w:i w:val="1"/>
          <w:iCs w:val="1"/>
          <w:sz w:val="24"/>
          <w:szCs w:val="24"/>
          <w:rtl w:val="0"/>
        </w:rPr>
        <w:t xml:space="preserve">Tabla 28</w:t>
      </w:r>
      <w:r w:rsidDel="00000000" w:rsidR="00000000" w:rsidRPr="00000000">
        <w:rPr>
          <w:rtl w:val="0"/>
        </w:rPr>
      </w:r>
    </w:p>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A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A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5tycwwy8v2hi" w:id="81"/>
      <w:bookmarkEnd w:id="81"/>
      <w:r w:rsidDel="00000000" w:rsidR="00000000" w:rsidRPr="00000000">
        <w:rPr>
          <w:rFonts w:ascii="Times New Roman" w:cs="Times New Roman" w:eastAsia="Times New Roman" w:hAnsi="Times New Roman"/>
          <w:b w:val="1"/>
          <w:bCs w:val="1"/>
          <w:color w:val="000000"/>
          <w:sz w:val="24"/>
          <w:szCs w:val="24"/>
          <w:rtl w:val="0"/>
        </w:rPr>
        <w:t xml:space="preserve">17.1.6.2.8. Evaluación de Aptitud por Propósito</w:t>
      </w:r>
    </w:p>
    <w:p w:rsidR="00000000" w:rsidDel="00000000" w:rsidP="00000000" w:rsidRDefault="00000000" w:rsidRPr="00000000" w14:paraId="000002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sintetiza la aptitud de cada dataset candidato para los dos propósitos principales del proyecto —fine-tuning y evaluación—, sin definir todavía su asignación definitiva. La valoración resume los criterios ya desarrollados en las secciones anteriores: cobertura de condiciones de riesgo, pertinencia al dominio, volumen disponible, compatibilidad de formato y restricciones de acceso o uso.</w:t>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esta síntesis, la aptitud para fine-tuning se interpreta en relación con el subset de entrenamiento acotado previsto para el experimento comparativo. Por ello, los datasets con cobertura directa de EPP tienen mayor prioridad para ajuste de dominio, mientras que las colecciones orientadas a contexto de obra, maquinaria o layout se valoran principalmente por su utilidad para evaluación, análisis relacional o datos complementarios.</w:t>
      </w:r>
    </w:p>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bookmarkStart w:colFirst="0" w:colLast="0" w:name="_in9xmb4yzsb6" w:id="82"/>
      <w:bookmarkEnd w:id="82"/>
      <w:r w:rsidDel="00000000" w:rsidR="00000000" w:rsidRPr="00000000">
        <w:rPr>
          <w:rFonts w:ascii="Times New Roman" w:cs="Times New Roman" w:eastAsia="Times New Roman" w:hAnsi="Times New Roman"/>
          <w:b w:val="1"/>
          <w:bCs w:val="1"/>
          <w:i w:val="1"/>
          <w:iCs w:val="1"/>
          <w:sz w:val="24"/>
          <w:szCs w:val="24"/>
          <w:rtl w:val="0"/>
        </w:rPr>
        <w:t xml:space="preserve">Tabla 29</w:t>
      </w:r>
      <w:r w:rsidDel="00000000" w:rsidR="00000000" w:rsidRPr="00000000">
        <w:rPr>
          <w:rtl w:val="0"/>
        </w:rPr>
      </w:r>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0460.0" w:type="dxa"/>
        <w:jc w:val="center"/>
        <w:tblLayout w:type="fixed"/>
        <w:tblLook w:val="0400"/>
      </w:tblPr>
      <w:tblGrid>
        <w:gridCol w:w="1180"/>
        <w:gridCol w:w="1240"/>
        <w:gridCol w:w="1360"/>
        <w:gridCol w:w="6680"/>
        <w:tblGridChange w:id="0">
          <w:tblGrid>
            <w:gridCol w:w="1180"/>
            <w:gridCol w:w="1240"/>
            <w:gridCol w:w="1360"/>
            <w:gridCol w:w="6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robusta para EPP, especialmente CR-01 y apoyo a CR-02. Su dominio industrial exige controlar el posible sesgo respecto de construcción civil.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sólido para CR-01 por su foco en casco y ausencia de casco. Su utilidad fuera de esa condición es limitada.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pertinencia visual para CR-01 y CR-02 en escenas reales de construcción. Requiere verificar condiciones de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para cumplimiento casco/chaleco, pero condicionado por disponibilidad pública parcial y licencia no claramente estandarizada.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Valioso para evaluación de incumplimientos de EPP por sus clases explícitas positivas y negativas. Su volumen es reducido y la licencia AGPL-3.0 requiere atención.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Relevante para CR-01 en construcción, especialmente uso y color de casco. No aporta cobertura para chaleco ni condiciones contextuales.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Volumen relevante y formato Pascal VOC, con anotaciones centradas en casco/persona. Es útil para CR-01, especialmente como fuente complementaria para presencia o ausencia de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ind w:right="52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materiales, maquinaria y layout. Su mayor valor está en evaluación contextual y apoyo a CR-05/CR-06, no como fuente principal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como apoyo contextual para maquinaria, trabajadores y CR-05. No es adecuado para fine-tuning de EPP y depende de acceso, formato y términos de uso.</w:t>
            </w:r>
          </w:p>
        </w:tc>
      </w:tr>
    </w:tbl>
    <w:p w:rsidR="00000000" w:rsidDel="00000000" w:rsidP="00000000" w:rsidRDefault="00000000" w:rsidRPr="00000000" w14:paraId="000002CF">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categoría “condicionada” indica que el uso efectivo del dataset requiere verificar acceso, formato, licencia o términos específicos antes de su gestión en la instancia de análisis y diseño arquitectónico. La asignación definitiva de roles corresponde a dicha etapa.</w:t>
      </w:r>
    </w:p>
    <w:p w:rsidR="00000000" w:rsidDel="00000000" w:rsidP="00000000" w:rsidRDefault="00000000" w:rsidRPr="00000000" w14:paraId="000002D0">
      <w:pPr>
        <w:pStyle w:val="Heading4"/>
        <w:spacing w:after="0" w:before="0" w:line="480" w:lineRule="auto"/>
        <w:rPr>
          <w:rFonts w:ascii="Times New Roman" w:cs="Times New Roman" w:eastAsia="Times New Roman" w:hAnsi="Times New Roman"/>
          <w:b w:val="1"/>
          <w:bCs w:val="1"/>
          <w:color w:val="000000"/>
        </w:rPr>
      </w:pPr>
      <w:bookmarkStart w:colFirst="0" w:colLast="0" w:name="_3x4v4cflzo3a" w:id="83"/>
      <w:bookmarkEnd w:id="83"/>
      <w:r w:rsidDel="00000000" w:rsidR="00000000" w:rsidRPr="00000000">
        <w:rPr>
          <w:rFonts w:ascii="Times New Roman" w:cs="Times New Roman" w:eastAsia="Times New Roman" w:hAnsi="Times New Roman"/>
          <w:b w:val="1"/>
          <w:bCs w:val="1"/>
          <w:color w:val="000000"/>
          <w:rtl w:val="0"/>
        </w:rPr>
        <w:t xml:space="preserve">17.1.6.3. Benchmarks de Evaluación de Referencia (Categoría 2)</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bookmarkStart w:colFirst="0" w:colLast="0" w:name="_dbfnne6xjh8" w:id="84"/>
      <w:bookmarkEnd w:id="84"/>
      <w:r w:rsidDel="00000000" w:rsidR="00000000" w:rsidRPr="00000000">
        <w:rPr>
          <w:rFonts w:ascii="Times New Roman" w:cs="Times New Roman" w:eastAsia="Times New Roman" w:hAnsi="Times New Roman"/>
          <w:b w:val="1"/>
          <w:bCs w:val="1"/>
          <w:i w:val="1"/>
          <w:iCs w:val="1"/>
          <w:sz w:val="24"/>
          <w:szCs w:val="24"/>
          <w:rtl w:val="0"/>
        </w:rPr>
        <w:t xml:space="preserve">Tabla 30</w:t>
      </w:r>
      <w:r w:rsidDel="00000000" w:rsidR="00000000" w:rsidRPr="00000000">
        <w:rPr>
          <w:rtl w:val="0"/>
        </w:rPr>
      </w:r>
    </w:p>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E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tracking; OV-TAO se descarta porque OVT-B ofrece mayor escala y una adecuación más directa al problema open-vocabulary multi-object tracking del proyecto.</w:t>
      </w:r>
    </w:p>
    <w:p w:rsidR="00000000" w:rsidDel="00000000" w:rsidP="00000000" w:rsidRDefault="00000000" w:rsidRPr="00000000" w14:paraId="000002E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80v1q6f46llz" w:id="85"/>
      <w:bookmarkEnd w:id="85"/>
      <w:r w:rsidDel="00000000" w:rsidR="00000000" w:rsidRPr="00000000">
        <w:rPr>
          <w:rFonts w:ascii="Times New Roman" w:cs="Times New Roman" w:eastAsia="Times New Roman" w:hAnsi="Times New Roman"/>
          <w:b w:val="1"/>
          <w:bCs w:val="1"/>
          <w:color w:val="000000"/>
          <w:sz w:val="24"/>
          <w:szCs w:val="24"/>
          <w:rtl w:val="0"/>
        </w:rPr>
        <w:t xml:space="preserve">17.1.6.3.1. MOT17 — Justificación de Uso</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xwkijb90xnoi" w:id="86"/>
      <w:bookmarkEnd w:id="86"/>
      <w:r w:rsidDel="00000000" w:rsidR="00000000" w:rsidRPr="00000000">
        <w:rPr>
          <w:rFonts w:ascii="Times New Roman" w:cs="Times New Roman" w:eastAsia="Times New Roman" w:hAnsi="Times New Roman"/>
          <w:b w:val="1"/>
          <w:bCs w:val="1"/>
          <w:color w:val="000000"/>
          <w:sz w:val="24"/>
          <w:szCs w:val="24"/>
          <w:rtl w:val="0"/>
        </w:rPr>
        <w:t xml:space="preserve">17.1.6.3.2. OVT-B — Justificación de Uso</w:t>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bookmarkStart w:colFirst="0" w:colLast="0" w:name="_av2n0msw0xys" w:id="87"/>
      <w:bookmarkEnd w:id="87"/>
      <w:r w:rsidDel="00000000" w:rsidR="00000000" w:rsidRPr="00000000">
        <w:rPr>
          <w:rFonts w:ascii="Times New Roman" w:cs="Times New Roman" w:eastAsia="Times New Roman" w:hAnsi="Times New Roman"/>
          <w:b w:val="1"/>
          <w:bCs w:val="1"/>
          <w:color w:val="000000"/>
          <w:rtl w:val="0"/>
        </w:rPr>
        <w:t xml:space="preserve">17.1.6.4. Consideraciones Transversales</w:t>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E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eyomifmuwpag" w:id="88"/>
      <w:bookmarkEnd w:id="88"/>
      <w:r w:rsidDel="00000000" w:rsidR="00000000" w:rsidRPr="00000000">
        <w:rPr>
          <w:rFonts w:ascii="Times New Roman" w:cs="Times New Roman" w:eastAsia="Times New Roman" w:hAnsi="Times New Roman"/>
          <w:b w:val="1"/>
          <w:bCs w:val="1"/>
          <w:color w:val="000000"/>
          <w:sz w:val="24"/>
          <w:szCs w:val="24"/>
          <w:rtl w:val="0"/>
        </w:rPr>
        <w:t xml:space="preserve">17.1.6.4.1. Consideraciones Éticas sobre los Datos</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de Categoría 1 reúnen imágenes provenientes de fuentes heterogéneas: imágenes web-mined o crowd-sourced, repositorios públicos, contextos industriales, escenas reales de construcción y, en el caso de MOCS, datos disponibles sólo mediante solicitud previa. En todos los casos, el uso previsto por el proyecto se limita a investigación académica, sin reconocimiento facial, identificación individual ni tratamiento biométrico. Las anotaciones consideradas son principalmente cajas delimitadoras, máscaras o etiquetas de objetos, en alineación con el principio de privacidad documentado en la el marco ético-legal de la fundamentación teórica.</w:t>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licencias y condiciones de uso, la situación del inventario no es homogénea. SH17 declara licencia CC BY-NC-SA 4.0; SHEL5K se publica bajo CC BY 4.0; Construction-PPE se distribuye bajo AGPL-3.0; GDUT-HWD presenta licencia Apache-2.0 visible en el repositorio; y SHWD presenta licencia MIT. CHV declara acceso abierto o uso libre en su repositorio, aunque sin una licencia estandarizada visible para el paquete de datos. Pictor-PPE y SODA documentan disponibilidad pública, pero sus condiciones específicas de reutilización del paquete descargable deberán verificarse antes de cualquier integración, redistribución o generación de derivados. MOCS, por su parte, queda sujeto a solicitud previa, uso científico no comercial, licencia CC BY-NC 4.0 y restricciones explícitas de redistribución y alteración del dataset.</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2F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c8uo7080udt2" w:id="89"/>
      <w:bookmarkEnd w:id="89"/>
      <w:r w:rsidDel="00000000" w:rsidR="00000000" w:rsidRPr="00000000">
        <w:rPr>
          <w:rFonts w:ascii="Times New Roman" w:cs="Times New Roman" w:eastAsia="Times New Roman" w:hAnsi="Times New Roman"/>
          <w:b w:val="1"/>
          <w:bCs w:val="1"/>
          <w:color w:val="000000"/>
          <w:sz w:val="24"/>
          <w:szCs w:val="24"/>
          <w:rtl w:val="0"/>
        </w:rPr>
        <w:t xml:space="preserve">17.1.6.4.2. Logística de Datos</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rsidR="00000000" w:rsidDel="00000000" w:rsidP="00000000" w:rsidRDefault="00000000" w:rsidRPr="00000000" w14:paraId="000002F4">
      <w:pPr>
        <w:pStyle w:val="Heading4"/>
        <w:spacing w:after="0" w:before="0" w:line="480" w:lineRule="auto"/>
        <w:rPr>
          <w:rFonts w:ascii="Times New Roman" w:cs="Times New Roman" w:eastAsia="Times New Roman" w:hAnsi="Times New Roman"/>
          <w:b w:val="1"/>
          <w:bCs w:val="1"/>
          <w:color w:val="000000"/>
        </w:rPr>
      </w:pPr>
      <w:bookmarkStart w:colFirst="0" w:colLast="0" w:name="_lusjzrmqjo0n" w:id="90"/>
      <w:bookmarkEnd w:id="90"/>
      <w:r w:rsidDel="00000000" w:rsidR="00000000" w:rsidRPr="00000000">
        <w:rPr>
          <w:rFonts w:ascii="Times New Roman" w:cs="Times New Roman" w:eastAsia="Times New Roman" w:hAnsi="Times New Roman"/>
          <w:b w:val="1"/>
          <w:bCs w:val="1"/>
          <w:color w:val="000000"/>
          <w:rtl w:val="0"/>
        </w:rPr>
        <w:t xml:space="preserve">17.1.6.5. Síntesis parcial de la estrategia de datos, benchmarks y partición</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F6">
      <w:pPr>
        <w:spacing w:line="360" w:lineRule="auto"/>
        <w:rPr>
          <w:rFonts w:ascii="Times New Roman" w:cs="Times New Roman" w:eastAsia="Times New Roman" w:hAnsi="Times New Roman"/>
          <w:b w:val="1"/>
          <w:bCs w:val="1"/>
          <w:i w:val="1"/>
          <w:iCs w:val="1"/>
          <w:sz w:val="24"/>
          <w:szCs w:val="24"/>
        </w:rPr>
      </w:pPr>
      <w:bookmarkStart w:colFirst="0" w:colLast="0" w:name="_tw6ef4mm2a9q" w:id="91"/>
      <w:bookmarkEnd w:id="91"/>
      <w:r w:rsidDel="00000000" w:rsidR="00000000" w:rsidRPr="00000000">
        <w:rPr>
          <w:rFonts w:ascii="Times New Roman" w:cs="Times New Roman" w:eastAsia="Times New Roman" w:hAnsi="Times New Roman"/>
          <w:b w:val="1"/>
          <w:bCs w:val="1"/>
          <w:i w:val="1"/>
          <w:iCs w:val="1"/>
          <w:sz w:val="24"/>
          <w:szCs w:val="24"/>
          <w:rtl w:val="0"/>
        </w:rPr>
        <w:t xml:space="preserve">Tabla 31</w:t>
        <w:br w:type="textWrapping"/>
        <w:t xml:space="preserve">Cobertura de datos por condición y consecuencia metodológica</w:t>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o apoyo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del experimento y la comparación entre baseline y fine-tuning.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del experimento,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puede evaluarse si la instancia de análisis y diseño arquitectónico aporta datos complementarios metodológicamente defendibles.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no forma parte del plano obligatorio de aceptación.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 por entidades y contexto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 y MOCS como apoyo de entidades y contexto; material de entorno controlado sólo si se genera.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pruebas condicionadas del módulo relacional; no constituye por sí sola evidencia plena de aceptación con datasets públicos.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 y dependiente del contexto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 como apoyo contextual; EBE con cámara fija y polígono externo cuando se defina la región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validación depende de parametrización espacial externa al prompt; no se resuelve con datasets abiertos por sí sola.</w:t>
            </w:r>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3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tracking bajo un protocolo ampliamente conocido; OVT-B puede servir para observar integración entre open vocabulary y tracking.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3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3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3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318">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pagl4san6oy"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319">
      <w:pPr>
        <w:pStyle w:val="Heading4"/>
        <w:spacing w:after="0" w:before="0" w:line="480" w:lineRule="auto"/>
        <w:rPr>
          <w:rFonts w:ascii="Times New Roman" w:cs="Times New Roman" w:eastAsia="Times New Roman" w:hAnsi="Times New Roman"/>
          <w:b w:val="1"/>
          <w:bCs w:val="1"/>
          <w:color w:val="000000"/>
        </w:rPr>
      </w:pPr>
      <w:bookmarkStart w:colFirst="0" w:colLast="0" w:name="_j1br06116r7c" w:id="93"/>
      <w:bookmarkEnd w:id="93"/>
      <w:r w:rsidDel="00000000" w:rsidR="00000000" w:rsidRPr="00000000">
        <w:rPr>
          <w:rFonts w:ascii="Times New Roman" w:cs="Times New Roman" w:eastAsia="Times New Roman" w:hAnsi="Times New Roman"/>
          <w:b w:val="1"/>
          <w:bCs w:val="1"/>
          <w:color w:val="000000"/>
          <w:rtl w:val="0"/>
        </w:rPr>
        <w:t xml:space="preserve">17.1.7.1. Introducción y Alcance</w:t>
      </w:r>
    </w:p>
    <w:p w:rsidR="00000000" w:rsidDel="00000000" w:rsidP="00000000" w:rsidRDefault="00000000" w:rsidRPr="00000000" w14:paraId="0000031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rthmquq9281h" w:id="94"/>
      <w:bookmarkEnd w:id="94"/>
      <w:r w:rsidDel="00000000" w:rsidR="00000000" w:rsidRPr="00000000">
        <w:rPr>
          <w:rFonts w:ascii="Times New Roman" w:cs="Times New Roman" w:eastAsia="Times New Roman" w:hAnsi="Times New Roman"/>
          <w:b w:val="1"/>
          <w:bCs w:val="1"/>
          <w:color w:val="000000"/>
          <w:sz w:val="24"/>
          <w:szCs w:val="24"/>
          <w:rtl w:val="0"/>
        </w:rPr>
        <w:t xml:space="preserve">17.1.7.1.1. Propósito y Preguntas Rectoras</w:t>
      </w:r>
    </w:p>
    <w:p w:rsidR="00000000" w:rsidDel="00000000" w:rsidP="00000000" w:rsidRDefault="00000000" w:rsidRPr="00000000" w14:paraId="000003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3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3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3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31F">
      <w:pPr>
        <w:pStyle w:val="Heading4"/>
        <w:spacing w:after="0" w:before="0" w:line="480" w:lineRule="auto"/>
        <w:rPr>
          <w:rFonts w:ascii="Times New Roman" w:cs="Times New Roman" w:eastAsia="Times New Roman" w:hAnsi="Times New Roman"/>
          <w:b w:val="1"/>
          <w:bCs w:val="1"/>
          <w:color w:val="000000"/>
        </w:rPr>
      </w:pPr>
      <w:bookmarkStart w:colFirst="0" w:colLast="0" w:name="_u5237ppd0n6" w:id="95"/>
      <w:bookmarkEnd w:id="95"/>
      <w:r w:rsidDel="00000000" w:rsidR="00000000" w:rsidRPr="00000000">
        <w:rPr>
          <w:rFonts w:ascii="Times New Roman" w:cs="Times New Roman" w:eastAsia="Times New Roman" w:hAnsi="Times New Roman"/>
          <w:b w:val="1"/>
          <w:bCs w:val="1"/>
          <w:color w:val="000000"/>
          <w:rtl w:val="0"/>
        </w:rPr>
        <w:t xml:space="preserve">17.1.7.2. Alcance Evaluativo y Definición Operativa de la Latencia de Alerta</w:t>
      </w:r>
    </w:p>
    <w:p w:rsidR="00000000" w:rsidDel="00000000" w:rsidP="00000000" w:rsidRDefault="00000000" w:rsidRPr="00000000" w14:paraId="000003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frame y la disponibilidad del resultado algorítmico asociado a ese frame.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3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3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esta convención, G2A se entiende como el subtramo instrumental del pipeline que va desde la captura o lectura del frame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324">
      <w:pPr>
        <w:pStyle w:val="Heading4"/>
        <w:spacing w:after="0" w:before="0" w:line="480" w:lineRule="auto"/>
        <w:rPr>
          <w:rFonts w:ascii="Times New Roman" w:cs="Times New Roman" w:eastAsia="Times New Roman" w:hAnsi="Times New Roman"/>
          <w:b w:val="1"/>
          <w:bCs w:val="1"/>
          <w:color w:val="000000"/>
        </w:rPr>
      </w:pPr>
      <w:bookmarkStart w:colFirst="0" w:colLast="0" w:name="_2lh4a9wlhfla" w:id="96"/>
      <w:bookmarkEnd w:id="96"/>
      <w:r w:rsidDel="00000000" w:rsidR="00000000" w:rsidRPr="00000000">
        <w:rPr>
          <w:rFonts w:ascii="Times New Roman" w:cs="Times New Roman" w:eastAsia="Times New Roman" w:hAnsi="Times New Roman"/>
          <w:b w:val="1"/>
          <w:bCs w:val="1"/>
          <w:color w:val="000000"/>
          <w:rtl w:val="0"/>
        </w:rPr>
        <w:t xml:space="preserve">17.1.7.3. Estructura del Framework y Criterios de Viabilidad</w:t>
      </w:r>
    </w:p>
    <w:p w:rsidR="00000000" w:rsidDel="00000000" w:rsidP="00000000" w:rsidRDefault="00000000" w:rsidRPr="00000000" w14:paraId="000003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326">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f8gl3wmnnfy4" w:id="97"/>
      <w:bookmarkEnd w:id="97"/>
      <w:r w:rsidDel="00000000" w:rsidR="00000000" w:rsidRPr="00000000">
        <w:rPr>
          <w:rFonts w:ascii="Times New Roman" w:cs="Times New Roman" w:eastAsia="Times New Roman" w:hAnsi="Times New Roman"/>
          <w:b w:val="1"/>
          <w:bCs w:val="1"/>
          <w:color w:val="000000"/>
          <w:sz w:val="24"/>
          <w:szCs w:val="24"/>
          <w:rtl w:val="0"/>
        </w:rPr>
        <w:t xml:space="preserve">17.1.7.3.1. Jerarquía de métricas</w:t>
      </w:r>
    </w:p>
    <w:p w:rsidR="00000000" w:rsidDel="00000000" w:rsidP="00000000" w:rsidRDefault="00000000" w:rsidRPr="00000000" w14:paraId="000003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3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32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mv3yr9u5upta" w:id="98"/>
      <w:bookmarkEnd w:id="98"/>
      <w:r w:rsidDel="00000000" w:rsidR="00000000" w:rsidRPr="00000000">
        <w:rPr>
          <w:rFonts w:ascii="Times New Roman" w:cs="Times New Roman" w:eastAsia="Times New Roman" w:hAnsi="Times New Roman"/>
          <w:b w:val="1"/>
          <w:bCs w:val="1"/>
          <w:color w:val="000000"/>
          <w:sz w:val="24"/>
          <w:szCs w:val="24"/>
          <w:rtl w:val="0"/>
        </w:rPr>
        <w:t xml:space="preserve">17.1.7.3.2. Niveles de Compromiso</w:t>
      </w:r>
    </w:p>
    <w:p w:rsidR="00000000" w:rsidDel="00000000" w:rsidP="00000000" w:rsidRDefault="00000000" w:rsidRPr="00000000" w14:paraId="000003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3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32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2ge58pjlwnb" w:id="99"/>
      <w:bookmarkEnd w:id="99"/>
      <w:r w:rsidDel="00000000" w:rsidR="00000000" w:rsidRPr="00000000">
        <w:rPr>
          <w:rFonts w:ascii="Times New Roman" w:cs="Times New Roman" w:eastAsia="Times New Roman" w:hAnsi="Times New Roman"/>
          <w:b w:val="1"/>
          <w:bCs w:val="1"/>
          <w:color w:val="000000"/>
          <w:sz w:val="24"/>
          <w:szCs w:val="24"/>
          <w:rtl w:val="0"/>
        </w:rPr>
        <w:t xml:space="preserve">17.1.7.3.3. Criterios de Factibilidad Experimental</w:t>
      </w:r>
    </w:p>
    <w:p w:rsidR="00000000" w:rsidDel="00000000" w:rsidP="00000000" w:rsidRDefault="00000000" w:rsidRPr="00000000" w14:paraId="000003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bookmarkStart w:colFirst="0" w:colLast="0" w:name="_8ugbnvgok662" w:id="100"/>
      <w:bookmarkEnd w:id="100"/>
      <w:r w:rsidDel="00000000" w:rsidR="00000000" w:rsidRPr="00000000">
        <w:rPr>
          <w:rFonts w:ascii="Times New Roman" w:cs="Times New Roman" w:eastAsia="Times New Roman" w:hAnsi="Times New Roman"/>
          <w:b w:val="1"/>
          <w:bCs w:val="1"/>
          <w:color w:val="000000"/>
          <w:rtl w:val="0"/>
        </w:rPr>
        <w:t xml:space="preserve">17.1.7.4. Métricas Adoptadas</w:t>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33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tlncz9hw6zis" w:id="101"/>
      <w:bookmarkEnd w:id="101"/>
      <w:r w:rsidDel="00000000" w:rsidR="00000000" w:rsidRPr="00000000">
        <w:rPr>
          <w:rFonts w:ascii="Times New Roman" w:cs="Times New Roman" w:eastAsia="Times New Roman" w:hAnsi="Times New Roman"/>
          <w:b w:val="1"/>
          <w:bCs w:val="1"/>
          <w:color w:val="000000"/>
          <w:sz w:val="24"/>
          <w:szCs w:val="24"/>
          <w:rtl w:val="0"/>
        </w:rPr>
        <w:t xml:space="preserve">17.1.7.4.1. Métricas de Detección OVD</w:t>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rsidR="00000000" w:rsidDel="00000000" w:rsidP="00000000" w:rsidRDefault="00000000" w:rsidRPr="00000000" w14:paraId="0000033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4dnfv7xyrkiy" w:id="102"/>
      <w:bookmarkEnd w:id="102"/>
      <w:r w:rsidDel="00000000" w:rsidR="00000000" w:rsidRPr="00000000">
        <w:rPr>
          <w:rFonts w:ascii="Times New Roman" w:cs="Times New Roman" w:eastAsia="Times New Roman" w:hAnsi="Times New Roman"/>
          <w:b w:val="1"/>
          <w:bCs w:val="1"/>
          <w:color w:val="000000"/>
          <w:sz w:val="24"/>
          <w:szCs w:val="24"/>
          <w:rtl w:val="0"/>
        </w:rPr>
        <w:t xml:space="preserve">17.1.7.4.2. Métricas de Seguimiento Multiobjeto</w:t>
      </w:r>
    </w:p>
    <w:p w:rsidR="00000000" w:rsidDel="00000000" w:rsidP="00000000" w:rsidRDefault="00000000" w:rsidRPr="00000000" w14:paraId="000003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frame-a-frame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3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3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métricas de seguimiento multiobjeto puede verse en la Tabla D.2 del Anexo D.</w:t>
      </w:r>
    </w:p>
    <w:p w:rsidR="00000000" w:rsidDel="00000000" w:rsidP="00000000" w:rsidRDefault="00000000" w:rsidRPr="00000000" w14:paraId="000003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td8f8zngxhtk" w:id="103"/>
      <w:bookmarkEnd w:id="103"/>
      <w:r w:rsidDel="00000000" w:rsidR="00000000" w:rsidRPr="00000000">
        <w:rPr>
          <w:rFonts w:ascii="Times New Roman" w:cs="Times New Roman" w:eastAsia="Times New Roman" w:hAnsi="Times New Roman"/>
          <w:b w:val="1"/>
          <w:bCs w:val="1"/>
          <w:color w:val="000000"/>
          <w:sz w:val="24"/>
          <w:szCs w:val="24"/>
          <w:rtl w:val="0"/>
        </w:rPr>
        <w:t xml:space="preserve">17.1.7.4.3. Métricas de Rendimiento del Pipeline</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tracking,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rsidR="00000000" w:rsidDel="00000000" w:rsidP="00000000" w:rsidRDefault="00000000" w:rsidRPr="00000000" w14:paraId="00000339">
      <w:pPr>
        <w:pStyle w:val="Heading4"/>
        <w:spacing w:after="0" w:before="0" w:line="480" w:lineRule="auto"/>
        <w:rPr>
          <w:rFonts w:ascii="Times New Roman" w:cs="Times New Roman" w:eastAsia="Times New Roman" w:hAnsi="Times New Roman"/>
          <w:b w:val="1"/>
          <w:bCs w:val="1"/>
          <w:color w:val="000000"/>
        </w:rPr>
      </w:pPr>
      <w:bookmarkStart w:colFirst="0" w:colLast="0" w:name="_r131xg5ptybh" w:id="104"/>
      <w:bookmarkEnd w:id="104"/>
      <w:r w:rsidDel="00000000" w:rsidR="00000000" w:rsidRPr="00000000">
        <w:rPr>
          <w:rFonts w:ascii="Times New Roman" w:cs="Times New Roman" w:eastAsia="Times New Roman" w:hAnsi="Times New Roman"/>
          <w:b w:val="1"/>
          <w:bCs w:val="1"/>
          <w:color w:val="000000"/>
          <w:rtl w:val="0"/>
        </w:rPr>
        <w:t xml:space="preserve">17.1.7.5. Métricas Operativas Específicas del Dominio</w:t>
      </w:r>
    </w:p>
    <w:p w:rsidR="00000000" w:rsidDel="00000000" w:rsidP="00000000" w:rsidRDefault="00000000" w:rsidRPr="00000000" w14:paraId="000003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frame,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3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33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yl8w2z5mmu1" w:id="105"/>
      <w:bookmarkEnd w:id="105"/>
      <w:r w:rsidDel="00000000" w:rsidR="00000000" w:rsidRPr="00000000">
        <w:rPr>
          <w:rFonts w:ascii="Times New Roman" w:cs="Times New Roman" w:eastAsia="Times New Roman" w:hAnsi="Times New Roman"/>
          <w:b w:val="1"/>
          <w:bCs w:val="1"/>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3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3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3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frame-a-frame,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3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3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3ia8rd6wfvp6" w:id="106"/>
      <w:bookmarkEnd w:id="106"/>
      <w:r w:rsidDel="00000000" w:rsidR="00000000" w:rsidRPr="00000000">
        <w:rPr>
          <w:rFonts w:ascii="Times New Roman" w:cs="Times New Roman" w:eastAsia="Times New Roman" w:hAnsi="Times New Roman"/>
          <w:b w:val="1"/>
          <w:bCs w:val="1"/>
          <w:color w:val="000000"/>
          <w:sz w:val="24"/>
          <w:szCs w:val="24"/>
          <w:rtl w:val="0"/>
        </w:rPr>
        <w:t xml:space="preserve">17.1.7.5.2. Tiempo a la Primera Detección (TTFD)</w:t>
      </w:r>
    </w:p>
    <w:p w:rsidR="00000000" w:rsidDel="00000000" w:rsidP="00000000" w:rsidRDefault="00000000" w:rsidRPr="00000000" w14:paraId="000003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3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3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345">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rewlig3zq4xg" w:id="107"/>
      <w:bookmarkEnd w:id="107"/>
      <w:r w:rsidDel="00000000" w:rsidR="00000000" w:rsidRPr="00000000">
        <w:rPr>
          <w:rFonts w:ascii="Times New Roman" w:cs="Times New Roman" w:eastAsia="Times New Roman" w:hAnsi="Times New Roman"/>
          <w:b w:val="1"/>
          <w:bCs w:val="1"/>
          <w:color w:val="000000"/>
          <w:sz w:val="24"/>
          <w:szCs w:val="24"/>
          <w:rtl w:val="0"/>
        </w:rPr>
        <w:t xml:space="preserve">17.1.7.5.3. Tasa de Detección Sostenida (SDR)</w:t>
      </w:r>
    </w:p>
    <w:p w:rsidR="00000000" w:rsidDel="00000000" w:rsidP="00000000" w:rsidRDefault="00000000" w:rsidRPr="00000000" w14:paraId="000003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3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3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34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9n8950g8l0td" w:id="108"/>
      <w:bookmarkEnd w:id="108"/>
      <w:r w:rsidDel="00000000" w:rsidR="00000000" w:rsidRPr="00000000">
        <w:rPr>
          <w:rFonts w:ascii="Times New Roman" w:cs="Times New Roman" w:eastAsia="Times New Roman" w:hAnsi="Times New Roman"/>
          <w:b w:val="1"/>
          <w:bCs w:val="1"/>
          <w:color w:val="000000"/>
          <w:sz w:val="24"/>
          <w:szCs w:val="24"/>
          <w:rtl w:val="0"/>
        </w:rPr>
        <w:t xml:space="preserve">17.1.7.5.4. Condición de Aplicación de Métricas Temporales</w:t>
      </w:r>
    </w:p>
    <w:p w:rsidR="00000000" w:rsidDel="00000000" w:rsidP="00000000" w:rsidRDefault="00000000" w:rsidRPr="00000000" w14:paraId="000003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frame,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34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zl52heqha3i" w:id="109"/>
      <w:bookmarkEnd w:id="109"/>
      <w:r w:rsidDel="00000000" w:rsidR="00000000" w:rsidRPr="00000000">
        <w:rPr>
          <w:rFonts w:ascii="Times New Roman" w:cs="Times New Roman" w:eastAsia="Times New Roman" w:hAnsi="Times New Roman"/>
          <w:b w:val="1"/>
          <w:bCs w:val="1"/>
          <w:color w:val="000000"/>
          <w:sz w:val="24"/>
          <w:szCs w:val="24"/>
          <w:rtl w:val="0"/>
        </w:rPr>
        <w:t xml:space="preserve">17.1.7.5.5. Evaluación Diferenciada por Severidad</w:t>
      </w:r>
    </w:p>
    <w:p w:rsidR="00000000" w:rsidDel="00000000" w:rsidP="00000000" w:rsidRDefault="00000000" w:rsidRPr="00000000" w14:paraId="000003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50">
      <w:pPr>
        <w:pStyle w:val="Heading4"/>
        <w:spacing w:after="0" w:before="0" w:line="480" w:lineRule="auto"/>
        <w:rPr>
          <w:rFonts w:ascii="Times New Roman" w:cs="Times New Roman" w:eastAsia="Times New Roman" w:hAnsi="Times New Roman"/>
          <w:b w:val="1"/>
          <w:bCs w:val="1"/>
          <w:color w:val="000000"/>
        </w:rPr>
      </w:pPr>
      <w:bookmarkStart w:colFirst="0" w:colLast="0" w:name="_f4c5s6403xxx" w:id="110"/>
      <w:bookmarkEnd w:id="110"/>
      <w:r w:rsidDel="00000000" w:rsidR="00000000" w:rsidRPr="00000000">
        <w:rPr>
          <w:rFonts w:ascii="Times New Roman" w:cs="Times New Roman" w:eastAsia="Times New Roman" w:hAnsi="Times New Roman"/>
          <w:b w:val="1"/>
          <w:bCs w:val="1"/>
          <w:color w:val="000000"/>
          <w:rtl w:val="0"/>
        </w:rPr>
        <w:t xml:space="preserve">17.1.7.6. Protocolo Comparativo entre Variantes Preentrenada y Ajustada al Dominio</w:t>
      </w:r>
    </w:p>
    <w:p w:rsidR="00000000" w:rsidDel="00000000" w:rsidP="00000000" w:rsidRDefault="00000000" w:rsidRPr="00000000" w14:paraId="000003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frames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5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bookmarkStart w:colFirst="0" w:colLast="0" w:name="_rs3tctwkgr31" w:id="111"/>
      <w:bookmarkEnd w:id="111"/>
      <w:r w:rsidDel="00000000" w:rsidR="00000000" w:rsidRPr="00000000">
        <w:rPr>
          <w:rFonts w:ascii="Times New Roman" w:cs="Times New Roman" w:eastAsia="Times New Roman" w:hAnsi="Times New Roman"/>
          <w:b w:val="1"/>
          <w:bCs w:val="1"/>
          <w:i w:val="1"/>
          <w:iCs w:val="1"/>
          <w:sz w:val="24"/>
          <w:szCs w:val="24"/>
          <w:rtl w:val="0"/>
        </w:rPr>
        <w:t xml:space="preserve">Tabla 32</w:t>
      </w:r>
      <w:r w:rsidDel="00000000" w:rsidR="00000000" w:rsidRPr="00000000">
        <w:rPr>
          <w:rtl w:val="0"/>
        </w:rPr>
      </w:r>
    </w:p>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6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6F">
      <w:pPr>
        <w:pStyle w:val="Heading4"/>
        <w:spacing w:after="0" w:before="0" w:line="480" w:lineRule="auto"/>
        <w:rPr>
          <w:rFonts w:ascii="Times New Roman" w:cs="Times New Roman" w:eastAsia="Times New Roman" w:hAnsi="Times New Roman"/>
          <w:b w:val="1"/>
          <w:bCs w:val="1"/>
          <w:color w:val="000000"/>
        </w:rPr>
      </w:pPr>
      <w:bookmarkStart w:colFirst="0" w:colLast="0" w:name="_w1n09uboszyt" w:id="112"/>
      <w:bookmarkEnd w:id="112"/>
      <w:r w:rsidDel="00000000" w:rsidR="00000000" w:rsidRPr="00000000">
        <w:rPr>
          <w:rFonts w:ascii="Times New Roman" w:cs="Times New Roman" w:eastAsia="Times New Roman" w:hAnsi="Times New Roman"/>
          <w:b w:val="1"/>
          <w:bCs w:val="1"/>
          <w:color w:val="000000"/>
          <w:rtl w:val="0"/>
        </w:rPr>
        <w:t xml:space="preserve">17.1.7.7. Presupuesto de Latencia y Componentes Medibles</w:t>
      </w:r>
    </w:p>
    <w:p w:rsidR="00000000" w:rsidDel="00000000" w:rsidP="00000000" w:rsidRDefault="00000000" w:rsidRPr="00000000" w14:paraId="000003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frame,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ercy4et3k1s6" w:id="113"/>
      <w:bookmarkEnd w:id="113"/>
      <w:r w:rsidDel="00000000" w:rsidR="00000000" w:rsidRPr="00000000">
        <w:rPr>
          <w:rFonts w:ascii="Times New Roman" w:cs="Times New Roman" w:eastAsia="Times New Roman" w:hAnsi="Times New Roman"/>
          <w:b w:val="1"/>
          <w:bCs w:val="1"/>
          <w:color w:val="000000"/>
          <w:sz w:val="24"/>
          <w:szCs w:val="24"/>
          <w:rtl w:val="0"/>
        </w:rPr>
        <w:t xml:space="preserve">17.1.7.7.1. Descomposición Operativa</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7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7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7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gxuqe9w5e0xo" w:id="114"/>
      <w:bookmarkEnd w:id="114"/>
      <w:r w:rsidDel="00000000" w:rsidR="00000000" w:rsidRPr="00000000">
        <w:rPr>
          <w:rFonts w:ascii="Times New Roman" w:cs="Times New Roman" w:eastAsia="Times New Roman" w:hAnsi="Times New Roman"/>
          <w:b w:val="1"/>
          <w:bCs w:val="1"/>
          <w:color w:val="000000"/>
          <w:sz w:val="24"/>
          <w:szCs w:val="24"/>
          <w:rtl w:val="0"/>
        </w:rPr>
        <w:t xml:space="preserve">17.1.7.7.2. Componentes Medibles y Adscripción por Tramo</w:t>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bookmarkStart w:colFirst="0" w:colLast="0" w:name="_fzqh47hnrql4" w:id="115"/>
      <w:bookmarkEnd w:id="115"/>
      <w:r w:rsidDel="00000000" w:rsidR="00000000" w:rsidRPr="00000000">
        <w:rPr>
          <w:rFonts w:ascii="Times New Roman" w:cs="Times New Roman" w:eastAsia="Times New Roman" w:hAnsi="Times New Roman"/>
          <w:b w:val="1"/>
          <w:bCs w:val="1"/>
          <w:i w:val="1"/>
          <w:iCs w:val="1"/>
          <w:sz w:val="24"/>
          <w:szCs w:val="24"/>
          <w:rtl w:val="0"/>
        </w:rPr>
        <w:t xml:space="preserve">Tabla 33</w:t>
      </w:r>
      <w:r w:rsidDel="00000000" w:rsidR="00000000" w:rsidRPr="00000000">
        <w:rPr>
          <w:rtl w:val="0"/>
        </w:rPr>
      </w:r>
    </w:p>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A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3A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8jbalbqs23ko" w:id="116"/>
      <w:bookmarkEnd w:id="116"/>
      <w:r w:rsidDel="00000000" w:rsidR="00000000" w:rsidRPr="00000000">
        <w:rPr>
          <w:rFonts w:ascii="Times New Roman" w:cs="Times New Roman" w:eastAsia="Times New Roman" w:hAnsi="Times New Roman"/>
          <w:b w:val="1"/>
          <w:bCs w:val="1"/>
          <w:color w:val="000000"/>
          <w:sz w:val="24"/>
          <w:szCs w:val="24"/>
          <w:rtl w:val="0"/>
        </w:rPr>
        <w:t xml:space="preserve">17.1.7.7.3. Consideración sobre el Razonamiento Temporal</w:t>
      </w:r>
    </w:p>
    <w:p w:rsidR="00000000" w:rsidDel="00000000" w:rsidP="00000000" w:rsidRDefault="00000000" w:rsidRPr="00000000" w14:paraId="000003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componente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 distinguirse explícitamente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integra el presupuesto computacional del sistema,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integra el presupuesto operativo de confirmación que queda absorbido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my81aeo1u4tu" w:id="117"/>
      <w:bookmarkEnd w:id="117"/>
      <w:r w:rsidDel="00000000" w:rsidR="00000000" w:rsidRPr="00000000">
        <w:rPr>
          <w:rFonts w:ascii="Times New Roman" w:cs="Times New Roman" w:eastAsia="Times New Roman" w:hAnsi="Times New Roman"/>
          <w:b w:val="1"/>
          <w:bCs w:val="1"/>
          <w:color w:val="000000"/>
          <w:sz w:val="24"/>
          <w:szCs w:val="24"/>
          <w:rtl w:val="0"/>
        </w:rPr>
        <w:t xml:space="preserve">17.1.7.7.4. Cierre Operativo del Presupuesto</w:t>
      </w:r>
    </w:p>
    <w:p w:rsidR="00000000" w:rsidDel="00000000" w:rsidP="00000000" w:rsidRDefault="00000000" w:rsidRPr="00000000" w14:paraId="000003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AD">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4pp8gbqpv0qa" w:id="118"/>
      <w:bookmarkEnd w:id="118"/>
      <w:r w:rsidDel="00000000" w:rsidR="00000000" w:rsidRPr="00000000">
        <w:rPr>
          <w:rFonts w:ascii="Times New Roman" w:cs="Times New Roman" w:eastAsia="Times New Roman" w:hAnsi="Times New Roman"/>
          <w:b w:val="1"/>
          <w:bCs w:val="1"/>
          <w:color w:val="000000"/>
          <w:sz w:val="24"/>
          <w:szCs w:val="24"/>
          <w:rtl w:val="0"/>
        </w:rPr>
        <w:t xml:space="preserve">17.1.7.7.5. Estimación Orientativa del Presupuesto de Latencia</w:t>
      </w:r>
    </w:p>
    <w:p w:rsidR="00000000" w:rsidDel="00000000" w:rsidP="00000000" w:rsidRDefault="00000000" w:rsidRPr="00000000" w14:paraId="000003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frame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frames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frame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frame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B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x4nig9gmxo18" w:id="119"/>
      <w:bookmarkEnd w:id="119"/>
      <w:r w:rsidDel="00000000" w:rsidR="00000000" w:rsidRPr="00000000">
        <w:rPr>
          <w:rFonts w:ascii="Times New Roman" w:cs="Times New Roman" w:eastAsia="Times New Roman" w:hAnsi="Times New Roman"/>
          <w:b w:val="1"/>
          <w:bCs w:val="1"/>
          <w:color w:val="000000"/>
          <w:sz w:val="24"/>
          <w:szCs w:val="24"/>
          <w:rtl w:val="0"/>
        </w:rPr>
        <w:t xml:space="preserve">17.1.7.7.6. Umbrales orientativos por nivel de severidad</w:t>
      </w:r>
    </w:p>
    <w:p w:rsidR="00000000" w:rsidDel="00000000" w:rsidP="00000000" w:rsidRDefault="00000000" w:rsidRPr="00000000" w14:paraId="000003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lista de los umbrales orientativos por severidad puede verse en la Tabla D.4 del Anexo D.</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bookmarkStart w:colFirst="0" w:colLast="0" w:name="_3xcoammvs7y3" w:id="120"/>
      <w:bookmarkEnd w:id="120"/>
      <w:r w:rsidDel="00000000" w:rsidR="00000000" w:rsidRPr="00000000">
        <w:rPr>
          <w:rFonts w:ascii="Times New Roman" w:cs="Times New Roman" w:eastAsia="Times New Roman" w:hAnsi="Times New Roman"/>
          <w:b w:val="1"/>
          <w:bCs w:val="1"/>
          <w:color w:val="000000"/>
          <w:rtl w:val="0"/>
        </w:rPr>
        <w:t xml:space="preserve">17.1.7.8. Operacionalización de la Medición y Condiciones de no Aplicación</w:t>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B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3vwdmoq4i2n" w:id="121"/>
      <w:bookmarkEnd w:id="121"/>
      <w:r w:rsidDel="00000000" w:rsidR="00000000" w:rsidRPr="00000000">
        <w:rPr>
          <w:rFonts w:ascii="Times New Roman" w:cs="Times New Roman" w:eastAsia="Times New Roman" w:hAnsi="Times New Roman"/>
          <w:b w:val="1"/>
          <w:bCs w:val="1"/>
          <w:color w:val="000000"/>
          <w:sz w:val="24"/>
          <w:szCs w:val="24"/>
          <w:rtl w:val="0"/>
        </w:rPr>
        <w:t xml:space="preserve">17.1.7.8.1. Reglas Generales de Instrumentación</w:t>
      </w:r>
    </w:p>
    <w:p w:rsidR="00000000" w:rsidDel="00000000" w:rsidP="00000000" w:rsidRDefault="00000000" w:rsidRPr="00000000" w14:paraId="000003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frames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Tabla D.5 del Anexo D.</w:t>
      </w:r>
    </w:p>
    <w:p w:rsidR="00000000" w:rsidDel="00000000" w:rsidP="00000000" w:rsidRDefault="00000000" w:rsidRPr="00000000" w14:paraId="000003B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epeim4zbuuzo" w:id="122"/>
      <w:bookmarkEnd w:id="122"/>
      <w:r w:rsidDel="00000000" w:rsidR="00000000" w:rsidRPr="00000000">
        <w:rPr>
          <w:rFonts w:ascii="Times New Roman" w:cs="Times New Roman" w:eastAsia="Times New Roman" w:hAnsi="Times New Roman"/>
          <w:b w:val="1"/>
          <w:bCs w:val="1"/>
          <w:color w:val="000000"/>
          <w:sz w:val="24"/>
          <w:szCs w:val="24"/>
          <w:rtl w:val="0"/>
        </w:rPr>
        <w:t xml:space="preserve">17.1.7.8.2. Alcance Efectivo y Casos en los que no Corresponde Medir</w:t>
      </w:r>
    </w:p>
    <w:p w:rsidR="00000000" w:rsidDel="00000000" w:rsidP="00000000" w:rsidRDefault="00000000" w:rsidRPr="00000000" w14:paraId="000003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frame-a-frame,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C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l2al0rwavr3a" w:id="123"/>
      <w:bookmarkEnd w:id="123"/>
      <w:r w:rsidDel="00000000" w:rsidR="00000000" w:rsidRPr="00000000">
        <w:rPr>
          <w:rFonts w:ascii="Times New Roman" w:cs="Times New Roman" w:eastAsia="Times New Roman" w:hAnsi="Times New Roman"/>
          <w:b w:val="1"/>
          <w:bCs w:val="1"/>
          <w:color w:val="000000"/>
          <w:sz w:val="24"/>
          <w:szCs w:val="24"/>
          <w:rtl w:val="0"/>
        </w:rPr>
        <w:t xml:space="preserve">17.1.7.8.3. Precisiones Operativas sobre Métricas Críticas</w:t>
      </w:r>
    </w:p>
    <w:p w:rsidR="00000000" w:rsidDel="00000000" w:rsidP="00000000" w:rsidRDefault="00000000" w:rsidRPr="00000000" w14:paraId="000003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fotograma,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fotogramas válidos— debe declararse explícitamente. Si el throughput resulta inestable, conviene privilegiar el cálculo en tiempo por sobre el conteo puro de cuadros.</w:t>
      </w:r>
    </w:p>
    <w:p w:rsidR="00000000" w:rsidDel="00000000" w:rsidP="00000000" w:rsidRDefault="00000000" w:rsidRPr="00000000" w14:paraId="000003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C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fa1ld3109koj" w:id="124"/>
      <w:bookmarkEnd w:id="124"/>
      <w:r w:rsidDel="00000000" w:rsidR="00000000" w:rsidRPr="00000000">
        <w:rPr>
          <w:rFonts w:ascii="Times New Roman" w:cs="Times New Roman" w:eastAsia="Times New Roman" w:hAnsi="Times New Roman"/>
          <w:b w:val="1"/>
          <w:bCs w:val="1"/>
          <w:color w:val="000000"/>
          <w:sz w:val="24"/>
          <w:szCs w:val="24"/>
          <w:rtl w:val="0"/>
        </w:rPr>
        <w:t xml:space="preserve">17.1.7.8.4. Registro Mínimo por Corrida y Reporte</w:t>
      </w:r>
    </w:p>
    <w:p w:rsidR="00000000" w:rsidDel="00000000" w:rsidP="00000000" w:rsidRDefault="00000000" w:rsidRPr="00000000" w14:paraId="000003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3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CD">
      <w:pPr>
        <w:pStyle w:val="Heading4"/>
        <w:spacing w:after="0" w:before="0" w:line="480" w:lineRule="auto"/>
        <w:rPr>
          <w:rFonts w:ascii="Times New Roman" w:cs="Times New Roman" w:eastAsia="Times New Roman" w:hAnsi="Times New Roman"/>
          <w:b w:val="1"/>
          <w:bCs w:val="1"/>
          <w:color w:val="000000"/>
        </w:rPr>
      </w:pPr>
      <w:bookmarkStart w:colFirst="0" w:colLast="0" w:name="_e27ij85fzf7n" w:id="125"/>
      <w:bookmarkEnd w:id="125"/>
      <w:r w:rsidDel="00000000" w:rsidR="00000000" w:rsidRPr="00000000">
        <w:rPr>
          <w:rFonts w:ascii="Times New Roman" w:cs="Times New Roman" w:eastAsia="Times New Roman" w:hAnsi="Times New Roman"/>
          <w:b w:val="1"/>
          <w:bCs w:val="1"/>
          <w:color w:val="000000"/>
          <w:rtl w:val="0"/>
        </w:rPr>
        <w:t xml:space="preserve">17.1.7.9. Síntesis Parcial del Framework de Métricas</w:t>
      </w:r>
    </w:p>
    <w:p w:rsidR="00000000" w:rsidDel="00000000" w:rsidP="00000000" w:rsidRDefault="00000000" w:rsidRPr="00000000" w14:paraId="000003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tracking.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C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3D0">
      <w:pPr>
        <w:spacing w:line="360" w:lineRule="auto"/>
        <w:rPr>
          <w:rFonts w:ascii="Times New Roman" w:cs="Times New Roman" w:eastAsia="Times New Roman" w:hAnsi="Times New Roman"/>
          <w:b w:val="1"/>
          <w:bCs w:val="1"/>
          <w:i w:val="1"/>
          <w:iCs w:val="1"/>
          <w:sz w:val="24"/>
          <w:szCs w:val="24"/>
        </w:rPr>
      </w:pPr>
      <w:bookmarkStart w:colFirst="0" w:colLast="0" w:name="_74tnvakxshg2" w:id="126"/>
      <w:bookmarkEnd w:id="126"/>
      <w:r w:rsidDel="00000000" w:rsidR="00000000" w:rsidRPr="00000000">
        <w:rPr>
          <w:rFonts w:ascii="Times New Roman" w:cs="Times New Roman" w:eastAsia="Times New Roman" w:hAnsi="Times New Roman"/>
          <w:b w:val="1"/>
          <w:bCs w:val="1"/>
          <w:i w:val="1"/>
          <w:iCs w:val="1"/>
          <w:sz w:val="24"/>
          <w:szCs w:val="24"/>
          <w:rtl w:val="0"/>
        </w:rPr>
        <w:t xml:space="preserve">Tabla 34</w:t>
        <w:br w:type="textWrapping"/>
        <w:t xml:space="preserve">Jerarquía de métricas adoptadas para el prototipo experimental</w:t>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2">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3">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E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frame-a-frame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métrica complementaria.</w:t>
      </w:r>
    </w:p>
    <w:p w:rsidR="00000000" w:rsidDel="00000000" w:rsidP="00000000" w:rsidRDefault="00000000" w:rsidRPr="00000000" w14:paraId="000003E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3E8">
      <w:pPr>
        <w:spacing w:line="360" w:lineRule="auto"/>
        <w:rPr>
          <w:rFonts w:ascii="Times New Roman" w:cs="Times New Roman" w:eastAsia="Times New Roman" w:hAnsi="Times New Roman"/>
          <w:b w:val="1"/>
          <w:bCs w:val="1"/>
          <w:i w:val="1"/>
          <w:iCs w:val="1"/>
          <w:sz w:val="24"/>
          <w:szCs w:val="24"/>
        </w:rPr>
      </w:pPr>
      <w:bookmarkStart w:colFirst="0" w:colLast="0" w:name="_xdvfzuhv4wxv" w:id="127"/>
      <w:bookmarkEnd w:id="127"/>
      <w:r w:rsidDel="00000000" w:rsidR="00000000" w:rsidRPr="00000000">
        <w:rPr>
          <w:rFonts w:ascii="Times New Roman" w:cs="Times New Roman" w:eastAsia="Times New Roman" w:hAnsi="Times New Roman"/>
          <w:b w:val="1"/>
          <w:bCs w:val="1"/>
          <w:i w:val="1"/>
          <w:iCs w:val="1"/>
          <w:sz w:val="24"/>
          <w:szCs w:val="24"/>
          <w:rtl w:val="0"/>
        </w:rPr>
        <w:t xml:space="preserve">Tabla 35</w:t>
        <w:br w:type="textWrapping"/>
        <w:t xml:space="preserve">Umbrales orientativos por severidad para la lectura operativa de la alerta</w:t>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F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40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bmg5h5tbiq1" w:id="128"/>
      <w:bookmarkEnd w:id="128"/>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401">
      <w:pPr>
        <w:pStyle w:val="Heading4"/>
        <w:spacing w:after="0" w:before="0" w:line="480" w:lineRule="auto"/>
        <w:rPr>
          <w:rFonts w:ascii="Times New Roman" w:cs="Times New Roman" w:eastAsia="Times New Roman" w:hAnsi="Times New Roman"/>
          <w:b w:val="1"/>
          <w:bCs w:val="1"/>
          <w:color w:val="000000"/>
        </w:rPr>
      </w:pPr>
      <w:bookmarkStart w:colFirst="0" w:colLast="0" w:name="_agomqumkl41" w:id="129"/>
      <w:bookmarkEnd w:id="129"/>
      <w:r w:rsidDel="00000000" w:rsidR="00000000" w:rsidRPr="00000000">
        <w:rPr>
          <w:rFonts w:ascii="Times New Roman" w:cs="Times New Roman" w:eastAsia="Times New Roman" w:hAnsi="Times New Roman"/>
          <w:b w:val="1"/>
          <w:bCs w:val="1"/>
          <w:color w:val="000000"/>
          <w:rtl w:val="0"/>
        </w:rPr>
        <w:t xml:space="preserve">17.1.8.1. Secuencia General del Protocolo</w:t>
      </w:r>
    </w:p>
    <w:p w:rsidR="00000000" w:rsidDel="00000000" w:rsidP="00000000" w:rsidRDefault="00000000" w:rsidRPr="00000000" w14:paraId="000004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4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frame; las métricas temporales —TTFD, SDR y talert-system— quedarán reservadas para secuencias o corridas con eventos anotados e instrumentación suficiente. Del mismo modo, las métricas de tracking sólo serán exigibles sobre subconjuntos con identidades persistentes o en análisis ablativos previamente definidos.</w:t>
      </w:r>
    </w:p>
    <w:p w:rsidR="00000000" w:rsidDel="00000000" w:rsidP="00000000" w:rsidRDefault="00000000" w:rsidRPr="00000000" w14:paraId="00000404">
      <w:pPr>
        <w:spacing w:line="360" w:lineRule="auto"/>
        <w:rPr>
          <w:rFonts w:ascii="Times New Roman" w:cs="Times New Roman" w:eastAsia="Times New Roman" w:hAnsi="Times New Roman"/>
          <w:b w:val="1"/>
          <w:bCs w:val="1"/>
          <w:i w:val="1"/>
          <w:iCs w:val="1"/>
          <w:sz w:val="24"/>
          <w:szCs w:val="24"/>
        </w:rPr>
      </w:pPr>
      <w:bookmarkStart w:colFirst="0" w:colLast="0" w:name="_prttebl9xcj8" w:id="130"/>
      <w:bookmarkEnd w:id="130"/>
      <w:r w:rsidDel="00000000" w:rsidR="00000000" w:rsidRPr="00000000">
        <w:rPr>
          <w:rFonts w:ascii="Times New Roman" w:cs="Times New Roman" w:eastAsia="Times New Roman" w:hAnsi="Times New Roman"/>
          <w:b w:val="1"/>
          <w:bCs w:val="1"/>
          <w:i w:val="1"/>
          <w:iCs w:val="1"/>
          <w:sz w:val="24"/>
          <w:szCs w:val="24"/>
          <w:rtl w:val="0"/>
        </w:rPr>
        <w:t xml:space="preserve">Tabla 36</w:t>
      </w:r>
    </w:p>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tracking</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42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tracking o ajuste al dominio.</w:t>
      </w:r>
    </w:p>
    <w:p w:rsidR="00000000" w:rsidDel="00000000" w:rsidP="00000000" w:rsidRDefault="00000000" w:rsidRPr="00000000" w14:paraId="0000042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lxao9b875vd6" w:id="131"/>
      <w:bookmarkEnd w:id="131"/>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428">
      <w:pPr>
        <w:pStyle w:val="Heading4"/>
        <w:spacing w:after="0" w:before="0" w:line="480" w:lineRule="auto"/>
        <w:rPr>
          <w:rFonts w:ascii="Times New Roman" w:cs="Times New Roman" w:eastAsia="Times New Roman" w:hAnsi="Times New Roman"/>
          <w:b w:val="1"/>
          <w:bCs w:val="1"/>
          <w:color w:val="000000"/>
        </w:rPr>
      </w:pPr>
      <w:bookmarkStart w:colFirst="0" w:colLast="0" w:name="_1cxqespnyty0" w:id="132"/>
      <w:bookmarkEnd w:id="132"/>
      <w:r w:rsidDel="00000000" w:rsidR="00000000" w:rsidRPr="00000000">
        <w:rPr>
          <w:rFonts w:ascii="Times New Roman" w:cs="Times New Roman" w:eastAsia="Times New Roman" w:hAnsi="Times New Roman"/>
          <w:b w:val="1"/>
          <w:bCs w:val="1"/>
          <w:color w:val="000000"/>
          <w:rtl w:val="0"/>
        </w:rPr>
        <w:t xml:space="preserve">17.1.9.1. Criterio Metodológico General</w:t>
      </w:r>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42A">
      <w:pPr>
        <w:pStyle w:val="Heading4"/>
        <w:spacing w:after="0" w:before="0" w:line="480" w:lineRule="auto"/>
        <w:rPr>
          <w:rFonts w:ascii="Times New Roman" w:cs="Times New Roman" w:eastAsia="Times New Roman" w:hAnsi="Times New Roman"/>
          <w:b w:val="1"/>
          <w:bCs w:val="1"/>
          <w:color w:val="000000"/>
        </w:rPr>
      </w:pPr>
      <w:bookmarkStart w:colFirst="0" w:colLast="0" w:name="_9ttfw88aorq9" w:id="133"/>
      <w:bookmarkEnd w:id="133"/>
      <w:r w:rsidDel="00000000" w:rsidR="00000000" w:rsidRPr="00000000">
        <w:rPr>
          <w:rFonts w:ascii="Times New Roman" w:cs="Times New Roman" w:eastAsia="Times New Roman" w:hAnsi="Times New Roman"/>
          <w:b w:val="1"/>
          <w:bCs w:val="1"/>
          <w:color w:val="000000"/>
          <w:rtl w:val="0"/>
        </w:rPr>
        <w:t xml:space="preserve">17.1.9.2. Candidatos de Comparación y Condiciones de Decisión</w:t>
      </w:r>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42C">
      <w:pPr>
        <w:spacing w:line="360" w:lineRule="auto"/>
        <w:rPr>
          <w:rFonts w:ascii="Times New Roman" w:cs="Times New Roman" w:eastAsia="Times New Roman" w:hAnsi="Times New Roman"/>
          <w:b w:val="1"/>
          <w:bCs w:val="1"/>
          <w:sz w:val="24"/>
          <w:szCs w:val="24"/>
        </w:rPr>
      </w:pPr>
      <w:bookmarkStart w:colFirst="0" w:colLast="0" w:name="_rvjrpiwih11n" w:id="134"/>
      <w:bookmarkEnd w:id="134"/>
      <w:r w:rsidDel="00000000" w:rsidR="00000000" w:rsidRPr="00000000">
        <w:rPr>
          <w:rFonts w:ascii="Times New Roman" w:cs="Times New Roman" w:eastAsia="Times New Roman" w:hAnsi="Times New Roman"/>
          <w:b w:val="1"/>
          <w:bCs w:val="1"/>
          <w:i w:val="1"/>
          <w:iCs w:val="1"/>
          <w:sz w:val="24"/>
          <w:szCs w:val="24"/>
          <w:rtl w:val="0"/>
        </w:rPr>
        <w:t xml:space="preserve">Tabla 37</w:t>
      </w:r>
      <w:r w:rsidDel="00000000" w:rsidR="00000000" w:rsidRPr="00000000">
        <w:rPr>
          <w:rtl w:val="0"/>
        </w:rPr>
      </w:r>
    </w:p>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440">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44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fvk7ort6ln94" w:id="135"/>
      <w:bookmarkEnd w:id="135"/>
      <w:r w:rsidDel="00000000" w:rsidR="00000000" w:rsidRPr="00000000">
        <w:rPr>
          <w:rFonts w:ascii="Times New Roman" w:cs="Times New Roman" w:eastAsia="Times New Roman" w:hAnsi="Times New Roman"/>
          <w:b w:val="1"/>
          <w:bCs w:val="1"/>
          <w:i w:val="1"/>
          <w:iCs w:val="1"/>
          <w:color w:val="000000"/>
          <w:sz w:val="24"/>
          <w:szCs w:val="24"/>
          <w:rtl w:val="0"/>
        </w:rPr>
        <w:t xml:space="preserve">17.1.10. Proyección Metodológica Hacia las Instancias Posteriores</w:t>
      </w:r>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proyección hacia instancias posteriores se concentra en esta sección para reunir las dependencias operativas entre entorno experimental, condiciones y prompts, estrategia de datos y framework de métricas.</w:t>
      </w:r>
    </w:p>
    <w:p w:rsidR="00000000" w:rsidDel="00000000" w:rsidP="00000000" w:rsidRDefault="00000000" w:rsidRPr="00000000" w14:paraId="00000443">
      <w:pPr>
        <w:pStyle w:val="Heading4"/>
        <w:spacing w:after="0" w:before="0" w:line="480" w:lineRule="auto"/>
        <w:rPr>
          <w:rFonts w:ascii="Times New Roman" w:cs="Times New Roman" w:eastAsia="Times New Roman" w:hAnsi="Times New Roman"/>
          <w:b w:val="1"/>
          <w:bCs w:val="1"/>
          <w:color w:val="000000"/>
        </w:rPr>
      </w:pPr>
      <w:bookmarkStart w:colFirst="0" w:colLast="0" w:name="_jlpxsdfn2v4i" w:id="136"/>
      <w:bookmarkEnd w:id="136"/>
      <w:r w:rsidDel="00000000" w:rsidR="00000000" w:rsidRPr="00000000">
        <w:rPr>
          <w:rFonts w:ascii="Times New Roman" w:cs="Times New Roman" w:eastAsia="Times New Roman" w:hAnsi="Times New Roman"/>
          <w:b w:val="1"/>
          <w:bCs w:val="1"/>
          <w:color w:val="000000"/>
          <w:rtl w:val="0"/>
        </w:rPr>
        <w:t xml:space="preserve">17.1.10.1. Proyección del Entorno Experimental</w:t>
      </w:r>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proyección del entorno experimental hacia la instancia de análisis y diseño arquitectónico es el congelamiento temprano de la topología operativa del sistema, precisando qué funciones quedan en el CPN, qué rol efectivo tendrá el EN, si existirá procesamiento ligero en borde y cuál será la ruta primaria de ingesta y decodificación de video. Sin esa decisión, la medición de latencia y recursos quedaría contaminada por cambios simultáneos de arquitectura.</w:t>
      </w:r>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validación experimental, toda lectura de viabilidad se ancla en el CPN. El TN interviene exclusivamente como apoyo de entrenamiento y exportación, mientras que el EBE se ejecuta bajo una topología ya congelada y documentada, de modo que la evidencia obtenida sea interpretable y reproducible.</w:t>
      </w:r>
    </w:p>
    <w:p w:rsidR="00000000" w:rsidDel="00000000" w:rsidP="00000000" w:rsidRDefault="00000000" w:rsidRPr="00000000" w14:paraId="00000446">
      <w:pPr>
        <w:pStyle w:val="Heading4"/>
        <w:spacing w:after="0" w:before="0" w:line="480" w:lineRule="auto"/>
        <w:rPr>
          <w:rFonts w:ascii="Times New Roman" w:cs="Times New Roman" w:eastAsia="Times New Roman" w:hAnsi="Times New Roman"/>
          <w:b w:val="1"/>
          <w:bCs w:val="1"/>
          <w:color w:val="000000"/>
        </w:rPr>
      </w:pPr>
      <w:bookmarkStart w:colFirst="0" w:colLast="0" w:name="_heb1a34backb" w:id="137"/>
      <w:bookmarkEnd w:id="137"/>
      <w:r w:rsidDel="00000000" w:rsidR="00000000" w:rsidRPr="00000000">
        <w:rPr>
          <w:rFonts w:ascii="Times New Roman" w:cs="Times New Roman" w:eastAsia="Times New Roman" w:hAnsi="Times New Roman"/>
          <w:b w:val="1"/>
          <w:bCs w:val="1"/>
          <w:color w:val="000000"/>
          <w:rtl w:val="0"/>
        </w:rPr>
        <w:t xml:space="preserve">17.1.10.2. Proyección de las Condiciones de Riesgo y los Prompts</w:t>
      </w:r>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dimensión de condiciones de riesgo y prompts proyecta hacia la instancia de análisis y diseño arquitectónico la traducción de la taxonomía conceptual en reglas ejecutables: congelar para cada condición la formulación primaria del prompt, definir la matriz acotada de variantes comparativas, explicitar la composición del vocabulario activo y decidir cómo se operacionalizan persistencia, severidad, histéresis y lógica contextual dentro del prototipo.</w:t>
      </w:r>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traducción se materializa en el diseño del motor de patrones como componente lógico del plano de control: el diseño arquitectónico establece cómo las detecciones normalizadas, los timestamps, la configuración de prompts y las reglas de patrón se transforman en cambios de estado y en alertas registradas, manteniéndose desacoplado del detector OVD para preservar la posibilidad de sustituir modelos, prompts o trackers sin rediseñar la lógica de alerta.</w:t>
      </w:r>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validación experimental, la misma dimensión establece un criterio de lectura: el desempeño se interpreta por condición y por nivel de complejidad, sin extrapolar el comportamiento del núcleo obligatorio a las condiciones espaciales o relacionales. En el núcleo del prototipo experimental, CR-01 y CR-02 se evalúan mediante persistencia temporal simple sin requerir MOT obligatorio, siempre que la evaluación se mantenga a nivel de patrón y no exija identidad individual persistente. Las condiciones de Nivel 2 se resuelven principalmente mediante reglas espaciales intra-frame, mientras que las condiciones de Nivel 3 requieren relaciones sostenidas entre entidades o entre entidades y regiones parametrizadas, con tracking o mecanismos equivalentes de asociación temporal cuando la evaluación lo exija.</w:t>
      </w:r>
    </w:p>
    <w:p w:rsidR="00000000" w:rsidDel="00000000" w:rsidP="00000000" w:rsidRDefault="00000000" w:rsidRPr="00000000" w14:paraId="0000044A">
      <w:pPr>
        <w:pStyle w:val="Heading4"/>
        <w:spacing w:after="0" w:before="0" w:line="480" w:lineRule="auto"/>
        <w:rPr>
          <w:rFonts w:ascii="Times New Roman" w:cs="Times New Roman" w:eastAsia="Times New Roman" w:hAnsi="Times New Roman"/>
          <w:b w:val="1"/>
          <w:bCs w:val="1"/>
          <w:color w:val="000000"/>
        </w:rPr>
      </w:pPr>
      <w:bookmarkStart w:colFirst="0" w:colLast="0" w:name="_uhzuh4dkkkj" w:id="138"/>
      <w:bookmarkEnd w:id="138"/>
      <w:r w:rsidDel="00000000" w:rsidR="00000000" w:rsidRPr="00000000">
        <w:rPr>
          <w:rFonts w:ascii="Times New Roman" w:cs="Times New Roman" w:eastAsia="Times New Roman" w:hAnsi="Times New Roman"/>
          <w:b w:val="1"/>
          <w:bCs w:val="1"/>
          <w:color w:val="000000"/>
          <w:rtl w:val="0"/>
        </w:rPr>
        <w:t xml:space="preserve">17.1.10.3. Proyección de la Estrategia de Datos</w:t>
      </w:r>
    </w:p>
    <w:p w:rsidR="00000000" w:rsidDel="00000000" w:rsidP="00000000" w:rsidRDefault="00000000" w:rsidRPr="00000000" w14:paraId="000004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proyección principal de la estrategia de datos hacia la instancia de implementación es la ejecución de la combinación de datasets seleccionados: descarga, verificación de formatos y licencias, producción efectiva de particiones según los criterios ya fijados y generación de material complementario sólo cuando resulte indispensable, sin desplazar el foco del proyecto hacia una campaña de datos desproporcionada respecto del alcance del prototipo.</w:t>
      </w:r>
    </w:p>
    <w:p w:rsidR="00000000" w:rsidDel="00000000" w:rsidP="00000000" w:rsidRDefault="00000000" w:rsidRPr="00000000" w14:paraId="000004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validación experimental, la estrategia de datos impone un criterio de interpretación: las condiciones con cobertura sólida o adecuada sostienen comparaciones directas; las condiciones con cobertura parcial o brechada se reportan como extensiones condicionadas, especificando qué parte fue efectivamente evaluada y qué parte sigue dependiendo de datos adicionales.</w:t>
      </w:r>
    </w:p>
    <w:p w:rsidR="00000000" w:rsidDel="00000000" w:rsidP="00000000" w:rsidRDefault="00000000" w:rsidRPr="00000000" w14:paraId="0000044D">
      <w:pPr>
        <w:pStyle w:val="Heading4"/>
        <w:spacing w:after="0" w:before="0" w:line="480" w:lineRule="auto"/>
        <w:rPr>
          <w:rFonts w:ascii="Times New Roman" w:cs="Times New Roman" w:eastAsia="Times New Roman" w:hAnsi="Times New Roman"/>
          <w:b w:val="1"/>
          <w:bCs w:val="1"/>
          <w:color w:val="000000"/>
        </w:rPr>
      </w:pPr>
      <w:bookmarkStart w:colFirst="0" w:colLast="0" w:name="_rqpyx67mx80n" w:id="139"/>
      <w:bookmarkEnd w:id="139"/>
      <w:r w:rsidDel="00000000" w:rsidR="00000000" w:rsidRPr="00000000">
        <w:rPr>
          <w:rFonts w:ascii="Times New Roman" w:cs="Times New Roman" w:eastAsia="Times New Roman" w:hAnsi="Times New Roman"/>
          <w:b w:val="1"/>
          <w:bCs w:val="1"/>
          <w:color w:val="000000"/>
          <w:rtl w:val="0"/>
        </w:rPr>
        <w:t xml:space="preserve">17.1.10.4. Proyección del Framework de Métricas</w:t>
      </w:r>
    </w:p>
    <w:p w:rsidR="00000000" w:rsidDel="00000000" w:rsidP="00000000" w:rsidRDefault="00000000" w:rsidRPr="00000000" w14:paraId="000004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de métricas proyecta hacia la instancia de análisis y diseño arquitectónico una necesidad instrumental concreta: la arquitectura queda instrumentada desde el inicio para registrar timestamps, estados de alerta, consumo de recursos y metadatos de corrida. Sin esa instrumentación, la validación experimental no puede producir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diagnóstico defendible del pipeline integrado.</w:t>
      </w:r>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la validación experimental, el framework de métricas establece un criterio de cierre: la evidencia principal se apoya en métricas de alerta, sostén y desempeño del pipeline, mientras que las métricas académicas de OVD y MOT funcionan como explicación del comportamiento observado y no como sustituto del valor operativo del sistema.</w:t>
      </w:r>
    </w:p>
    <w:p w:rsidR="00000000" w:rsidDel="00000000" w:rsidP="00000000" w:rsidRDefault="00000000" w:rsidRPr="00000000" w14:paraId="000004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z8dg0w5c6q" w:id="140"/>
      <w:bookmarkEnd w:id="140"/>
      <w:r w:rsidDel="00000000" w:rsidR="00000000" w:rsidRPr="00000000">
        <w:rPr>
          <w:rFonts w:ascii="Times New Roman" w:cs="Times New Roman" w:eastAsia="Times New Roman" w:hAnsi="Times New Roman"/>
          <w:b w:val="1"/>
          <w:bCs w:val="1"/>
          <w:i w:val="1"/>
          <w:iCs w:val="1"/>
          <w:color w:val="000000"/>
          <w:sz w:val="24"/>
          <w:szCs w:val="24"/>
          <w:rtl w:val="0"/>
        </w:rPr>
        <w:t xml:space="preserve">17.1.11. Supuestos, Riesgos de Validez y Consideraciones Ético-Legales</w:t>
      </w:r>
    </w:p>
    <w:p w:rsidR="00000000" w:rsidDel="00000000" w:rsidP="00000000" w:rsidRDefault="00000000" w:rsidRPr="00000000" w14:paraId="00000451">
      <w:pPr>
        <w:pStyle w:val="Heading4"/>
        <w:spacing w:after="0" w:before="0" w:line="480" w:lineRule="auto"/>
        <w:rPr>
          <w:rFonts w:ascii="Times New Roman" w:cs="Times New Roman" w:eastAsia="Times New Roman" w:hAnsi="Times New Roman"/>
          <w:b w:val="1"/>
          <w:bCs w:val="1"/>
          <w:color w:val="000000"/>
        </w:rPr>
      </w:pPr>
      <w:bookmarkStart w:colFirst="0" w:colLast="0" w:name="_2q6s0ockg14h" w:id="141"/>
      <w:bookmarkEnd w:id="141"/>
      <w:r w:rsidDel="00000000" w:rsidR="00000000" w:rsidRPr="00000000">
        <w:rPr>
          <w:rFonts w:ascii="Times New Roman" w:cs="Times New Roman" w:eastAsia="Times New Roman" w:hAnsi="Times New Roman"/>
          <w:b w:val="1"/>
          <w:bCs w:val="1"/>
          <w:color w:val="000000"/>
          <w:rtl w:val="0"/>
        </w:rPr>
        <w:t xml:space="preserve">17.1.11.1. Política de Minimización y Uso Asistivo</w:t>
      </w:r>
    </w:p>
    <w:p w:rsidR="00000000" w:rsidDel="00000000" w:rsidP="00000000" w:rsidRDefault="00000000" w:rsidRPr="00000000" w14:paraId="000004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453">
      <w:pPr>
        <w:pStyle w:val="Heading4"/>
        <w:spacing w:after="0" w:before="0" w:line="480" w:lineRule="auto"/>
        <w:rPr>
          <w:rFonts w:ascii="Times New Roman" w:cs="Times New Roman" w:eastAsia="Times New Roman" w:hAnsi="Times New Roman"/>
          <w:b w:val="1"/>
          <w:bCs w:val="1"/>
          <w:color w:val="000000"/>
        </w:rPr>
      </w:pPr>
      <w:bookmarkStart w:colFirst="0" w:colLast="0" w:name="_kngpucmbxx4t" w:id="142"/>
      <w:bookmarkEnd w:id="142"/>
      <w:r w:rsidDel="00000000" w:rsidR="00000000" w:rsidRPr="00000000">
        <w:rPr>
          <w:rFonts w:ascii="Times New Roman" w:cs="Times New Roman" w:eastAsia="Times New Roman" w:hAnsi="Times New Roman"/>
          <w:b w:val="1"/>
          <w:bCs w:val="1"/>
          <w:color w:val="000000"/>
          <w:rtl w:val="0"/>
        </w:rPr>
        <w:t xml:space="preserve">17.1.11.2. Supuestos de Interpretación</w:t>
      </w:r>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w:t>
      </w:r>
    </w:p>
    <w:p w:rsidR="00000000" w:rsidDel="00000000" w:rsidP="00000000" w:rsidRDefault="00000000" w:rsidRPr="00000000" w14:paraId="00000455">
      <w:pPr>
        <w:spacing w:line="360" w:lineRule="auto"/>
        <w:rPr>
          <w:rFonts w:ascii="Times New Roman" w:cs="Times New Roman" w:eastAsia="Times New Roman" w:hAnsi="Times New Roman"/>
          <w:b w:val="1"/>
          <w:bCs w:val="1"/>
          <w:sz w:val="24"/>
          <w:szCs w:val="24"/>
        </w:rPr>
      </w:pPr>
      <w:bookmarkStart w:colFirst="0" w:colLast="0" w:name="_nmojy1n7d88m" w:id="143"/>
      <w:bookmarkEnd w:id="143"/>
      <w:r w:rsidDel="00000000" w:rsidR="00000000" w:rsidRPr="00000000">
        <w:rPr>
          <w:rFonts w:ascii="Times New Roman" w:cs="Times New Roman" w:eastAsia="Times New Roman" w:hAnsi="Times New Roman"/>
          <w:b w:val="1"/>
          <w:bCs w:val="1"/>
          <w:i w:val="1"/>
          <w:iCs w:val="1"/>
          <w:sz w:val="24"/>
          <w:szCs w:val="24"/>
          <w:rtl w:val="0"/>
        </w:rPr>
        <w:t xml:space="preserve">Tabla 38</w:t>
      </w:r>
      <w:r w:rsidDel="00000000" w:rsidR="00000000" w:rsidRPr="00000000">
        <w:rPr>
          <w:rtl w:val="0"/>
        </w:rPr>
      </w:r>
    </w:p>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6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6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kb428yafhhlq" w:id="144"/>
      <w:bookmarkEnd w:id="144"/>
      <w:r w:rsidDel="00000000" w:rsidR="00000000" w:rsidRPr="00000000">
        <w:rPr>
          <w:rFonts w:ascii="Times New Roman" w:cs="Times New Roman" w:eastAsia="Times New Roman" w:hAnsi="Times New Roman"/>
          <w:b w:val="1"/>
          <w:bCs w:val="1"/>
          <w:i w:val="1"/>
          <w:iCs w:val="1"/>
          <w:color w:val="000000"/>
          <w:sz w:val="24"/>
          <w:szCs w:val="24"/>
          <w:rtl w:val="0"/>
        </w:rPr>
        <w:t xml:space="preserve">17.1.12. Conclusiones Parciales de la Consolidación Metodológica</w:t>
      </w:r>
    </w:p>
    <w:p w:rsidR="00000000" w:rsidDel="00000000" w:rsidP="00000000" w:rsidRDefault="00000000" w:rsidRPr="00000000" w14:paraId="0000046B">
      <w:pPr>
        <w:pStyle w:val="Heading4"/>
        <w:spacing w:after="0" w:before="0" w:line="480" w:lineRule="auto"/>
        <w:rPr>
          <w:rFonts w:ascii="Times New Roman" w:cs="Times New Roman" w:eastAsia="Times New Roman" w:hAnsi="Times New Roman"/>
          <w:b w:val="1"/>
          <w:bCs w:val="1"/>
          <w:color w:val="000000"/>
        </w:rPr>
      </w:pPr>
      <w:bookmarkStart w:colFirst="0" w:colLast="0" w:name="_bco05tdabudk" w:id="145"/>
      <w:bookmarkEnd w:id="145"/>
      <w:r w:rsidDel="00000000" w:rsidR="00000000" w:rsidRPr="00000000">
        <w:rPr>
          <w:rFonts w:ascii="Times New Roman" w:cs="Times New Roman" w:eastAsia="Times New Roman" w:hAnsi="Times New Roman"/>
          <w:b w:val="1"/>
          <w:bCs w:val="1"/>
          <w:color w:val="000000"/>
          <w:rtl w:val="0"/>
        </w:rPr>
        <w:t xml:space="preserve">17.1.12.1. Cierre del Alcance Metodológico</w:t>
      </w:r>
    </w:p>
    <w:p w:rsidR="00000000" w:rsidDel="00000000" w:rsidP="00000000" w:rsidRDefault="00000000" w:rsidRPr="00000000" w14:paraId="000004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6D">
      <w:pPr>
        <w:pStyle w:val="Heading4"/>
        <w:spacing w:after="0" w:before="0" w:line="480" w:lineRule="auto"/>
        <w:rPr>
          <w:rFonts w:ascii="Times New Roman" w:cs="Times New Roman" w:eastAsia="Times New Roman" w:hAnsi="Times New Roman"/>
          <w:b w:val="1"/>
          <w:bCs w:val="1"/>
          <w:color w:val="000000"/>
        </w:rPr>
      </w:pPr>
      <w:bookmarkStart w:colFirst="0" w:colLast="0" w:name="_8zbgrj45j1s7" w:id="146"/>
      <w:bookmarkEnd w:id="146"/>
      <w:r w:rsidDel="00000000" w:rsidR="00000000" w:rsidRPr="00000000">
        <w:rPr>
          <w:rFonts w:ascii="Times New Roman" w:cs="Times New Roman" w:eastAsia="Times New Roman" w:hAnsi="Times New Roman"/>
          <w:b w:val="1"/>
          <w:bCs w:val="1"/>
          <w:color w:val="000000"/>
          <w:rtl w:val="0"/>
        </w:rPr>
        <w:t xml:space="preserve">17.1.12.2. Articulación con las Instancias de Diseño e Implementación</w:t>
      </w:r>
    </w:p>
    <w:p w:rsidR="00000000" w:rsidDel="00000000" w:rsidP="00000000" w:rsidRDefault="00000000" w:rsidRPr="00000000" w14:paraId="000004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experimental consolidado</w:t>
      </w:r>
      <w:r w:rsidDel="00000000" w:rsidR="00000000" w:rsidRPr="00000000">
        <w:rPr>
          <w:rFonts w:ascii="Times New Roman" w:cs="Times New Roman" w:eastAsia="Times New Roman" w:hAnsi="Times New Roman"/>
          <w:sz w:val="24"/>
          <w:szCs w:val="24"/>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4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Escenarios e infraestructura</w:t>
      </w:r>
      <w:r w:rsidDel="00000000" w:rsidR="00000000" w:rsidRPr="00000000">
        <w:rPr>
          <w:rFonts w:ascii="Times New Roman" w:cs="Times New Roman" w:eastAsia="Times New Roman" w:hAnsi="Times New Roman"/>
          <w:sz w:val="24"/>
          <w:szCs w:val="24"/>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4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datos y partición</w:t>
      </w:r>
      <w:r w:rsidDel="00000000" w:rsidR="00000000" w:rsidRPr="00000000">
        <w:rPr>
          <w:rFonts w:ascii="Times New Roman" w:cs="Times New Roman" w:eastAsia="Times New Roman" w:hAnsi="Times New Roman"/>
          <w:sz w:val="24"/>
          <w:szCs w:val="24"/>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4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de métricas y registro</w:t>
      </w:r>
      <w:r w:rsidDel="00000000" w:rsidR="00000000" w:rsidRPr="00000000">
        <w:rPr>
          <w:rFonts w:ascii="Times New Roman" w:cs="Times New Roman" w:eastAsia="Times New Roman" w:hAnsi="Times New Roman"/>
          <w:sz w:val="24"/>
          <w:szCs w:val="24"/>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4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adaptación al dominio</w:t>
      </w:r>
      <w:r w:rsidDel="00000000" w:rsidR="00000000" w:rsidRPr="00000000">
        <w:rPr>
          <w:rFonts w:ascii="Times New Roman" w:cs="Times New Roman" w:eastAsia="Times New Roman" w:hAnsi="Times New Roman"/>
          <w:sz w:val="24"/>
          <w:szCs w:val="24"/>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474">
      <w:pPr>
        <w:spacing w:line="480" w:lineRule="auto"/>
        <w:ind w:firstLine="720"/>
        <w:rPr/>
      </w:pPr>
      <w:r w:rsidDel="00000000" w:rsidR="00000000" w:rsidRPr="00000000">
        <w:rPr>
          <w:rFonts w:ascii="Times New Roman" w:cs="Times New Roman" w:eastAsia="Times New Roman" w:hAnsi="Times New Roman"/>
          <w:b w:val="1"/>
          <w:bCs w:val="1"/>
          <w:sz w:val="24"/>
          <w:szCs w:val="24"/>
          <w:rtl w:val="0"/>
        </w:rPr>
        <w:t xml:space="preserve">Supuestos y riesgos de validez</w:t>
      </w:r>
      <w:r w:rsidDel="00000000" w:rsidR="00000000" w:rsidRPr="00000000">
        <w:rPr>
          <w:rFonts w:ascii="Times New Roman" w:cs="Times New Roman" w:eastAsia="Times New Roman" w:hAnsi="Times New Roman"/>
          <w:sz w:val="24"/>
          <w:szCs w:val="24"/>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r w:rsidDel="00000000" w:rsidR="00000000" w:rsidRPr="00000000">
        <w:rPr>
          <w:rtl w:val="0"/>
        </w:rPr>
      </w:r>
    </w:p>
    <w:sectPr>
      <w:type w:val="nextPage"/>
      <w:pgSz w:h="16834" w:w="11909" w:orient="portrait"/>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