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0"/>
          <w:i w:val="0"/>
          <w:bCs w:val="1"/>
          <w:b w:val="1"/>
          <w:sz w:val="24"/>
          <w:szCs w:val="24"/>
          <w:color w:val="000000"/>
        </w:rPr>
        <w:t>17. Desarrollo del producto</w:t>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0"/>
          <w:i w:val="0"/>
          <w:bCs w:val="1"/>
          <w:b w:val="1"/>
          <w:sz w:val="24"/>
          <w:szCs w:val="24"/>
          <w:color w:val="000000"/>
        </w:rPr>
        <w:t>17.1. Consolidación metodológica del protocolo experimental</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color w:val="000000"/>
        </w:rPr>
        <w:t>17.1.1. Función y alcance de la consolidación metodológica</w:t>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17.1.1.1. Función metodológica dentro del trabajo</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17.1.1.2. Articulación entre los desarrollos metodológicos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rPr>
        <w:t>Tabla 16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Articulación entre las dimensiones metodológicas de la consolidación experimental</w:t>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Change w:id="0">
          <w:tblGrid>
            <w:gridCol w:w="2400"/>
            <w:gridCol w:w="3740"/>
            <w:gridCol w:w="4320"/>
          </w:tblGrid>
        </w:tblGridChange>
      </w:tblGrid>
      <w:tr>
        <w:trPr>
          <w:cantSplit w:val="0"/>
          <w:tblHeader w:val="true"/>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b/>
              </w:rPr>
            </w:r>
          </w:p>
        </w:tc>
      </w:tr>
      <w:tr>
        <w:trPr>
          <w:cantSplit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17.1.2. Alcance experimental consolidado del prototipo</w:t>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17.1.2.1. Delimitación del catálogo de condiciones de riesgo</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17.1.2.2. Núcleo obligatorio y extensiones condicionadas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rPr>
        <w:t>Tabla 17</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Catálogo consolidado de condiciones de riesgo y rol experimental</w:t>
      </w:r>
    </w:p>
    <w:tbl>
      <w:tblPr>
        <w:tblStyle w:val="Table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600"/>
        <w:gridCol w:w="2880"/>
        <w:gridCol w:w="1980"/>
        <w:gridCol w:w="2560"/>
        <w:tblGridChange w:id="0">
          <w:tblGrid>
            <w:gridCol w:w="2440"/>
            <w:gridCol w:w="600"/>
            <w:gridCol w:w="2880"/>
            <w:gridCol w:w="1980"/>
            <w:gridCol w:w="2560"/>
          </w:tblGrid>
        </w:tblGridChange>
      </w:tblGrid>
      <w:tr>
        <w:trPr>
          <w:cantSplit w:val="0"/>
          <w:tblHeader w:val="true"/>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y condición</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 dominante</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Módulos requeridos</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metodológico</w:t>
            </w:r>
            <w:r w:rsidDel="00000000" w:rsidR="00000000" w:rsidRPr="00000000">
              <w:rPr>
                <w:rtl w:val="0"/>
                <w:b/>
              </w:rPr>
            </w:r>
          </w:p>
        </w:tc>
      </w:tr>
      <w:tr>
        <w:trPr>
          <w:cantSplit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 estrategia directa o indirecta.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obligatorio del prototipo experimental; condición prioritaria para comparación y aceptación.</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 estrategia directa o indirecta.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obligatorio del prototipo experimental; condición prioritaria para comparación y aceptación.</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estructura elevada y ausencia visible de arnés o línea de vida.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reglas espaciales intracuadro.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exploratoria y condicionada a datos complementarios y visibilidad suficiente.</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 con personas próximas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sin protección colectiva y proximidad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reglas espaciales intracuadro.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exploratoria y condicionada; no bloquea la aceptación del núcleo del prototipo.</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en operación cerca de peatones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y personas bajo distancia de seguridad.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condicionada a módulo relacional y datos contextuales adecuados.</w:t>
            </w:r>
          </w:p>
        </w:tc>
      </w:tr>
      <w:tr>
        <w:trPr>
          <w:cantSplit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dentro de zona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un área previamente parametrizada como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región de interés fija.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condicionada; requiere cámara fija o parametrización espacial externa al prompt.</w:t>
            </w:r>
          </w:p>
        </w:tc>
      </w:tr>
    </w:tbl>
    <w:p w:rsidR="00000000" w:rsidDel="00000000" w:rsidP="00000000" w:rsidRDefault="00000000" w:rsidRPr="00000000" w14:paraId="0000004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distinción entre núcleo obligatorio y extensión condicionada no elimina condiciones del catálogo. Explicita el nivel de compromiso que esta instancia puede sostener con los datos, la instrumentación y la complejidad disponible.</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17.1.3.1. Patrón de riesgo como unidad de análisis</w:t>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17.1.3.2. Cadena operativa mínima y motor de patrones</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en esta instancia como una abstracción lógica del plano de control. Este componente recibe eventos de detección normalizados, información de seguimiento cuando exista, configuración de prompts y reglas de patrón; aplica criterios de persistencia, severidad, histéresis y lógica espacial o contextual; y emite cambios de estado del patrón. Sólo cuando un patrón alcanza el estado confirmado puede registrarse una alerta interna dentro del sistema.</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17.1.3.3. Escenarios de evaluación</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17.1.3.4. Decisiones estructurales del diseño metodológico</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18</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Decisiones estructurales del diseño metodológico</w:t>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Change w:id="0">
          <w:tblGrid>
            <w:gridCol w:w="2120"/>
            <w:gridCol w:w="5040"/>
            <w:gridCol w:w="3300"/>
          </w:tblGrid>
        </w:tblGridChange>
      </w:tblGrid>
      <w:tr>
        <w:trPr>
          <w:cantSplit w:val="0"/>
          <w:tblHeader w:val="true"/>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b/>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b/>
              </w:rPr>
            </w:r>
          </w:p>
        </w:tc>
      </w:tr>
      <w:tr>
        <w:trPr>
          <w:cantSplit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17.1.4.1. Introducción y alcance</w:t>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17.1.4.2. Infraestructura de evaluación</w:t>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17.1.4.2.1. Central Processing Node (CPN)</w:t>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Este rol se materializa sobre una laptop HP Victus 15 Gaming 15-FB2024LA con GPU NVIDIA GeForce RTX 4060 Laptop y 8 GB de VRAM,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Las especificaciones completas del CPN y del entorno de software se presentan en las Tablas B.1 y B.3 del Anexo B.</w:t>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17.1.4.2.2. Implicancias del NVDEC para el pipeline de medios</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17.1.4.2.3. Edge Node (EN) y dispositivo de captura candidato</w:t>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Las especificaciones del dispositivo de captura y su conectividad se detallan en la Tabla B.2 del Anexo B.</w:t>
      </w:r>
    </w:p>
    <w:p w:rsidR="00000000" w:rsidDel="00000000" w:rsidP="00000000" w:rsidRDefault="00000000" w:rsidRPr="00000000" w14:paraId="00000088">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17.1.4.2.4. Criterio de prioridad y fuente RTSP sintética</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fuente RTSP sintética, generada a partir de material pregrabado mediante un servidor de medios, se reserva para desarrollo, pruebas de integración y reproducción controlada de una misma entrada por las rutas DBE y EBE. No constituye una fuente experimental independiente ni sustituye la captura del entorno físico.</w:t>
      </w:r>
    </w:p>
    <w:p w:rsidR="00000000" w:rsidDel="00000000" w:rsidP="00000000" w:rsidRDefault="00000000" w:rsidRPr="00000000" w14:paraId="0000008A">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17.1.4.2.5. Stack de software de inferencia (CPN)</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El stack del CPN debe ser compatible con los frameworks oficiales de Grounding DINO y YOLOE, con aceleración sobre GPU NVIDIA y con rutas reproducibles de inferencia. Las librerías, versiones y runtimes candidatos se documentan en la Tabla B.3 del Anexo B (Liu et al., 2023; Wang et al., 2025).</w:t>
      </w:r>
    </w:p>
    <w:p w:rsidR="00000000" w:rsidDel="00000000" w:rsidP="00000000" w:rsidRDefault="00000000" w:rsidRPr="00000000" w14:paraId="0000008C">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17.1.4.3. Adaptación de modelos al dominio</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F">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17.1.4.3.1. Training Node (TN)</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El TN se materializa mediante el clúster institucional Mendieta del CCAD-UNC, reservado para preparación y ajuste de variantes. Su capacidad no sustituye la evaluación operativa sobre el CPN; las especificaciones del recurso se presentan en la Tabla B.4 del Anexo B (Centro de Computación de Alto Desempeño, 2026).</w:t>
      </w:r>
    </w:p>
    <w:p w:rsidR="00000000" w:rsidDel="00000000" w:rsidP="00000000" w:rsidRDefault="00000000" w:rsidRPr="00000000" w14:paraId="00000091">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17.1.4.3.2. Stack de software de entrenamiento (TN)</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entorno del TN debe permitir preparación de datos, entrenamiento reproducible, conservación de checkpoints y exportación hacia el runtime del CPN. La configuración candidata se resume en la Tabla B.5 del Anexo B.</w:t>
      </w:r>
    </w:p>
    <w:p w:rsidR="00000000" w:rsidDel="00000000" w:rsidP="00000000" w:rsidRDefault="00000000" w:rsidRPr="00000000" w14:paraId="00000093">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17.1.4.3.3. Flujo de transferencia y evaluación</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5">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17.1.4.4. Escenarios de evaluación</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tanto de modelos preentrenados (baseline) como de modelos ajustados mediante fine-tuning en el TN (Sección 17.1.9), permitiendo una comparación directa del impacto de la adaptación al dominio.</w:t>
      </w:r>
    </w:p>
    <w:p w:rsidR="00000000" w:rsidDel="00000000" w:rsidP="00000000" w:rsidRDefault="00000000" w:rsidRPr="00000000" w14:paraId="00000097">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17.1.4.4.1. Escenario A - Dataset-Based Evaluation (DBE)</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rPr>
        <w:t>Tabla 19</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Características del Escenario A - Dataset-Based Evaluation (DBE)</w:t>
      </w:r>
    </w:p>
    <w:tbl>
      <w:tblPr>
        <w:tblStyle w:val="Table4"/>
        <w:tblW w:w="10460.0" w:type="dxa"/>
        <w:jc w:val="center"/>
        <w:tblLayout w:type="fixed"/>
        <w:tblLook w:val="0400"/>
      </w:tblPr>
      <w:tblGrid>
        <w:gridCol w:w="1800"/>
        <w:gridCol w:w="8660"/>
        <w:tblGridChange w:id="0">
          <w:tblGrid>
            <w:gridCol w:w="1800"/>
            <w:gridCol w:w="866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C">
      <w:pPr>
        <w:pStyle w:val="Heading5"/>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0"/>
          <w:i w:val="0"/>
          <w:bCs w:val="1"/>
          <w:b w:val="1"/>
          <w:sz w:val="24"/>
          <w:szCs w:val="24"/>
          <w:color w:val="000000"/>
        </w:rPr>
        <w:t>17.1.4.4.2. Escenario B - Environment-Based Evaluation (EBE)</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Al igual que en el Escenario A, se ejecutan las variantes preentrenada y fine-tuned de cada modelo candidato seleccionado tras la evaluación del Escenario A.</w:t>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rPr>
        <w:t>Tabla 20</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Características del Escenario B - Environment-Based Evaluation (EBE)</w:t>
      </w:r>
    </w:p>
    <w:tbl>
      <w:tblPr>
        <w:tblStyle w:val="Table5"/>
        <w:tblW w:w="10460.0" w:type="dxa"/>
        <w:jc w:val="center"/>
        <w:tblLayout w:type="fixed"/>
        <w:tblLook w:val="0400"/>
      </w:tblPr>
      <w:tblGrid>
        <w:gridCol w:w="1980"/>
        <w:gridCol w:w="8480"/>
        <w:tblGridChange w:id="0">
          <w:tblGrid>
            <w:gridCol w:w="1980"/>
            <w:gridCol w:w="848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Video en vivo desde el EN mediante cámara IP por RTSP o captura directa con OAK-D Pro PoE. La fuente RTSP sintética se reserva para desarrollo y reproducibilidad.</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CPN para inferencia central; EN para captura y, sólo como variante condicionada, preprocesamiento liviano.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Variante preentrenada (baseline) y variante fine-tuned, sobre el modelo o combinación seleccionada tras el Escenario 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5">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17.1.4.5. Parámetros operativos de referencia</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7">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17.1.4.5.1. Parámetros de referencia del pipeline</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Los parámetros operativos se documentan por perfil. En particular, la resolución de inferencia es un parámetro del perfil de modelo y debe fijarse junto con los umbrales recalibrados para ese perfil; no se adopta una resolución única para todas las familias. Los restantes valores orientativos se presentan en la Tabla B.6 del Anexo B.</w:t>
      </w:r>
    </w:p>
    <w:p w:rsidR="00000000" w:rsidDel="00000000" w:rsidP="00000000" w:rsidRDefault="00000000" w:rsidRPr="00000000" w14:paraId="000000C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17.1.4.5.2. Transporte de video en el escenario B</w:t>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En el EBE, la captura y el procesamiento pueden ubicarse en nodos distintos. El protocolo exige declarar fuente, transporte, buffering y anclas temporales para distinguir la latencia de adquisición de la latencia algorítmica. La topología de referencia se presenta en la Tabla B.7 del Anexo B.</w:t>
      </w:r>
    </w:p>
    <w:p w:rsidR="00000000" w:rsidDel="00000000" w:rsidP="00000000" w:rsidRDefault="00000000" w:rsidRPr="00000000" w14:paraId="000000CB">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17.1.4.6. Restricciones y condicionantes del entorno experimental</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detalladas en la Tabla 21 condicionan las decisiones de diseño de etapas posteriores y deben tenerse presentes al interpretar los resultados experimentales.</w:t>
      </w:r>
    </w:p>
    <w:p w:rsidR="00000000" w:rsidDel="00000000" w:rsidP="00000000" w:rsidRDefault="00000000" w:rsidRPr="00000000" w14:paraId="000000CD">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iCs w:val="1"/>
          <w:i w:val="1"/>
          <w:bCs w:val="1"/>
          <w:b w:val="1"/>
          <w:sz w:val="24"/>
          <w:szCs w:val="24"/>
        </w:rPr>
        <w:t>Tabla 21</w:t>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Restricciones y condicionantes del entorno experimental</w:t>
      </w:r>
    </w:p>
    <w:tbl>
      <w:tblPr>
        <w:tblStyle w:val="Table6"/>
        <w:tblW w:w="10480.0" w:type="dxa"/>
        <w:jc w:val="center"/>
        <w:tblLayout w:type="fixed"/>
        <w:tblLook w:val="0400"/>
      </w:tblPr>
      <w:tblGrid>
        <w:gridCol w:w="3020"/>
        <w:gridCol w:w="2680"/>
        <w:gridCol w:w="4780"/>
        <w:tblGridChange w:id="0">
          <w:tblGrid>
            <w:gridCol w:w="3020"/>
            <w:gridCol w:w="2680"/>
            <w:gridCol w:w="478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rPr>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Linux mediante WSL2 y contenedores Linux en el CPN</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Entorno de ejecución — CPN</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Las versiones de CUDA, bibliotecas, runtimes y bus deben ser compatibles con el entorno Linux adoptado y quedar congeladas por corrida.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de latencia G2A de 50–250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La planificación del ajuste debe contemplar la cola institucional, sin convertir la disponibilidad de cómputo en criterio metodológico de aceptación o descarte.</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0EB">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17.1.4.7. Lectura metodológica de la infraestructura operativa y sus restricciones</w:t>
      </w:r>
    </w:p>
    <w:p w:rsidR="00000000" w:rsidDel="00000000" w:rsidP="00000000" w:rsidRDefault="00000000" w:rsidRPr="00000000" w14:paraId="000000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del proyecto se organiza en tres nodos con roles diferenciados. El Central Processing Node (CPN) es la plataforma donde debe probarse la viabilidad operativa. El Training Node (TN), correspondiente al clúster institucional Mendieta, cumple una función acotada de entrenamiento o exportación de variantes ajustadas. El Edge Node (EN) aporta captura continua para el EBE y, sólo si la arquitectura lo justifica, preprocesamiento o inferencia ligera.</w:t>
      </w:r>
    </w:p>
    <w:p w:rsidR="00000000" w:rsidDel="00000000" w:rsidP="00000000" w:rsidRDefault="00000000" w:rsidRPr="00000000" w14:paraId="000000E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 consecuencia metodológica es que las conclusiones sobre tiempo real, latencia, uso de recursos y sostenibilidad del pipeline deben anclarse en el CPN: una HP Victus 15 con RTX 4060 Laptop de 8 GB de VRAM y entorno Linux mediante WSL2 y contenedores Linux. Esta restricción orienta la selección de modelos, la resolución, la composición del vocabulario y el runtime de inferencia.</w:t>
      </w:r>
    </w:p>
    <w:p w:rsidR="00000000" w:rsidDel="00000000" w:rsidP="00000000" w:rsidRDefault="00000000" w:rsidRPr="00000000" w14:paraId="000000EE">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rPr>
        <w:t>Tabla 22</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Infraestructura experimental y función metodológica de cada nodo</w:t>
      </w:r>
    </w:p>
    <w:tbl>
      <w:tblPr>
        <w:tblStyle w:val="Table7"/>
        <w:tblW w:w="10460.0" w:type="dxa"/>
        <w:jc w:val="center"/>
        <w:tblLayout w:type="fixed"/>
        <w:tblLook w:val="0400"/>
      </w:tblPr>
      <w:tblGrid>
        <w:gridCol w:w="800"/>
        <w:gridCol w:w="3060"/>
        <w:gridCol w:w="3480"/>
        <w:gridCol w:w="3120"/>
        <w:tblGridChange w:id="0">
          <w:tblGrid>
            <w:gridCol w:w="800"/>
            <w:gridCol w:w="3060"/>
            <w:gridCol w:w="3480"/>
            <w:gridCol w:w="312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relevante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metodológica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correcta dentro del protocolo</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w:t>
            </w:r>
          </w:p>
        </w:tc>
        <w:tc>
          <w:tcPr>
            <w:tcBorders>
              <w:top w:color="000000" w:space="0" w:sz="0" w:val="nil"/>
              <w:left w:color="000000" w:space="0" w:sz="0" w:val="nil"/>
              <w:bottom w:color="000000" w:space="0" w:sz="0" w:val="nil"/>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HP Victus 15; RTX 4060 Laptop de 8 GB; 32 GB de RAM; Linux mediante WSL2 y contenedores Linux.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 evaluación del pipeline y medición de recursos y 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donde debe defenderse la viabilidad operativa del prototipo experimental.</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Clúster Mendieta; nodos con 2 × NVIDIA A30; Linux institucional.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supervisado o exportación de variantes ajustadas, si aplica.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sustituye la prueba operativa sobre el CPN ni redefine el presupuesto real del sistema.</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w:t>
            </w:r>
          </w:p>
        </w:tc>
        <w:tc>
          <w:tcPr>
            <w:tcBorders>
              <w:top w:color="000000" w:space="0" w:sz="0" w:val="nil"/>
              <w:left w:color="000000" w:space="0" w:sz="0" w:val="nil"/>
              <w:bottom w:color="000000" w:space="0" w:sz="4" w:val="single"/>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Fuentes integrables para el EBE: cámara IP por RTSP y OAK-D Pro PoE.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Suministro de video continuo y eventual preprocesamiento o inferencia ligera.</w:t>
            </w:r>
          </w:p>
        </w:tc>
        <w:tc>
          <w:tcPr>
            <w:tcBorders>
              <w:top w:color="000000" w:space="0" w:sz="0" w:val="nil"/>
              <w:left w:color="000000" w:space="0" w:sz="0" w:val="nil"/>
              <w:bottom w:color="000000" w:space="0" w:sz="4" w:val="single"/>
              <w:right w:color="000000" w:space="0" w:sz="0" w:val="nil"/>
            </w:tcBorders>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Su función base es captura y transmisión; la inferencia liviana en borde requiere una evaluación independiente.</w:t>
            </w:r>
          </w:p>
        </w:tc>
      </w:tr>
    </w:tbl>
    <w:p w:rsidR="00000000" w:rsidDel="00000000" w:rsidP="00000000" w:rsidRDefault="00000000" w:rsidRPr="00000000" w14:paraId="0000010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separación entre CPN, TN y EN no es organizativa sino metodológica: define dónde se entrena, dónde se ejecuta y dónde debe interpretarse la capacidad real del prototipo.</w:t>
      </w:r>
    </w:p>
    <w:p w:rsidR="00000000" w:rsidDel="00000000" w:rsidP="00000000" w:rsidRDefault="00000000" w:rsidRPr="00000000" w14:paraId="00000101">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entorno impone restricciones explícitas. La VRAM de 8 GB limita el tamaño de los modelos y el margen para lotes o vocabularios extensos; la capacidad del EN no permite suponer inferencia OVD principal sin simplificaciones; y la combinación de Linux mediante WSL2, CUDA, contenedores y runtimes acelerados introduce dependencias que deben quedar registradas en la bitácora experimental.</w:t>
      </w:r>
    </w:p>
    <w:p w:rsidR="00000000" w:rsidDel="00000000" w:rsidP="00000000" w:rsidRDefault="00000000" w:rsidRPr="00000000" w14:paraId="00000102">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17.1.5. Condiciones de riesgo, patrones y protocolo de prompts</w:t>
      </w:r>
    </w:p>
    <w:p w:rsidR="00000000" w:rsidDel="00000000" w:rsidP="00000000" w:rsidRDefault="00000000" w:rsidRPr="00000000" w14:paraId="00000103">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17.1.5.1. Introducción y alcance</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dejó abierta una brecha metodológica entre la identificación normativa de condiciones de riesgo relevantes para seguridad laboral y su traducción en consultas textuales evaluables por modelos de detección open-vocabulary. Junto con esa brecha, el análisis previo señaló que la formulación del prompt no constituye un detalle accesorio, sino una variable que puede alterar de manera significativa el desempeño del detector en dominios especializados.</w:t>
      </w:r>
    </w:p>
    <w:p w:rsidR="00000000" w:rsidDel="00000000" w:rsidP="00000000" w:rsidRDefault="00000000" w:rsidRPr="00000000" w14:paraId="000001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prompts OVD. En articulación con el framework de métricas, la sección delimita además cómo esas definiciones conceptuales deben leerse respecto de la latencia de alerta, las métricas operativas y los criterios de aplicación del framework evaluativo.</w:t>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p>
    <w:p w:rsidR="00000000" w:rsidDel="00000000" w:rsidP="00000000" w:rsidRDefault="00000000" w:rsidRPr="00000000" w14:paraId="00000107">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17.1.5.2. Taxonomía de condiciones de riesgo para el prototipo</w:t>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17.1.5.2.1. Criterios de selección del subconjunto del prototipo experimental</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17.1.5.2.2. Clasificación por niveles de complejidad</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3">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17.1.5.2.3. Catálogo de condiciones de riesgo seleccionadas</w:t>
      </w:r>
    </w:p>
    <w:p w:rsidR="00000000" w:rsidDel="00000000" w:rsidP="00000000" w:rsidRDefault="00000000" w:rsidRPr="00000000" w14:paraId="0000011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23</w:t>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Catálogo de condiciones de riesgo seleccionadas para el prototipo experimental</w:t>
      </w:r>
    </w:p>
    <w:tbl>
      <w:tblPr>
        <w:tblStyle w:val="Table8"/>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Pr>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Pr>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p>
    <w:p w:rsidR="00000000" w:rsidDel="00000000" w:rsidP="00000000" w:rsidRDefault="00000000" w:rsidRPr="00000000" w14:paraId="0000014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17.1.5.2.4. Consideraciones sobre evaluabilidad y limitaciones</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17.1.5.3. Definición conceptual de patrones de riesgo</w:t>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5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17.1.5.3.1. El patrón de riesgo como unidad de análisis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4">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17.1.5.3.2. Niveles de severidad</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o fatal. Los artículos 52 a 57 del Decreto 911/96 establecen medidas de prevención frente 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alto</w:t>
      </w:r>
      <w:r w:rsidDel="00000000" w:rsidR="00000000" w:rsidRPr="00000000">
        <w:rPr>
          <w:rFonts w:ascii="Times New Roman" w:cs="Times New Roman" w:eastAsia="Times New Roman" w:hAnsi="Times New Roman"/>
          <w:sz w:val="24"/>
          <w:szCs w:val="24"/>
          <w:rtl w:val="0"/>
        </w:rPr>
        <w: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B">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17.1.5.3.3. Criterios de persistencia temporal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1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conocido el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Conviene precisar que estos rangos tienen carácter analítico y orientativo. Los valores definitivos se calibrarán empíricamente durante la validación experimental, una vez que el pipeline completo esté operativo y se conozca el throughput efectivo. La instancia de análisis y diseño arquitectónico tomará estos rangos como referencia para diseñar los mecanismos computacionales de evaluación de persistencia.</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16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17.1.5.3.4. Operacionalización preliminar del motor de patrones</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1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deberá materializarla; y la validación experimental deberá calibrar empíricamente sus umbrales, ventanas e histéresis. Con esta delimitación, se busca cerrar la brecha entre patrón conceptual y evaluación en runtime, hasta que queden completamente definidas en el diseño arquitectónico.</w:t>
      </w:r>
    </w:p>
    <w:p w:rsidR="00000000" w:rsidDel="00000000" w:rsidP="00000000" w:rsidRDefault="00000000" w:rsidRPr="00000000" w14:paraId="0000016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17.1.5.3.5. Catálogo de patrones de riesgo</w:t>
      </w:r>
    </w:p>
    <w:p w:rsidR="00000000" w:rsidDel="00000000" w:rsidP="00000000" w:rsidRDefault="00000000" w:rsidRPr="00000000" w14:paraId="0000016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24</w:t>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Catálogo de patrones de riesgo del prototipo E-OVRT-VDP</w:t>
      </w:r>
    </w:p>
    <w:tbl>
      <w:tblPr>
        <w:tblStyle w:val="Table9"/>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true"/>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b/>
              </w:rPr>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19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el Decreto 911/96 y la Ley 19.587.</w:t>
      </w:r>
    </w:p>
    <w:p w:rsidR="00000000" w:rsidDel="00000000" w:rsidP="00000000" w:rsidRDefault="00000000" w:rsidRPr="00000000" w14:paraId="0000019F">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17.1.5.3.6. Criterios de activación combinada para condiciones de nivel 3</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bounding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bounding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cuadros consecutivos.</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 — persona en zona restringida. La activación requiere la detección de al menos una persona cuya posición representativa se encuentre contenida dentro de un polígono predefinido que represente la zona restringida. Para zonas definidas sobre el plano del suelo, resulta preferible utilizar el punto medio inferior del bounding box como aproximación del punto de apoyo de la persona, en lugar del centroide de la caja, aunque ambas alternativas podrán compararse durante la implementación. El polígono debe ser configurable por el operador como parte de la parametrización del sistema, no como parte del prompt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t>
      </w:r>
    </w:p>
    <w:p w:rsidR="00000000" w:rsidDel="00000000" w:rsidP="00000000" w:rsidRDefault="00000000" w:rsidRPr="00000000" w14:paraId="000001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4">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17.1.5.3.7. Frontera explícita con la instancia de análisis y diseño arquitectónico</w:t>
      </w:r>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esta sección deja tres insumos directos para la instancia de análisis y diseño arquitectónico: el catálogo de condiciones de riesgo clasificado por niveles de 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17.1.5.4. Protocolo de diseño y evaluación de prompts OVD</w:t>
      </w:r>
    </w:p>
    <w:p w:rsidR="00000000" w:rsidDel="00000000" w:rsidP="00000000" w:rsidRDefault="00000000" w:rsidRPr="00000000" w14:paraId="000001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1A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17.1.5.4.1. Sensibilidad a la formulación del prompt como variable del sistema</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17.1.5.4.2. Estrategia de variación sistemática</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23)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Estrategia de detección.</w:t>
      </w:r>
      <w:r>
        <w:rPr>
          <w:rFonts w:ascii="Times New Roman" w:hAnsi="Times New Roman" w:eastAsia="Times New Roman" w:cs="Times New Roman"/>
          <w:sz w:val="24"/>
          <w:szCs w:val="24"/>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En este trabajo estas familias se identifican con un código: estrategia directa (</w:t>
      </w:r>
      <w:r>
        <w:rPr>
          <w:rFonts w:ascii="Courier New" w:hAnsi="Courier New" w:eastAsia="Courier New" w:cs="Courier New"/>
          <w:sz w:val="24"/>
          <w:szCs w:val="24"/>
        </w:rPr>
        <w:t>E-DIR</w:t>
      </w:r>
      <w:r>
        <w:rPr>
          <w:rFonts w:ascii="Times New Roman" w:hAnsi="Times New Roman" w:eastAsia="Times New Roman" w:cs="Times New Roman"/>
          <w:sz w:val="24"/>
          <w:szCs w:val="24"/>
        </w:rPr>
        <w:t>), cuando el prompt intenta describir la condición de riesgo completa; estrategia indirecta (</w:t>
      </w:r>
      <w:r>
        <w:rPr>
          <w:rFonts w:ascii="Courier New" w:hAnsi="Courier New" w:eastAsia="Courier New" w:cs="Courier New"/>
          <w:sz w:val="24"/>
          <w:szCs w:val="24"/>
        </w:rPr>
        <w:t>E-IND</w:t>
      </w:r>
      <w:r>
        <w:rPr>
          <w:rFonts w:ascii="Times New Roman" w:hAnsi="Times New Roman" w:eastAsia="Times New Roman" w:cs="Times New Roman"/>
          <w:sz w:val="24"/>
          <w:szCs w:val="24"/>
        </w:rPr>
        <w:t>), cuando el detector identifica entidades visibles por separado y la condición se reconstruye mediante lógica externa al modelo; y estrategia híbrida (</w:t>
      </w:r>
      <w:r>
        <w:rPr>
          <w:rFonts w:ascii="Courier New" w:hAnsi="Courier New" w:eastAsia="Courier New" w:cs="Courier New"/>
          <w:sz w:val="24"/>
          <w:szCs w:val="24"/>
        </w:rPr>
        <w:t>E-HYB</w:t>
      </w:r>
      <w:r>
        <w:rPr>
          <w:rFonts w:ascii="Times New Roman" w:hAnsi="Times New Roman" w:eastAsia="Times New Roman" w:cs="Times New Roman"/>
          <w:sz w:val="24"/>
          <w:szCs w:val="24"/>
        </w:rPr>
        <w:t>),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1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asociación espacial requerida por la estrategia indirecta y determinar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Composición del vocabulario activo.</w:t>
      </w:r>
      <w:r>
        <w:rPr>
          <w:rFonts w:ascii="Times New Roman" w:hAnsi="Times New Roman" w:eastAsia="Times New Roman" w:cs="Times New Roman"/>
          <w:sz w:val="24"/>
          <w:szCs w:val="24"/>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Implicancias del tamaño del vocabulario activo.</w:t>
      </w:r>
      <w:r>
        <w:rPr>
          <w:rFonts w:ascii="Times New Roman" w:hAnsi="Times New Roman" w:eastAsia="Times New Roman" w:cs="Times New Roman"/>
          <w:sz w:val="24"/>
          <w:szCs w:val="24"/>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17.1.5.4.3. Consideraciones sobre el idioma de los prompts</w:t>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17.1.5.4.4. Catálogo de prompts candidatos</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Anexo C (Tabla C.1),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17.1.5.4.5. Protocolo de evaluación de prompts</w:t>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1 - Preparación del dataset de evaluación.</w:t>
      </w:r>
      <w:r>
        <w:rPr>
          <w:rFonts w:ascii="Times New Roman" w:hAnsi="Times New Roman" w:eastAsia="Times New Roman" w:cs="Times New Roman"/>
          <w:sz w:val="24"/>
          <w:szCs w:val="24"/>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w:t>
      </w:r>
      <w:r>
        <w:rPr>
          <w:rFonts w:ascii="Times New Roman" w:hAnsi="Times New Roman" w:eastAsia="Times New Roman" w:cs="Times New Roman"/>
          <w:sz w:val="24"/>
          <w:szCs w:val="24"/>
        </w:rPr>
        <w:t xml:space="preserve">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2 - Definición de la matriz experimental.</w:t>
      </w:r>
      <w:r>
        <w:rPr>
          <w:rFonts w:ascii="Times New Roman" w:hAnsi="Times New Roman" w:eastAsia="Times New Roman" w:cs="Times New Roman"/>
          <w:sz w:val="24"/>
          <w:szCs w:val="24"/>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3 - Ejecución sistemática.</w:t>
      </w:r>
      <w:r>
        <w:rPr>
          <w:rFonts w:ascii="Times New Roman" w:hAnsi="Times New Roman" w:eastAsia="Times New Roman" w:cs="Times New Roman"/>
          <w:sz w:val="24"/>
          <w:szCs w:val="24"/>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4 - Cálculo de métricas.</w:t>
      </w:r>
      <w:r>
        <w:rPr>
          <w:rFonts w:ascii="Times New Roman" w:hAnsi="Times New Roman" w:eastAsia="Times New Roman" w:cs="Times New Roman"/>
          <w:sz w:val="24"/>
          <w:szCs w:val="24"/>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Fase 5 - Análisis comparativo y selección.</w:t>
      </w:r>
      <w:r>
        <w:rPr>
          <w:rFonts w:ascii="Times New Roman" w:hAnsi="Times New Roman" w:eastAsia="Times New Roman" w:cs="Times New Roman"/>
          <w:sz w:val="24"/>
          <w:szCs w:val="24"/>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17.1.5.5. Síntesis parcial de condiciones, prompts y variantes de prueba</w:t>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prompts antes de congelar la configuración comparativa final.</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 Anexo C. </w:t>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17.1.6.1. Introducción y alcance</w:t>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17.1.6.1.1. Propósito y preguntas rectoras</w:t>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17.1.6.1.2. Criterios de categorización y exclusión</w:t>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Categoría 1 — Datasets de gestión directa.</w:t>
      </w:r>
      <w:r>
        <w:rPr>
          <w:rFonts w:ascii="Times New Roman" w:hAnsi="Times New Roman" w:eastAsia="Times New Roman" w:cs="Times New Roman"/>
          <w:sz w:val="24"/>
          <w:szCs w:val="24"/>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Categoría 2 — Benchmarks de evaluación de referencia.</w:t>
      </w:r>
      <w:r>
        <w:rPr>
          <w:rFonts w:ascii="Times New Roman" w:hAnsi="Times New Roman" w:eastAsia="Times New Roman" w:cs="Times New Roman"/>
          <w:sz w:val="24"/>
          <w:szCs w:val="24"/>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b w:val="1"/>
          <w:sz w:val="24"/>
          <w:szCs w:val="24"/>
        </w:rPr>
        <w:t>Alcance y exclusiones explícitas.</w:t>
      </w:r>
      <w:r>
        <w:rPr>
          <w:rFonts w:ascii="Times New Roman" w:hAnsi="Times New Roman" w:eastAsia="Times New Roman" w:cs="Times New Roman"/>
          <w:sz w:val="24"/>
          <w:szCs w:val="24"/>
        </w:rPr>
        <w:t xml:space="preserve"> 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el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diferido a etapas posteriores, en caso de que se decida ampliar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17.1.6.1.3. Criterios metodológicos de selección y evaluación</w:t>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25</w:t>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Criterios de evaluación para la selección de datasets candidatos</w:t>
      </w:r>
    </w:p>
    <w:tbl>
      <w:tblPr>
        <w:tblStyle w:val="Table10"/>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17.1.6.2. Datasets de gestión directa (categoría 1)</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17.1.6.2.1. Datasets retenidos como candidatos</w:t>
      </w:r>
    </w:p>
    <w:p w:rsidR="00000000" w:rsidDel="00000000" w:rsidP="00000000" w:rsidRDefault="00000000" w:rsidRPr="00000000" w14:paraId="00000200">
      <w:pPr>
        <w:spacing w:line="360" w:lineRule="auto"/>
        <w:rPr>
          <w:rFonts w:ascii="Times New Roman" w:cs="Times New Roman" w:eastAsia="Times New Roman" w:hAnsi="Times New Roman"/>
          <w:i w:val="1"/>
          <w:iCs w:val="1"/>
          <w:sz w:val="24"/>
          <w:szCs w:val="24"/>
        </w:rPr>
      </w:pPr>
      <w:r>
        <w:rPr>
          <w:rFonts w:ascii="Times New Roman" w:hAnsi="Times New Roman" w:eastAsia="Times New Roman" w:cs="Times New Roman"/>
          <w:iCs w:val="1"/>
          <w:i w:val="1"/>
          <w:bCs w:val="1"/>
          <w:b w:val="1"/>
          <w:sz w:val="24"/>
          <w:szCs w:val="24"/>
        </w:rPr>
        <w:t>Tabla 26</w:t>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Datasets retenidos como candidatos de gestión directa</w:t>
      </w:r>
    </w:p>
    <w:tbl>
      <w:tblPr>
        <w:tblStyle w:val="Table11"/>
        <w:tblW w:w="13920" w:type="dxa"/>
        <w:jc w:val="center"/>
        <w:tblLayout w:type="fixed"/>
        <w:tblLook w:val="0400"/>
      </w:tblPr>
      <w:tblGrid>
        <w:gridCol w:w="2500"/>
        <w:gridCol w:w="1400"/>
        <w:gridCol w:w="2500"/>
        <w:gridCol w:w="1600"/>
        <w:gridCol w:w="1650"/>
        <w:gridCol w:w="1550"/>
        <w:gridCol w:w="2720"/>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Volumen o versión</w:t>
            </w:r>
          </w:p>
        </w:tc>
        <w:tc>
          <w:tcPr>
            <w:tcBorders>
              <w:top w:color="000000" w:space="0" w:sz="12" w:val="single"/>
              <w:left w:color="000000" w:space="0" w:sz="0" w:val="nil"/>
              <w:bottom w:color="000000" w:space="0" w:sz="4" w:val="single"/>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Contenido relevante</w:t>
            </w:r>
          </w:p>
        </w:tc>
        <w:tc>
          <w:tcPr>
            <w:tcBorders>
              <w:top w:color="000000" w:space="0" w:sz="12" w:val="single"/>
              <w:left w:color="000000" w:space="0" w:sz="0" w:val="nil"/>
              <w:bottom w:color="000000" w:space="0" w:sz="4" w:val="single"/>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Formato</w:t>
            </w:r>
          </w:p>
        </w:tc>
        <w:tc>
          <w:tcPr>
            <w:tcBorders>
              <w:top w:color="000000" w:space="0" w:sz="12" w:val="single"/>
              <w:left w:color="000000" w:space="0" w:sz="0" w:val="nil"/>
              <w:bottom w:color="000000" w:space="0" w:sz="4" w:val="single"/>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Licencia</w:t>
            </w:r>
          </w:p>
        </w:tc>
        <w:tc>
          <w:tcPr>
            <w:tcBorders>
              <w:top w:color="000000" w:space="0" w:sz="12" w:val="single"/>
              <w:left w:color="000000" w:space="0" w:sz="0" w:val="nil"/>
              <w:bottom w:color="000000" w:space="0" w:sz="4" w:val="single"/>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Cobertura</w:t>
            </w:r>
          </w:p>
        </w:tc>
        <w:tc>
          <w:tcPr>
            <w:tcBorders>
              <w:top w:color="000000" w:space="0" w:sz="12" w:val="single"/>
              <w:left w:color="000000" w:space="0" w:sz="0" w:val="nil"/>
              <w:bottom w:color="000000" w:space="0" w:sz="4" w:val="single"/>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Lectura metodológica</w:t>
            </w:r>
          </w:p>
        </w:tc>
      </w:tr>
      <w:tr>
        <w:trPr/>
        <w:tc>
          <w:tcPr>
            <w:tcBorders>
              <w:top w:color="000000" w:space="0" w:sz="0" w:val="nil"/>
              <w:left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SHEL5K (Otgonbold et al., 2022)</w:t>
            </w:r>
          </w:p>
        </w:tc>
        <w:tc>
          <w:tcPr>
            <w:tcBorders>
              <w:top w:color="000000" w:space="0" w:sz="0" w:val="nil"/>
              <w:left w:color="000000" w:space="0" w:sz="0" w:val="nil"/>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5.000 imágenes</w:t>
            </w:r>
          </w:p>
        </w:tc>
        <w:tc>
          <w:tcPr>
            <w:tcBorders>
              <w:top w:color="000000" w:space="0" w:sz="0" w:val="nil"/>
              <w:left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Casco, cabeza y persona con o sin casco</w:t>
            </w:r>
          </w:p>
        </w:tc>
        <w:tc>
          <w:tcPr>
            <w:tcBorders>
              <w:top w:color="000000" w:space="0" w:sz="0" w:val="nil"/>
              <w:left w:color="000000" w:space="0" w:sz="0" w:val="nil"/>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Pascal VOC</w:t>
            </w:r>
          </w:p>
        </w:tc>
        <w:tc>
          <w:tcPr>
            <w:tcBorders>
              <w:top w:color="000000" w:space="0" w:sz="0" w:val="nil"/>
              <w:left w:color="000000" w:space="0" w:sz="0" w:val="nil"/>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CC BY 4.0</w:t>
            </w:r>
          </w:p>
        </w:tc>
        <w:tc>
          <w:tcPr>
            <w:tcBorders>
              <w:top w:color="000000" w:space="0" w:sz="0" w:val="nil"/>
              <w:left w:color="000000" w:space="0" w:sz="0" w:val="nil"/>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directa</w:t>
            </w:r>
          </w:p>
        </w:tc>
        <w:tc>
          <w:tcPr>
            <w:tcBorders>
              <w:top w:color="000000" w:space="0" w:sz="0" w:val="nil"/>
              <w:left w:color="000000" w:space="0" w:sz="0" w:val="nil"/>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Fuente sólida para evaluar presencia y ausencia de casco; no cubre chaleco ni relaciones contextuales.</w:t>
            </w:r>
          </w:p>
        </w:tc>
      </w:tr>
      <w:tr>
        <w:trPr/>
        <w:tc>
          <w:tcPr>
            <w:tcBorders>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CHV (Wang et al., 2021)</w:t>
            </w:r>
          </w:p>
        </w:tc>
        <w:tc>
          <w:tcPr>
            <w:tcBorders>
              <w:left w:color="000000" w:space="0" w:sz="0" w:val="nil"/>
              <w:bottom w:color="000000" w:space="0" w:sz="0" w:val="nil"/>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1.330 imágenes</w:t>
            </w:r>
          </w:p>
        </w:tc>
        <w:tc>
          <w:tcPr>
            <w:tcBorders>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Persona, chaleco y cascos por color</w:t>
            </w:r>
          </w:p>
        </w:tc>
        <w:tc>
          <w:tcPr>
            <w:tcBorders>
              <w:left w:color="000000" w:space="0" w:sz="0" w:val="nil"/>
              <w:bottom w:color="000000" w:space="0" w:sz="0" w:val="nil"/>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Formato nativo a inspeccionar</w:t>
            </w:r>
          </w:p>
        </w:tc>
        <w:tc>
          <w:tcPr>
            <w:tcBorders>
              <w:left w:color="000000" w:space="0" w:sz="0" w:val="nil"/>
              <w:bottom w:color="000000" w:space="0" w:sz="0" w:val="nil"/>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licencia formal; cita obligatoria</w:t>
            </w:r>
          </w:p>
        </w:tc>
        <w:tc>
          <w:tcPr>
            <w:tcBorders>
              <w:left w:color="000000" w:space="0" w:sz="0" w:val="nil"/>
              <w:bottom w:color="000000" w:space="0" w:sz="0" w:val="nil"/>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y CR-02</w:t>
            </w:r>
          </w:p>
        </w:tc>
        <w:tc>
          <w:tcPr>
            <w:tcBorders>
              <w:left w:color="000000" w:space="0" w:sz="0" w:val="nil"/>
              <w:bottom w:color="000000" w:space="0" w:sz="0" w:val="nil"/>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Condicionado a verificar términos de uso y redistribución.</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Courier New" w:hAnsi="Courier New" w:eastAsia="Courier New" w:cs="Courier New"/>
                <w:sz w:val="24"/>
                <w:szCs w:val="24"/>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YOLO / Roboflow</w:t>
            </w:r>
          </w:p>
        </w:tc>
        <w:tc>
          <w:tcPr>
            <w:tcBorders>
              <w:top w:color="000000" w:space="0" w:sz="0" w:val="nil"/>
              <w:left w:color="000000" w:space="0" w:sz="0" w:val="nil"/>
              <w:bottom w:color="000000" w:space="0" w:sz="0" w:val="nil"/>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CC BY 4.0</w:t>
            </w:r>
          </w:p>
        </w:tc>
        <w:tc>
          <w:tcPr>
            <w:tcBorders>
              <w:top w:color="000000" w:space="0" w:sz="0" w:val="nil"/>
              <w:left w:color="000000" w:space="0" w:sz="0" w:val="nil"/>
              <w:bottom w:color="000000" w:space="0" w:sz="0" w:val="nil"/>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y CR-02</w:t>
            </w:r>
          </w:p>
        </w:tc>
        <w:tc>
          <w:tcPr>
            <w:tcBorders>
              <w:top w:color="000000" w:space="0" w:sz="0" w:val="nil"/>
              <w:left w:color="000000" w:space="0" w:sz="0" w:val="nil"/>
              <w:bottom w:color="000000" w:space="0" w:sz="0" w:val="nil"/>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Candidato de dominio; exige separar linajes de entrenamiento y evaluación.</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Courier New" w:hAnsi="Courier New" w:eastAsia="Courier New" w:cs="Courier New"/>
                <w:sz w:val="24"/>
                <w:szCs w:val="24"/>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W w:w="14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W w:w="25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W w:w="160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YOLO / Roboflow</w:t>
            </w:r>
          </w:p>
        </w:tc>
        <w:tc>
          <w:tcPr>
            <w:tcBorders>
              <w:top w:color="000000" w:space="0" w:sz="0" w:val="nil"/>
              <w:left w:color="000000" w:space="0" w:sz="0" w:val="nil"/>
              <w:bottom w:color="000000" w:space="0" w:sz="0" w:val="nil"/>
              <w:right w:color="000000" w:space="0" w:sz="0" w:val="nil"/>
            </w:tcBorders>
            <w:tcMar>
              <w:top w:w="0.0" w:type="dxa"/>
              <w:bottom w:w="0.0" w:type="dxa"/>
            </w:tcMar>
            <w:tcW w:w="16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CC BY 4.0</w:t>
            </w:r>
          </w:p>
        </w:tc>
        <w:tc>
          <w:tcPr>
            <w:tcBorders>
              <w:top w:color="000000" w:space="0" w:sz="0" w:val="nil"/>
              <w:left w:color="000000" w:space="0" w:sz="0" w:val="nil"/>
              <w:bottom w:color="000000" w:space="0" w:sz="0" w:val="nil"/>
              <w:right w:color="000000" w:space="0" w:sz="0" w:val="nil"/>
            </w:tcBorders>
            <w:tcMar>
              <w:top w:w="0.0" w:type="dxa"/>
              <w:bottom w:w="0.0" w:type="dxa"/>
            </w:tcMar>
            <w:tcW w:w="155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y CR-02</w:t>
            </w:r>
          </w:p>
        </w:tc>
        <w:tc>
          <w:tcPr>
            <w:tcBorders>
              <w:top w:color="000000" w:space="0" w:sz="0" w:val="nil"/>
              <w:left w:color="000000" w:space="0" w:sz="0" w:val="nil"/>
              <w:bottom w:color="000000" w:space="0" w:sz="0" w:val="nil"/>
              <w:right w:color="000000" w:space="0" w:sz="0" w:val="nil"/>
            </w:tcBorders>
            <w:tcMar>
              <w:top w:w="0.0" w:type="dxa"/>
              <w:bottom w:w="0.0" w:type="dxa"/>
            </w:tcMar>
            <w:tcW w:w="272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Candidato para adaptación; aptitud sujeta a curación y partición.</w:t>
            </w:r>
          </w:p>
        </w:tc>
      </w:tr>
    </w:tbl>
    <w:p w:rsidR="00000000" w:rsidDel="00000000" w:rsidP="00000000" w:rsidRDefault="00000000" w:rsidRPr="00000000" w14:paraId="0000024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17.1.6.2.2. Datasets descartados y causa metodológica</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24B">
      <w:pPr>
        <w:spacing w:line="360" w:lineRule="auto"/>
        <w:rPr>
          <w:rFonts w:ascii="Times New Roman" w:cs="Times New Roman" w:eastAsia="Times New Roman" w:hAnsi="Times New Roman"/>
          <w:i w:val="1"/>
          <w:iCs w:val="1"/>
          <w:sz w:val="24"/>
          <w:szCs w:val="24"/>
        </w:rPr>
      </w:pPr>
      <w:r>
        <w:rPr>
          <w:rFonts w:ascii="Times New Roman" w:hAnsi="Times New Roman" w:eastAsia="Times New Roman" w:cs="Times New Roman"/>
          <w:iCs w:val="1"/>
          <w:i w:val="1"/>
          <w:bCs w:val="1"/>
          <w:b w:val="1"/>
          <w:sz w:val="24"/>
          <w:szCs w:val="24"/>
        </w:rPr>
        <w:t>Tabla 27</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Datasets descartados y causa metodológica</w:t>
      </w:r>
    </w:p>
    <w:tbl>
      <w:tblPr>
        <w:tblStyle w:val="Table12"/>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Causa principal</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Consecuencia para el protocolo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Estatuto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SH17</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Descartados.</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SODA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Descartado del núcleo.</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MOCS</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Uso exploratorio solamente.</w:t>
            </w:r>
          </w:p>
        </w:tc>
      </w:tr>
    </w:tbl>
    <w:p w:rsidR="00000000" w:rsidDel="00000000" w:rsidP="00000000" w:rsidRDefault="00000000" w:rsidRPr="00000000" w14:paraId="0000026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6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17.1.6.2.3. Síntesis de cobertura conjunta y brechas</w:t>
      </w:r>
    </w:p>
    <w:p w:rsidR="00000000" w:rsidDel="00000000" w:rsidP="00000000" w:rsidRDefault="00000000" w:rsidRPr="00000000" w14:paraId="0000026B">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70">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17.1.6.2.4. Viabilidad para el ajuste fino</w:t>
      </w:r>
    </w:p>
    <w:p w:rsidR="00000000" w:rsidDel="00000000" w:rsidP="00000000" w:rsidRDefault="00000000" w:rsidRPr="00000000" w14:paraId="00000271">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72">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7B">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17.1.6.2.5. Transferibilidad y límites de interpretación</w:t>
      </w:r>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85">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17.1.6.2.6. Datos complementarios para condiciones brechadas</w:t>
      </w:r>
    </w:p>
    <w:p w:rsidR="00000000" w:rsidDel="00000000" w:rsidP="00000000" w:rsidRDefault="00000000" w:rsidRPr="00000000" w14:paraId="00000286">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8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17.1.6.2.7. Condiciones para la partición de datos</w:t>
      </w:r>
    </w:p>
    <w:p w:rsidR="00000000" w:rsidDel="00000000" w:rsidP="00000000" w:rsidRDefault="00000000" w:rsidRPr="00000000" w14:paraId="000002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w:t>
      </w:r>
      <w:r>
        <w:rPr>
          <w:rFonts w:ascii="Times New Roman" w:hAnsi="Times New Roman" w:eastAsia="Times New Roman" w:cs="Times New Roman"/>
          <w:sz w:val="24"/>
          <w:szCs w:val="24"/>
        </w:rPr>
        <w:t xml:space="preserve">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28</w:t>
      </w:r>
    </w:p>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Condiciones metodológicas para la partición de datos</w:t>
      </w:r>
    </w:p>
    <w:tbl>
      <w:tblPr>
        <w:tblStyle w:val="Table13"/>
        <w:tblW w:w="10460.0" w:type="dxa"/>
        <w:jc w:val="center"/>
        <w:tblLayout w:type="fixed"/>
        <w:tblLook w:val="0400"/>
      </w:tblPr>
      <w:tblGrid>
        <w:gridCol w:w="2060"/>
        <w:gridCol w:w="8400"/>
        <w:tblGridChange w:id="0">
          <w:tblGrid>
            <w:gridCol w:w="2060"/>
            <w:gridCol w:w="840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A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A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17.1.6.2.8. Evaluación de aptitud por propósito</w:t>
      </w:r>
    </w:p>
    <w:p w:rsidR="00000000" w:rsidDel="00000000" w:rsidP="00000000" w:rsidRDefault="00000000" w:rsidRPr="00000000" w14:paraId="000002A3">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Tabla 29 sintetiza la aptitud metodológica de las cuatro fuentes retenidas para ajuste y evaluación, sin asignar todavía un rol efectivo.</w:t>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hAnsi="Times New Roman" w:eastAsia="Times New Roman" w:cs="Times New Roman"/>
          <w:sz w:val="24"/>
          <w:szCs w:val="24"/>
        </w:rPr>
        <w:t>La valoración considera cobertura, proximidad de dominio, formato, licencia y necesidad de mantener fuentes independientes para el test.</w:t>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29</w:t>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Aptitud de cada dataset candidato para fine-tuning y evaluación</w:t>
      </w:r>
    </w:p>
    <w:tbl>
      <w:tblPr>
        <w:tblStyle w:val="Table14"/>
        <w:tblW w:w="12960" w:type="dxa"/>
        <w:jc w:val="center"/>
        <w:tblLayout w:type="fixed"/>
        <w:tblLook w:val="0400"/>
      </w:tblPr>
      <w:tblGrid>
        <w:gridCol w:w="3312"/>
        <w:gridCol w:w="1872"/>
        <w:gridCol w:w="2160"/>
        <w:gridCol w:w="5616"/>
        <w:tblGridChange w:id="0">
          <w:tblGrid>
            <w:gridCol w:w="1180"/>
            <w:gridCol w:w="1240"/>
            <w:gridCol w:w="1360"/>
            <w:gridCol w:w="668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Aptitud FT</w:t>
            </w:r>
          </w:p>
        </w:tc>
        <w:tc>
          <w:tcPr>
            <w:tcBorders>
              <w:top w:color="000000" w:space="0" w:sz="12" w:val="single"/>
              <w:left w:color="000000" w:space="0" w:sz="0" w:val="nil"/>
              <w:bottom w:color="000000" w:space="0" w:sz="4" w:val="single"/>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Aptitud eval.</w:t>
            </w:r>
          </w:p>
        </w:tc>
        <w:tc>
          <w:tcPr>
            <w:tcBorders>
              <w:top w:color="000000" w:space="0" w:sz="12" w:val="single"/>
              <w:left w:color="000000" w:space="0" w:sz="0" w:val="nil"/>
              <w:bottom w:color="000000" w:space="0" w:sz="4" w:val="single"/>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Justificación</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SHEL5K</w:t>
            </w:r>
          </w:p>
        </w:tc>
        <w:tc>
          <w:tcPr>
            <w:tcBorders>
              <w:top w:color="000000" w:space="0" w:sz="0" w:val="nil"/>
              <w:left w:color="000000" w:space="0" w:sz="0" w:val="nil"/>
              <w:bottom w:color="000000" w:space="0" w:sz="0" w:val="nil"/>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Media</w:t>
            </w:r>
          </w:p>
        </w:tc>
        <w:tc>
          <w:tcPr>
            <w:tcBorders>
              <w:top w:color="000000" w:space="0" w:sz="0" w:val="nil"/>
              <w:left w:color="000000" w:space="0" w:sz="0" w:val="nil"/>
              <w:bottom w:color="000000" w:space="0" w:sz="0" w:val="nil"/>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para CR-01</w:t>
            </w:r>
          </w:p>
        </w:tc>
        <w:tc>
          <w:tcPr>
            <w:tcBorders>
              <w:top w:color="000000" w:space="0" w:sz="0" w:val="nil"/>
              <w:left w:color="000000" w:space="0" w:sz="0" w:val="nil"/>
              <w:bottom w:color="000000" w:space="0" w:sz="0" w:val="nil"/>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Cobertura sólida de casco y ausencia de casco; alcance limitado fuera de CR-01.</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CHV</w:t>
            </w:r>
          </w:p>
        </w:tc>
        <w:tc>
          <w:tcPr>
            <w:tcBorders>
              <w:top w:color="000000" w:space="0" w:sz="0" w:val="nil"/>
              <w:left w:color="000000" w:space="0" w:sz="0" w:val="nil"/>
              <w:bottom w:color="000000" w:space="0" w:sz="0" w:val="nil"/>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Pertinencia de dominio, con términos de uso del dataset que deben verificarse.</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Courier New" w:hAnsi="Courier New" w:eastAsia="Courier New" w:cs="Courier New"/>
                <w:sz w:val="24"/>
                <w:szCs w:val="24"/>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potencial</w:t>
            </w:r>
          </w:p>
        </w:tc>
        <w:tc>
          <w:tcPr>
            <w:tcBorders>
              <w:top w:color="000000" w:space="0" w:sz="0" w:val="nil"/>
              <w:left w:color="000000" w:space="0" w:sz="0" w:val="nil"/>
              <w:bottom w:color="000000" w:space="0" w:sz="0" w:val="nil"/>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Escenas de construcción y anotaciones de EPP; exige disyunción por linaje entre ajuste y evaluación.</w:t>
            </w:r>
          </w:p>
        </w:tc>
      </w:tr>
      <w:tr>
        <w:trPr/>
        <w:tc>
          <w:tcPr>
            <w:tcBorders>
              <w:top w:color="000000" w:space="0" w:sz="0" w:val="nil"/>
              <w:left w:color="000000" w:space="0" w:sz="0" w:val="nil"/>
              <w:bottom w:color="000000" w:space="0" w:sz="0" w:val="nil"/>
              <w:right w:color="000000" w:space="0" w:sz="0" w:val="nil"/>
            </w:tcBorders>
            <w:tcMar>
              <w:top w:w="0.0" w:type="dxa"/>
              <w:bottom w:w="0.0" w:type="dxa"/>
            </w:tcMar>
            <w:tcW w:w="3312" w:type="dxa"/>
          </w:tcPr>
          <w:p>
            <w:pPr>
              <w:spacing w:line="480" w:lineRule="auto"/>
              <w:rPr>
                <w:rFonts w:ascii="Times New Roman" w:cs="Times New Roman" w:eastAsia="Times New Roman" w:hAnsi="Times New Roman"/>
                <w:sz w:val="24"/>
                <w:szCs w:val="24"/>
              </w:rPr>
            </w:pPr>
            <w:r>
              <w:rPr>
                <w:rFonts w:ascii="Courier New" w:hAnsi="Courier New" w:eastAsia="Courier New" w:cs="Courier New"/>
                <w:sz w:val="24"/>
                <w:szCs w:val="24"/>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W w:w="1872"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Alta potencial</w:t>
            </w:r>
          </w:p>
        </w:tc>
        <w:tc>
          <w:tcPr>
            <w:tcBorders>
              <w:top w:color="000000" w:space="0" w:sz="0" w:val="nil"/>
              <w:left w:color="000000" w:space="0" w:sz="0" w:val="nil"/>
              <w:bottom w:color="000000" w:space="0" w:sz="0" w:val="nil"/>
              <w:right w:color="000000" w:space="0" w:sz="0" w:val="nil"/>
            </w:tcBorders>
            <w:tcMar>
              <w:top w:w="0.0" w:type="dxa"/>
              <w:bottom w:w="0.0" w:type="dxa"/>
            </w:tcMar>
            <w:tcW w:w="2160"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W w:w="5616" w:type="dxa"/>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Aporta EPP en dominio afín; requiere una fuente independiente para evaluar generalización.</w:t>
            </w:r>
          </w:p>
        </w:tc>
      </w:tr>
    </w:tbl>
    <w:p w:rsidR="00000000" w:rsidDel="00000000" w:rsidP="00000000" w:rsidRDefault="00000000" w:rsidRPr="00000000" w14:paraId="000002CF">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“Condicionada” indica que el rol depende de la verificación de términos, de la curación y de una partición estrictamente disjunta.</w:t>
      </w:r>
    </w:p>
    <w:p w:rsidR="00000000" w:rsidDel="00000000" w:rsidP="00000000" w:rsidRDefault="00000000" w:rsidRPr="00000000" w14:paraId="000002D0">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17.1.6.3. Benchmarks de evaluación de referencia (categoría 2)</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30</w:t>
      </w:r>
    </w:p>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Benchmarks de evaluación de referencia para módulos de seguimiento</w:t>
      </w:r>
    </w:p>
    <w:tbl>
      <w:tblPr>
        <w:tblStyle w:val="Table15"/>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E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E7">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17.1.6.3.1. MOT17 — justificación de uso</w:t>
      </w:r>
    </w:p>
    <w:p w:rsidR="00000000" w:rsidDel="00000000" w:rsidP="00000000" w:rsidRDefault="00000000" w:rsidRPr="00000000" w14:paraId="000002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17.1.6.3.2. OVT-B — justificación de uso</w:t>
      </w:r>
    </w:p>
    <w:p w:rsidR="00000000" w:rsidDel="00000000" w:rsidP="00000000" w:rsidRDefault="00000000" w:rsidRPr="00000000" w14:paraId="000002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deberá realizarse sobre los datos del proyecto o sobre el escenario complementario que se defina en la instancia de análisis y diseño arquitectónico.</w:t>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17.1.6.4. Consideraciones transversales</w:t>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E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17.1.6.4.1. Consideraciones éticas sobre los datos</w:t>
      </w:r>
    </w:p>
    <w:p w:rsidR="00000000" w:rsidDel="00000000" w:rsidP="00000000" w:rsidRDefault="00000000" w:rsidRPr="00000000" w14:paraId="000002EE">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27, sin atribuirles licencias no verificadas.</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F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17.1.6.4.2. Logística de datos</w:t>
      </w:r>
    </w:p>
    <w:p w:rsidR="00000000" w:rsidDel="00000000" w:rsidP="00000000" w:rsidRDefault="00000000" w:rsidRPr="00000000" w14:paraId="000002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Esto puede verse en detalle en la Tabla C.5 del Anexo C.</w:t>
      </w:r>
    </w:p>
    <w:p w:rsidR="00000000" w:rsidDel="00000000" w:rsidP="00000000" w:rsidRDefault="00000000" w:rsidRPr="00000000" w14:paraId="000002F4">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17.1.6.5. Síntesis parcial de la estrategia de datos, benchmarks y partición</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2F6">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iCs w:val="1"/>
          <w:i w:val="1"/>
          <w:bCs w:val="1"/>
          <w:b w:val="1"/>
          <w:sz w:val="24"/>
          <w:szCs w:val="24"/>
        </w:rPr>
        <w:t>Tabla 31</w:t>
      </w:r>
    </w:p>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Cobertura de datos por condición y consecuencia metodológica</w:t>
      </w:r>
    </w:p>
    <w:tbl>
      <w:tblPr>
        <w:tblStyle w:val="Table16"/>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Condición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Nivel de cobertura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Fuentes retenidas o apoyo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bCs w:val="1"/>
                <w:b w:val="1"/>
                <w:sz w:val="24"/>
                <w:szCs w:val="24"/>
              </w:rPr>
              <w:t>Uso metodológico definido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Sólida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 xml:space="preserve">SHEL5K, CHV, </w:t>
            </w:r>
            <w:r>
              <w:rPr>
                <w:rFonts w:ascii="Courier New" w:hAnsi="Courier New" w:eastAsia="Courier New" w:cs="Courier New"/>
                <w:sz w:val="24"/>
                <w:szCs w:val="24"/>
              </w:rPr>
              <w:t>construction_site_safety</w:t>
            </w:r>
            <w:r>
              <w:rPr>
                <w:rFonts w:ascii="Times New Roman" w:hAnsi="Times New Roman" w:eastAsia="Times New Roman" w:cs="Times New Roman"/>
                <w:sz w:val="24"/>
                <w:szCs w:val="24"/>
              </w:rPr>
              <w:t xml:space="preserve"> y </w:t>
            </w:r>
            <w:r>
              <w:rPr>
                <w:rFonts w:ascii="Courier New" w:hAnsi="Courier New" w:eastAsia="Courier New" w:cs="Courier New"/>
                <w:sz w:val="24"/>
                <w:szCs w:val="24"/>
              </w:rPr>
              <w:t>ppe_siabar</w:t>
            </w:r>
            <w:r>
              <w:rPr>
                <w:rFonts w:ascii="Times New Roman" w:hAnsi="Times New Roman" w:eastAsia="Times New Roman" w:cs="Times New Roman"/>
                <w:sz w:val="24"/>
                <w:szCs w:val="24"/>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Integra el núcleo obligatorio y admite evaluación directa o composición por persona.</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 xml:space="preserve">CHV, </w:t>
            </w:r>
            <w:r>
              <w:rPr>
                <w:rFonts w:ascii="Courier New" w:hAnsi="Courier New" w:eastAsia="Courier New" w:cs="Courier New"/>
                <w:sz w:val="24"/>
                <w:szCs w:val="24"/>
              </w:rPr>
              <w:t>construction_site_safety</w:t>
            </w:r>
            <w:r>
              <w:rPr>
                <w:rFonts w:ascii="Times New Roman" w:hAnsi="Times New Roman" w:eastAsia="Times New Roman" w:cs="Times New Roman"/>
                <w:sz w:val="24"/>
                <w:szCs w:val="24"/>
              </w:rPr>
              <w:t xml:space="preserve"> y </w:t>
            </w:r>
            <w:r>
              <w:rPr>
                <w:rFonts w:ascii="Courier New" w:hAnsi="Courier New" w:eastAsia="Courier New" w:cs="Courier New"/>
                <w:sz w:val="24"/>
                <w:szCs w:val="24"/>
              </w:rPr>
              <w:t>ppe_siabar</w:t>
            </w:r>
            <w:r>
              <w:rPr>
                <w:rFonts w:ascii="Times New Roman" w:hAnsi="Times New Roman" w:eastAsia="Times New Roman" w:cs="Times New Roman"/>
                <w:sz w:val="24"/>
                <w:szCs w:val="24"/>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Integra el núcleo obligatorio, con menor redundancia que CR-01.</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Sólo admite evidencia exploratoria sobre componentes o material complementario controlado.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Se mantiene como extensión condicionada y no bloquea la aceptación del núcleo.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Su evaluación depende de material específico y lógica contextual.</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sz w:val="24"/>
                <w:szCs w:val="24"/>
              </w:rPr>
              <w:t>Su evaluación depende de parametrización espacial externa al prompt.</w:t>
            </w:r>
          </w:p>
        </w:tc>
      </w:tr>
    </w:tbl>
    <w:p w:rsidR="00000000" w:rsidDel="00000000" w:rsidP="00000000" w:rsidRDefault="00000000" w:rsidRPr="00000000" w14:paraId="000003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3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3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3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partición de datos se rige por cinco reglas obligatorias: el test set debe congelarse antes de cualquier entrenamiento o augmentation; la baseline zero-shot y toda variante fine-tuned deben evaluarse sobre el mismo conjunto de test; los splits deben ser estrictamente disjuntos; la semilla y el procedimiento de partición deben registrarse; y toda anotación complementaria debe separar material de desarrollo y material de evaluación. Estas reglas sostienen la comparabilidad del protocolo.</w:t>
      </w:r>
    </w:p>
    <w:p w:rsidR="00000000" w:rsidDel="00000000" w:rsidP="00000000" w:rsidRDefault="00000000" w:rsidRPr="00000000" w14:paraId="000003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brechadas,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la expansión del corpus consuma el tiempo y la capacidad que el proyecto necesita reservar para integración, instrumentación y validación del sistema.</w:t>
      </w:r>
    </w:p>
    <w:p w:rsidR="00000000" w:rsidDel="00000000" w:rsidP="00000000" w:rsidRDefault="00000000" w:rsidRPr="00000000" w14:paraId="00000318">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17.1.7. Framework de métricas, viabilidad operativa y presupuesto de latencia</w:t>
      </w:r>
    </w:p>
    <w:p w:rsidR="00000000" w:rsidDel="00000000" w:rsidP="00000000" w:rsidRDefault="00000000" w:rsidRPr="00000000" w14:paraId="00000319">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17.1.7.1. Introducción y alcance</w:t>
      </w:r>
    </w:p>
    <w:p w:rsidR="00000000" w:rsidDel="00000000" w:rsidP="00000000" w:rsidRDefault="00000000" w:rsidRPr="00000000" w14:paraId="0000031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17.1.7.1.1. Propósito y preguntas rectoras</w:t>
      </w:r>
    </w:p>
    <w:p w:rsidR="00000000" w:rsidDel="00000000" w:rsidP="00000000" w:rsidRDefault="00000000" w:rsidRPr="00000000" w14:paraId="000003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3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3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3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31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17.1.7.2. Alcance evaluativo y definición operativa de la latencia de alerta</w:t>
      </w:r>
    </w:p>
    <w:p w:rsidR="00000000" w:rsidDel="00000000" w:rsidP="00000000" w:rsidRDefault="00000000" w:rsidRPr="00000000" w14:paraId="000003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3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 xml:space="preserve">En este trabajo, la latencia interna hasta el registro de la alerta se identifica como </w:t>
      </w:r>
      <w:r>
        <w:rPr>
          <w:rFonts w:ascii="Courier New" w:hAnsi="Courier New" w:eastAsia="Courier New" w:cs="Courier New"/>
          <w:sz w:val="24"/>
          <w:szCs w:val="24"/>
        </w:rPr>
        <w:t>t_alert-system</w:t>
      </w:r>
      <w:r>
        <w:rPr>
          <w:rFonts w:ascii="Times New Roman" w:hAnsi="Times New Roman" w:eastAsia="Times New Roman" w:cs="Times New Roman"/>
          <w:sz w:val="24"/>
          <w:szCs w:val="24"/>
        </w:rPr>
        <w:t xml:space="preserve">; la extensión hasta un canal instrumentado se identifica como </w:t>
      </w:r>
      <w:r>
        <w:rPr>
          <w:rFonts w:ascii="Courier New" w:hAnsi="Courier New" w:eastAsia="Courier New" w:cs="Courier New"/>
          <w:sz w:val="24"/>
          <w:szCs w:val="24"/>
        </w:rPr>
        <w:t>t_alert-notification</w:t>
      </w:r>
      <w:r>
        <w:rPr>
          <w:rFonts w:ascii="Times New Roman" w:hAnsi="Times New Roman" w:eastAsia="Times New Roman" w:cs="Times New Roman"/>
          <w:sz w:val="24"/>
          <w:szCs w:val="24"/>
        </w:rPr>
        <w:t>. Ambas denominaciones deben conservarse sin intercambiar sus hitos de inicio y cierre.</w:t>
      </w:r>
    </w:p>
    <w:p w:rsidR="00000000" w:rsidDel="00000000" w:rsidP="00000000" w:rsidRDefault="00000000" w:rsidRPr="00000000" w14:paraId="000003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esta convención, G2A se entiende como el subtramo instrumental del pipeline que va desde la captura o lectura del cuadro hasta la disponibilidad del resultado algorítmico. El tramo Glass-to-Alert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t>
      </w:r>
    </w:p>
    <w:p w:rsidR="00000000" w:rsidDel="00000000" w:rsidP="00000000" w:rsidRDefault="00000000" w:rsidRPr="00000000" w14:paraId="00000324">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17.1.7.3. Estructura del framework y criterios de viabilidad</w:t>
      </w:r>
    </w:p>
    <w:p w:rsidR="00000000" w:rsidDel="00000000" w:rsidP="00000000" w:rsidRDefault="00000000" w:rsidRPr="00000000" w14:paraId="000003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326">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17.1.7.3.1. Jerarquía de métricas</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3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3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32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17.1.7.3.2. Niveles de compromiso</w:t>
      </w:r>
    </w:p>
    <w:p w:rsidR="00000000" w:rsidDel="00000000" w:rsidP="00000000" w:rsidRDefault="00000000" w:rsidRPr="00000000" w14:paraId="000003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3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32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17.1.7.3.3. Criterios de factibilidad experimental</w:t>
      </w:r>
    </w:p>
    <w:p w:rsidR="00000000" w:rsidDel="00000000" w:rsidP="00000000" w:rsidRDefault="00000000" w:rsidRPr="00000000" w14:paraId="000003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32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17.1.7.4. Métricas adoptadas</w:t>
      </w:r>
    </w:p>
    <w:p w:rsidR="00000000" w:rsidDel="00000000" w:rsidP="00000000" w:rsidRDefault="00000000" w:rsidRPr="00000000" w14:paraId="000003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33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17.1.7.4.1. Métricas de detección OVD</w:t>
      </w:r>
    </w:p>
    <w:p w:rsidR="00000000" w:rsidDel="00000000" w:rsidP="00000000" w:rsidRDefault="00000000" w:rsidRPr="00000000" w14:paraId="0000033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 Pueden verse estas métricas en la Tabla D.1 del Anexo D.</w:t>
      </w:r>
    </w:p>
    <w:p w:rsidR="00000000" w:rsidDel="00000000" w:rsidP="00000000" w:rsidRDefault="00000000" w:rsidRPr="00000000" w14:paraId="00000333">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17.1.7.4.2. Métricas de seguimiento multiobjeto</w:t>
      </w:r>
    </w:p>
    <w:p w:rsidR="00000000" w:rsidDel="00000000" w:rsidP="00000000" w:rsidRDefault="00000000" w:rsidRPr="00000000" w14:paraId="000003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la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3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3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las métricas de seguimiento multiobjeto puede verse en la Tabla D.2 del Anexo D.</w:t>
      </w:r>
    </w:p>
    <w:p w:rsidR="00000000" w:rsidDel="00000000" w:rsidP="00000000" w:rsidRDefault="00000000" w:rsidRPr="00000000" w14:paraId="00000337">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17.1.7.4.3. Métricas de rendimiento del pipeline</w:t>
      </w:r>
    </w:p>
    <w:p w:rsidR="00000000" w:rsidDel="00000000" w:rsidP="00000000" w:rsidRDefault="00000000" w:rsidRPr="00000000" w14:paraId="000003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D.3 del Anexo D.</w:t>
      </w:r>
    </w:p>
    <w:p w:rsidR="00000000" w:rsidDel="00000000" w:rsidP="00000000" w:rsidRDefault="00000000" w:rsidRPr="00000000" w14:paraId="00000339">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17.1.7.5. Métricas operativas específicas del dominio</w:t>
      </w:r>
    </w:p>
    <w:p w:rsidR="00000000" w:rsidDel="00000000" w:rsidP="00000000" w:rsidRDefault="00000000" w:rsidRPr="00000000" w14:paraId="000003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3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33C">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nyl8w2z5mmu1" w:id="105"/>
      <w:bookmarkEnd w:id="105"/>
      <w:r w:rsidDel="00000000" w:rsidR="00000000" w:rsidRPr="00000000">
        <w:rPr>
          <w:rFonts w:ascii="Times New Roman" w:cs="Times New Roman" w:eastAsia="Times New Roman" w:hAnsi="Times New Roman"/>
          <w:iCs w:val="0"/>
          <w:i w:val="0"/>
          <w:b w:val="1"/>
          <w:bCs w:val="1"/>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iCs w:val="0"/>
          <w:i w:val="0"/>
          <w:b w:val="1"/>
          <w:bCs w:val="1"/>
          <w:color w:val="000000"/>
          <w:sz w:val="24"/>
          <w:szCs w:val="24"/>
          <w:rtl w:val="0"/>
        </w:rPr>
        <w:t xml:space="preserve">)</w:t>
      </w:r>
    </w:p>
    <w:p w:rsidR="00000000" w:rsidDel="00000000" w:rsidP="00000000" w:rsidRDefault="00000000" w:rsidRPr="00000000" w14:paraId="000003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3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3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cuadro a cuadro,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3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34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17.1.7.5.2. Tiempo a la primera detección (TTFD)</w:t>
      </w:r>
    </w:p>
    <w:p w:rsidR="00000000" w:rsidDel="00000000" w:rsidP="00000000" w:rsidRDefault="00000000" w:rsidRPr="00000000" w14:paraId="000003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3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3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345">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17.1.7.5.3. Tasa de detección sostenida (SDR)</w:t>
      </w:r>
    </w:p>
    <w:p w:rsidR="00000000" w:rsidDel="00000000" w:rsidP="00000000" w:rsidRDefault="00000000" w:rsidRPr="00000000" w14:paraId="000003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3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3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34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17.1.7.5.4. Condición de aplicación de métricas temporales</w:t>
      </w:r>
    </w:p>
    <w:p w:rsidR="00000000" w:rsidDel="00000000" w:rsidP="00000000" w:rsidRDefault="00000000" w:rsidRPr="00000000" w14:paraId="000003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3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34C">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17.1.7.5.5. Evaluación diferenciada por severidad</w:t>
      </w:r>
    </w:p>
    <w:p w:rsidR="00000000" w:rsidDel="00000000" w:rsidP="00000000" w:rsidRDefault="00000000" w:rsidRPr="00000000" w14:paraId="000003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50">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17.1.7.6. Protocolo comparativo entre variantes preentrenada y ajustada al dominio</w:t>
      </w:r>
    </w:p>
    <w:p w:rsidR="00000000" w:rsidDel="00000000" w:rsidP="00000000" w:rsidRDefault="00000000" w:rsidRPr="00000000" w14:paraId="000003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5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32</w:t>
      </w:r>
    </w:p>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Métricas y criterios de reporte para la comparación entre variantes</w:t>
      </w:r>
    </w:p>
    <w:tbl>
      <w:tblPr>
        <w:tblStyle w:val="Table17"/>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6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6F">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17.1.7.7. Presupuesto de latencia y componentes medibles</w:t>
      </w:r>
    </w:p>
    <w:p w:rsidR="00000000" w:rsidDel="00000000" w:rsidP="00000000" w:rsidRDefault="00000000" w:rsidRPr="00000000" w14:paraId="000003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1">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17.1.7.7.1. Descomposición operativa</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7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74">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7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17.1.7.7.2. Componentes medibles y adscripción por tramo</w:t>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Pr>
          <w:rFonts w:ascii="Times New Roman" w:hAnsi="Times New Roman" w:eastAsia="Times New Roman" w:cs="Times New Roman"/>
          <w:iCs w:val="1"/>
          <w:i w:val="1"/>
          <w:bCs w:val="1"/>
          <w:b w:val="1"/>
          <w:sz w:val="24"/>
          <w:szCs w:val="24"/>
        </w:rPr>
        <w:t>Tabla 33</w:t>
      </w:r>
    </w:p>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i/>
        </w:rPr>
      </w:r>
    </w:p>
    <w:tbl>
      <w:tblPr>
        <w:tblStyle w:val="Table18"/>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A">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A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La inclusión explícita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responde a que la latencia de alerta confirmada no se reduce al costo computacional del pipeline, sino que incorpora además la ventana funcional necesaria para acumular evidencia suficiente antes de registrar una alerta interna.</w:t>
      </w:r>
    </w:p>
    <w:p w:rsidR="00000000" w:rsidDel="00000000" w:rsidP="00000000" w:rsidRDefault="00000000" w:rsidRPr="00000000" w14:paraId="000003A9">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17.1.7.7.3. Consideración sobre el razonamiento temporal</w:t>
      </w:r>
    </w:p>
    <w:p w:rsidR="00000000" w:rsidDel="00000000" w:rsidP="00000000" w:rsidRDefault="00000000" w:rsidRPr="00000000" w14:paraId="000003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 distinguirse explícitamente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integra el presupuesto computacional del sistema,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integra el presupuesto operativo de confirmación que queda absorbido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B">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17.1.7.7.4. Cierre operativo del presupuesto</w:t>
      </w:r>
    </w:p>
    <w:p w:rsidR="00000000" w:rsidDel="00000000" w:rsidP="00000000" w:rsidRDefault="00000000" w:rsidRPr="00000000" w14:paraId="000003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3AD">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17.1.7.7.5. Estimación orientativa del presupuesto de latencia</w:t>
      </w:r>
    </w:p>
    <w:p w:rsidR="00000000" w:rsidDel="00000000" w:rsidP="00000000" w:rsidRDefault="00000000" w:rsidRPr="00000000" w14:paraId="000003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interpretar los umbrales de la Sección 17.1.7.7.6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Por un lado, la el análisis de operación en tiempo real identifica un rango de 10–30 ms por cuadro asociado a modelos ligeros optimizados y otro de 50–150 ms característico de arquitecturas transformer sin optimización específica para edge; por otro, la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3B2">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17.1.7.7.6. Umbrales orientativos por nivel de severidad</w:t>
      </w:r>
    </w:p>
    <w:p w:rsidR="00000000" w:rsidDel="00000000" w:rsidP="00000000" w:rsidRDefault="00000000" w:rsidRPr="00000000" w14:paraId="000003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3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de los umbrales orientativos por severidad puede verse en la Tabla D.4 del Anexo D.</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17.1.7.8. Operacionalización de la medición y condiciones de no aplicación</w:t>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3B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17.1.7.8.1. Reglas generales de instrumentación</w:t>
      </w:r>
    </w:p>
    <w:p w:rsidR="00000000" w:rsidDel="00000000" w:rsidP="00000000" w:rsidRDefault="00000000" w:rsidRPr="00000000" w14:paraId="000003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3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Esto se desarrolla de manera más sintética en la Tabla D.5 del Anexo D.</w:t>
      </w:r>
    </w:p>
    <w:p w:rsidR="00000000" w:rsidDel="00000000" w:rsidP="00000000" w:rsidRDefault="00000000" w:rsidRPr="00000000" w14:paraId="000003B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17.1.7.8.2. Alcance efectivo y casos en los que no corresponde medir</w:t>
      </w:r>
    </w:p>
    <w:p w:rsidR="00000000" w:rsidDel="00000000" w:rsidP="00000000" w:rsidRDefault="00000000" w:rsidRPr="00000000" w14:paraId="000003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C4">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17.1.7.8.3. Precisiones operativas sobre métricas críticas</w:t>
      </w:r>
    </w:p>
    <w:p w:rsidR="00000000" w:rsidDel="00000000" w:rsidP="00000000" w:rsidRDefault="00000000" w:rsidRPr="00000000" w14:paraId="000003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CA">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hAnsi="Times New Roman" w:eastAsia="Times New Roman" w:cs="Times New Roman"/>
          <w:iCs w:val="0"/>
          <w:i w:val="0"/>
          <w:bCs w:val="1"/>
          <w:b w:val="1"/>
          <w:sz w:val="24"/>
          <w:szCs w:val="24"/>
          <w:color w:val="000000"/>
        </w:rPr>
        <w:t>17.1.7.8.4. Registro mínimo por corrida y reporte</w:t>
      </w:r>
    </w:p>
    <w:p w:rsidR="00000000" w:rsidDel="00000000" w:rsidP="00000000" w:rsidRDefault="00000000" w:rsidRPr="00000000" w14:paraId="000003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p>
    <w:p w:rsidR="00000000" w:rsidDel="00000000" w:rsidP="00000000" w:rsidRDefault="00000000" w:rsidRPr="00000000" w14:paraId="000003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CD">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17.1.7.9. Síntesis parcial del framework de métricas</w:t>
      </w:r>
    </w:p>
    <w:p w:rsidR="00000000" w:rsidDel="00000000" w:rsidP="00000000" w:rsidRDefault="00000000" w:rsidRPr="00000000" w14:paraId="000003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3C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jerarquía de métricas no implica que todas deban ejecutarse en todos los escenarios ni sobre todas las condiciones de riesgo. Cada métrica queda subordinada a un criterio de ejecutabilidad experimental: debe existir una referencia de evaluación suficiente, el módulo que produce la señal correspondiente, instrumentación confiable mediante logs o timestamps, y una salida exportable para análisis posterior. Por esta razón, el protocolo diferencia entre métricas definidas, métricas efectivamente medibles y métricas no aplicables.</w:t>
      </w:r>
    </w:p>
    <w:p w:rsidR="00000000" w:rsidDel="00000000" w:rsidP="00000000" w:rsidRDefault="00000000" w:rsidRPr="00000000" w14:paraId="000003D0">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iCs w:val="1"/>
          <w:i w:val="1"/>
          <w:bCs w:val="1"/>
          <w:b w:val="1"/>
          <w:sz w:val="24"/>
          <w:szCs w:val="24"/>
        </w:rPr>
        <w:t>Tabla 34</w:t>
      </w:r>
    </w:p>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Jerarquía de métricas adoptadas para el prototipo experimental</w:t>
      </w:r>
    </w:p>
    <w:tbl>
      <w:tblPr>
        <w:tblStyle w:val="Table19"/>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2">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3">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E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definida como el intervalo entre el inicio anotado de la condición de riesgo y la generación de una alerta confirmada y registrada dentro del sistema. Esta métrica integra la inferencia, la persistencia requerida y la evaluación del patrón. No corresponde reportarla en pruebas puramente cuadro a cuadro donde sólo se evalúa la salida del detector OVD. En esos casos, el análisis debe limitarse a métricas de detección, rendimiento del pipeline o latencia Glass-to-Algorithm. Cuando exista un trayecto instrumentado hacia consulta, interfaz o notificación, podrá reportarse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métrica complementaria.</w:t>
      </w:r>
    </w:p>
    <w:p w:rsidR="00000000" w:rsidDel="00000000" w:rsidP="00000000" w:rsidRDefault="00000000" w:rsidRPr="00000000" w14:paraId="000003E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datasets de imágenes estáticas sin continuidad temporal.</w:t>
      </w:r>
    </w:p>
    <w:p w:rsidR="00000000" w:rsidDel="00000000" w:rsidP="00000000" w:rsidRDefault="00000000" w:rsidRPr="00000000" w14:paraId="000003E8">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iCs w:val="1"/>
          <w:i w:val="1"/>
          <w:bCs w:val="1"/>
          <w:b w:val="1"/>
          <w:sz w:val="24"/>
          <w:szCs w:val="24"/>
        </w:rPr>
        <w:t>Tabla 35</w:t>
      </w:r>
    </w:p>
    <w:p>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Umbrales orientativos por severidad para la lectura operativa de la alerta</w:t>
      </w:r>
    </w:p>
    <w:tbl>
      <w:tblPr>
        <w:tblStyle w:val="Table20"/>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F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framework de métricas, cada ejecución deberá conservar una bitácora mínima: identificación de corrida, modelo y checkpoint, dataset o clip utilizado, resolución efectiva, parámetros relevantes, timestamps de etapas críticas, consumo de recursos y observaciones. Esta bitácora garantiza que la evidencia de validación experimental pueda reconstruirse, auditarse y discutirse.</w:t>
      </w:r>
    </w:p>
    <w:p w:rsidR="00000000" w:rsidDel="00000000" w:rsidP="00000000" w:rsidRDefault="00000000" w:rsidRPr="00000000" w14:paraId="00000400">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17.1.8. Protocolo experimental integrado</w:t>
      </w:r>
    </w:p>
    <w:p w:rsidR="00000000" w:rsidDel="00000000" w:rsidP="00000000" w:rsidRDefault="00000000" w:rsidRPr="00000000" w14:paraId="00000401">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17.1.8.1. Secuencia general del protocolo</w:t>
      </w:r>
    </w:p>
    <w:p w:rsidR="00000000" w:rsidDel="00000000" w:rsidP="00000000" w:rsidRDefault="00000000" w:rsidRPr="00000000" w14:paraId="000004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4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04">
      <w:pPr>
        <w:spacing w:line="360" w:lineRule="auto"/>
        <w:rPr>
          <w:rFonts w:ascii="Times New Roman" w:cs="Times New Roman" w:eastAsia="Times New Roman" w:hAnsi="Times New Roman"/>
          <w:b w:val="1"/>
          <w:bCs w:val="1"/>
          <w:i w:val="1"/>
          <w:iCs w:val="1"/>
          <w:sz w:val="24"/>
          <w:szCs w:val="24"/>
        </w:rPr>
      </w:pPr>
      <w:r>
        <w:rPr>
          <w:rFonts w:ascii="Times New Roman" w:hAnsi="Times New Roman" w:eastAsia="Times New Roman" w:cs="Times New Roman"/>
          <w:iCs w:val="1"/>
          <w:i w:val="1"/>
          <w:bCs w:val="1"/>
          <w:b w:val="1"/>
          <w:sz w:val="24"/>
          <w:szCs w:val="24"/>
        </w:rPr>
        <w:t>Tabla 36</w:t>
      </w:r>
    </w:p>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Fases del protocolo experimental integrado</w:t>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42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427">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17.1.9. Estrategia de adaptación al dominio</w:t>
      </w:r>
    </w:p>
    <w:p w:rsidR="00000000" w:rsidDel="00000000" w:rsidP="00000000" w:rsidRDefault="00000000" w:rsidRPr="00000000" w14:paraId="00000428">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17.1.9.1. Criterio metodológico general</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42A">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17.1.9.2. Candidatos de comparación y condiciones de decisión</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2C">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rPr>
        <w:t>Tabla 37</w:t>
      </w:r>
    </w:p>
    <w:p w:rsidR="00000000" w:rsidDel="00000000" w:rsidP="00000000" w:rsidRDefault="00000000" w:rsidRPr="00000000" w14:paraId="0000042D">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Regla metodológica de decisión para la adaptación al dominio</w:t>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440">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Pr>
          <w:rFonts w:ascii="Times New Roman" w:hAnsi="Times New Roman" w:eastAsia="Times New Roman" w:cs="Times New Roman"/>
          <w:sz w:val="24"/>
          <w:szCs w:val="24"/>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hAnsi="Times New Roman" w:eastAsia="Times New Roman" w:cs="Times New Roman"/>
          <w:sz w:val="24"/>
          <w:szCs w:val="24"/>
        </w:rPr>
        <w:t xml:space="preserve"> y los criterios con los que se interpreta la evaluación.</w:t>
      </w:r>
    </w:p>
    <w:p w:rsidR="00000000" w:rsidDel="00000000" w:rsidP="00000000" w:rsidRDefault="00000000" w:rsidRPr="00000000" w14:paraId="00000450">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17.1.10. Supuestos, riesgos de validez y consideraciones ético-legales</w:t>
      </w:r>
    </w:p>
    <w:p w:rsidR="00000000" w:rsidDel="00000000" w:rsidP="00000000" w:rsidRDefault="00000000" w:rsidRPr="00000000" w14:paraId="00000451">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17.1.10.1. Política de minimización y uso asistivo</w:t>
      </w:r>
    </w:p>
    <w:p w:rsidR="00000000" w:rsidDel="00000000" w:rsidP="00000000" w:rsidRDefault="00000000" w:rsidRPr="00000000" w14:paraId="000004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pPr>
        <w:spacing w:line="480" w:lineRule="auto"/>
        <w:ind w:firstLine="720"/>
        <w:rPr>
          <w:rFonts w:ascii="Times New Roman" w:cs="Times New Roman" w:eastAsia="Times New Roman" w:hAnsi="Times New Roman"/>
          <w:sz w:val="24"/>
          <w:szCs w:val="24"/>
        </w:rPr>
      </w:pPr>
      <w:r>
        <w:rPr>
          <w:rFonts w:ascii="Times New Roman" w:hAnsi="Times New Roman" w:eastAsia="Times New Roman" w:cs="Times New Roman"/>
          <w:sz w:val="24"/>
          <w:szCs w:val="24"/>
        </w:rPr>
        <w:t>[[PENDIENTE: definir con el equipo la aplicabilidad de esta inscripción al contexto experimental y documentar el recaudo adoptado en §17.1 y §17.4.]]</w:t>
      </w:r>
    </w:p>
    <w:p w:rsidR="00000000" w:rsidDel="00000000" w:rsidP="00000000" w:rsidRDefault="00000000" w:rsidRPr="00000000" w14:paraId="00000453">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17.1.10.2. Supuestos de interpretación</w:t>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w:t>
      </w:r>
    </w:p>
    <w:p w:rsidR="00000000" w:rsidDel="00000000" w:rsidP="00000000" w:rsidRDefault="00000000" w:rsidRPr="00000000" w14:paraId="00000455">
      <w:pPr>
        <w:spacing w:line="360" w:lineRule="auto"/>
        <w:rPr>
          <w:rFonts w:ascii="Times New Roman" w:cs="Times New Roman" w:eastAsia="Times New Roman" w:hAnsi="Times New Roman"/>
          <w:b w:val="1"/>
          <w:bCs w:val="1"/>
          <w:sz w:val="24"/>
          <w:szCs w:val="24"/>
        </w:rPr>
      </w:pPr>
      <w:r>
        <w:rPr>
          <w:rFonts w:ascii="Times New Roman" w:hAnsi="Times New Roman" w:eastAsia="Times New Roman" w:cs="Times New Roman"/>
          <w:iCs w:val="1"/>
          <w:i w:val="1"/>
          <w:bCs w:val="1"/>
          <w:b w:val="1"/>
          <w:sz w:val="24"/>
          <w:szCs w:val="24"/>
        </w:rPr>
        <w:t>Tabla 38</w:t>
      </w:r>
    </w:p>
    <w:p w:rsidR="00000000" w:rsidDel="00000000" w:rsidP="00000000" w:rsidRDefault="00000000" w:rsidRPr="00000000" w14:paraId="00000456">
      <w:pPr>
        <w:spacing w:line="480" w:lineRule="auto"/>
        <w:rPr>
          <w:rFonts w:ascii="Times New Roman" w:cs="Times New Roman" w:eastAsia="Times New Roman" w:hAnsi="Times New Roman"/>
          <w:sz w:val="24"/>
          <w:szCs w:val="24"/>
        </w:rPr>
      </w:pPr>
      <w:r>
        <w:rPr>
          <w:rFonts w:ascii="Times New Roman" w:hAnsi="Times New Roman" w:eastAsia="Times New Roman" w:cs="Times New Roman"/>
          <w:iCs w:val="1"/>
          <w:i w:val="1"/>
          <w:sz w:val="24"/>
          <w:szCs w:val="24"/>
        </w:rPr>
        <w:t>Riesgos metodológicos y operativos relevantes para las instancias siguientes</w:t>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true"/>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b/>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b/>
              </w:rPr>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6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Pr>
          <w:rFonts w:ascii="Times New Roman" w:hAnsi="Times New Roman" w:eastAsia="Times New Roman" w:cs="Times New Roman"/>
          <w:iCs w:val="1"/>
          <w:bCs w:val="1"/>
          <w:b w:val="1"/>
          <w:i w:val="1"/>
          <w:sz w:val="24"/>
          <w:szCs w:val="24"/>
        </w:rPr>
        <w:t xml:space="preserve">Nota</w:t>
      </w:r>
      <w:r>
        <w:rPr>
          <w:rFonts w:ascii="Times New Roman" w:hAnsi="Times New Roman" w:eastAsia="Times New Roman" w:cs="Times New Roman"/>
          <w:iCs w:val="1"/>
          <w:bCs w:val="0"/>
          <w:b w:val="0"/>
          <w:i w:val="1"/>
          <w:sz w:val="24"/>
          <w:szCs w:val="24"/>
        </w:rPr>
        <w:t xml:space="preserve">. </w:t>
      </w:r>
      <w:r>
        <w:rPr>
          <w:rFonts w:ascii="Times New Roman" w:hAnsi="Times New Roman" w:eastAsia="Times New Roman" w:cs="Times New Roman"/>
          <w:sz w:val="24"/>
          <w:szCs w:val="24"/>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6A">
      <w:pPr>
        <w:pStyle w:val="Heading3"/>
        <w:spacing w:after="0" w:before="0" w:line="480" w:lineRule="auto"/>
        <w:rPr>
          <w:rFonts w:ascii="Times New Roman" w:cs="Times New Roman" w:eastAsia="Times New Roman" w:hAnsi="Times New Roman"/>
          <w:b w:val="1"/>
          <w:bCs w:val="1"/>
          <w:i w:val="1"/>
          <w:iCs w:val="1"/>
          <w:color w:val="000000"/>
          <w:sz w:val="24"/>
          <w:szCs w:val="24"/>
        </w:rPr>
      </w:pPr>
      <w:r>
        <w:rPr>
          <w:rFonts w:ascii="Times New Roman" w:hAnsi="Times New Roman" w:eastAsia="Times New Roman" w:cs="Times New Roman"/>
          <w:iCs w:val="1"/>
          <w:i w:val="1"/>
          <w:bCs w:val="1"/>
          <w:b w:val="1"/>
          <w:sz w:val="24"/>
          <w:szCs w:val="24"/>
          <w:color w:val="000000"/>
        </w:rPr>
        <w:t>17.1.11. Conclusiones parciales de la consolidación metodológica</w:t>
      </w:r>
    </w:p>
    <w:p w:rsidR="00000000" w:rsidDel="00000000" w:rsidP="00000000" w:rsidRDefault="00000000" w:rsidRPr="00000000" w14:paraId="0000046B">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17.1.11.1. Cierre del alcance metodológico</w:t>
      </w:r>
    </w:p>
    <w:p w:rsidR="00000000" w:rsidDel="00000000" w:rsidP="00000000" w:rsidRDefault="00000000" w:rsidRPr="00000000" w14:paraId="000004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6D">
      <w:pPr>
        <w:pStyle w:val="Heading4"/>
        <w:spacing w:after="0" w:before="0" w:line="480" w:lineRule="auto"/>
        <w:rPr>
          <w:rFonts w:ascii="Times New Roman" w:cs="Times New Roman" w:eastAsia="Times New Roman" w:hAnsi="Times New Roman"/>
          <w:b w:val="1"/>
          <w:bCs w:val="1"/>
          <w:color w:val="000000"/>
        </w:rPr>
      </w:pPr>
      <w:r>
        <w:rPr>
          <w:rFonts w:ascii="Times New Roman" w:hAnsi="Times New Roman" w:eastAsia="Times New Roman" w:cs="Times New Roman"/>
          <w:iCs w:val="0"/>
          <w:i w:val="0"/>
          <w:bCs w:val="1"/>
          <w:b w:val="1"/>
          <w:sz w:val="24"/>
          <w:szCs w:val="24"/>
          <w:color w:val="000000"/>
        </w:rPr>
        <w:t>17.1.11.2. Articulación con las instancias de diseño e implementación</w:t>
      </w:r>
    </w:p>
    <w:p w:rsidR="00000000" w:rsidDel="00000000" w:rsidP="00000000" w:rsidRDefault="00000000" w:rsidRPr="00000000" w14:paraId="000004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experimental consolidado</w:t>
      </w:r>
      <w:r w:rsidDel="00000000" w:rsidR="00000000" w:rsidRPr="00000000">
        <w:rPr>
          <w:rFonts w:ascii="Times New Roman" w:cs="Times New Roman" w:eastAsia="Times New Roman" w:hAnsi="Times New Roman"/>
          <w:sz w:val="24"/>
          <w:szCs w:val="24"/>
          <w:rtl w:val="0"/>
        </w:rPr>
        <w: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validación, define qué condiciones integran el plano principal de evaluación y evita interpretar capacidades exploratorias como resultados plenamente validados.</w:t>
      </w:r>
    </w:p>
    <w:p w:rsidR="00000000" w:rsidDel="00000000" w:rsidP="00000000" w:rsidRDefault="00000000" w:rsidRPr="00000000" w14:paraId="000004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Escenarios e infraestructura</w:t>
      </w:r>
      <w:r w:rsidDel="00000000" w:rsidR="00000000" w:rsidRPr="00000000">
        <w:rPr>
          <w:rFonts w:ascii="Times New Roman" w:cs="Times New Roman" w:eastAsia="Times New Roman" w:hAnsi="Times New Roman"/>
          <w:sz w:val="24"/>
          <w:szCs w:val="24"/>
          <w:rtl w:val="0"/>
        </w:rPr>
        <w:t xml:space="preserve">.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t>
      </w:r>
    </w:p>
    <w:p w:rsidR="00000000" w:rsidDel="00000000" w:rsidP="00000000" w:rsidRDefault="00000000" w:rsidRPr="00000000" w14:paraId="000004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datos y partición</w:t>
      </w:r>
      <w:r w:rsidDel="00000000" w:rsidR="00000000" w:rsidRPr="00000000">
        <w:rPr>
          <w:rFonts w:ascii="Times New Roman" w:cs="Times New Roman" w:eastAsia="Times New Roman" w:hAnsi="Times New Roman"/>
          <w:sz w:val="24"/>
          <w:szCs w:val="24"/>
          <w:rtl w:val="0"/>
        </w:rPr>
        <w:t xml:space="preserve">. Condiciona la selección de datasets, la construcción de particiones experimentales y el uso de datos complementarios. Su función es sostener la comparabilidad entre la línea base preentrenada y cualquier variante ajustada al dominio, evitando contaminación entre entrenamiento, validación y prueba. De esta manera, los resultados obtenidos podrán interpretarse como evidencia experimental y no como consecuencia de una partición inconsistente.</w:t>
      </w:r>
    </w:p>
    <w:p w:rsidR="00000000" w:rsidDel="00000000" w:rsidP="00000000" w:rsidRDefault="00000000" w:rsidRPr="00000000" w14:paraId="000004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de métricas y registro</w:t>
      </w:r>
      <w:r w:rsidDel="00000000" w:rsidR="00000000" w:rsidRPr="00000000">
        <w:rPr>
          <w:rFonts w:ascii="Times New Roman" w:cs="Times New Roman" w:eastAsia="Times New Roman" w:hAnsi="Times New Roman"/>
          <w:sz w:val="24"/>
          <w:szCs w:val="24"/>
          <w:rtl w:val="0"/>
        </w:rPr>
        <w:t xml:space="preserve">. Define qué evidencia mínima deberá producir el prototipo. En la etapa de diseño, guía la instrumentación de timestamps,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t>
      </w:r>
    </w:p>
    <w:p w:rsidR="00000000" w:rsidDel="00000000" w:rsidP="00000000" w:rsidRDefault="00000000" w:rsidRPr="00000000" w14:paraId="000004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adaptación al dominio</w:t>
      </w:r>
      <w:r w:rsidDel="00000000" w:rsidR="00000000" w:rsidRPr="00000000">
        <w:rPr>
          <w:rFonts w:ascii="Times New Roman" w:cs="Times New Roman" w:eastAsia="Times New Roman" w:hAnsi="Times New Roman"/>
          <w:sz w:val="24"/>
          <w:szCs w:val="24"/>
          <w:rtl w:val="0"/>
        </w:rPr>
        <w:t xml:space="preserve">. Ordena la posible incorporación de fine-tuning o variantes ajustadas. Esta adaptación no constituye un punto de partida obligatorio, sino una comparación condicionada a la existencia de datos suficientes, partición válida y una línea base preentrenada previamente evaluada. Su propósito es permitir una lectura controlada de mejoras o degradaciones frente al enfoque zero-shot, sin sobredimensionar el alcance real del prototipo experimental.</w:t>
      </w:r>
    </w:p>
    <w:p w:rsidR="00000000" w:rsidDel="00000000" w:rsidP="00000000" w:rsidRDefault="00000000" w:rsidRPr="00000000" w14:paraId="00000474">
      <w:pPr>
        <w:spacing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Supuestos y riesgos de validez</w:t>
      </w:r>
      <w:r w:rsidDel="00000000" w:rsidR="00000000" w:rsidRPr="00000000">
        <w:rPr>
          <w:rFonts w:ascii="Times New Roman" w:cs="Times New Roman" w:eastAsia="Times New Roman" w:hAnsi="Times New Roman"/>
          <w:sz w:val="24"/>
          <w:szCs w:val="24"/>
          <w:rtl w:val="0"/>
        </w:rPr>
        <w:t xml:space="preserve">.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r w:rsidDel="00000000" w:rsidR="00000000" w:rsidRPr="00000000">
        <w:rPr>
          <w:rtl w:val="0"/>
        </w:rPr>
      </w:r>
    </w:p>
    <w:sectPr>
      <w:type w:val="nextPage"/>
      <w:pgSz w:h="16834" w:w="11909"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