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2E5A88"/>
          <w:sz w:val="44"/>
          <w:szCs w:val="44"/>
        </w:rPr>
        <w:t xml:space="preserve">Программа по математике для Data Science</w:t>
      </w:r>
    </w:p>
    <w:p>
      <w:pPr>
        <w:spacing w:after="40"/>
      </w:pPr>
      <w:r>
        <w:rPr>
          <w:color w:val="555555"/>
          <w:sz w:val="24"/>
          <w:szCs w:val="24"/>
        </w:rPr>
        <w:t xml:space="preserve">16 недель · два параллельных трека · датасет-якорь</w:t>
      </w:r>
    </w:p>
    <w:p>
      <w:pPr>
        <w:spacing w:after="240"/>
      </w:pPr>
      <w:r>
        <w:rPr>
          <w:i/>
          <w:iCs/>
          <w:color w:val="555555"/>
          <w:sz w:val="21"/>
          <w:szCs w:val="21"/>
        </w:rPr>
        <w:t xml:space="preserve">Структура тем адаптирована под MIT 18.065 (Linear Algebra and Learning from Data) и сжата под 4 месяца с работой на реальных данных с первой недели.</w:t>
      </w:r>
    </w:p>
    <w:p>
      <w:pPr>
        <w:pStyle w:val="Heading2"/>
        <w:spacing w:after="100" w:before="240"/>
      </w:pPr>
      <w:r>
        <w:rPr>
          <w:b/>
          <w:bCs/>
          <w:color w:val="2E5A88"/>
          <w:sz w:val="26"/>
          <w:szCs w:val="2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Как устроена программа</w:t>
      </w:r>
    </w:p>
    <w:p>
      <w:pPr>
        <w:spacing w:after="100" w:line="276"/>
      </w:pPr>
      <w:r>
        <w:rPr>
          <w:sz w:val="22"/>
          <w:szCs w:val="22"/>
        </w:rPr>
        <w:t xml:space="preserve">Четыре месяца — это мало для академического маршрута MIT, где линейная алгебра и статистика идут как отдельные семестровые курсы. Поэтому программа построена на трёх принципах, каждый из которых подтверждается практикой MIT либо рецензией MAA на учебник Странга.</w:t>
      </w:r>
    </w:p>
    <w:p>
      <w:pPr>
        <w:pStyle w:val="Heading3"/>
        <w:spacing w:after="60" w:before="160"/>
      </w:pPr>
      <w:r>
        <w:rPr>
          <w:b/>
          <w:bCs/>
          <w:color w:val="333333"/>
          <w:sz w:val="23"/>
          <w:szCs w:val="23"/>
        </w:rPr>
        <w:t xml:space="preserve">Принцип 1. Математика приходит под задачу с данными, а не наоборот</w:t>
      </w:r>
    </w:p>
    <w:p>
      <w:pPr>
        <w:spacing w:after="100" w:line="276"/>
      </w:pPr>
      <w:r>
        <w:rPr>
          <w:sz w:val="22"/>
          <w:szCs w:val="22"/>
        </w:rPr>
        <w:t xml:space="preserve">Каждый математический блок вводится тогда, когда он нужен для текущего вопроса к датасету, и закрывается ML-применением в пределах 1–2 недель. Это отличает программу от 18.065, где вся математика даётся абстрактно, а связь с данными студент ищет сам в финальном проекте.</w:t>
      </w:r>
    </w:p>
    <w:p>
      <w:pPr>
        <w:pStyle w:val="Heading3"/>
        <w:spacing w:after="60" w:before="160"/>
      </w:pPr>
      <w:r>
        <w:rPr>
          <w:b/>
          <w:bCs/>
          <w:color w:val="333333"/>
          <w:sz w:val="23"/>
          <w:szCs w:val="23"/>
        </w:rPr>
        <w:t xml:space="preserve">Принцип 2. Порядок тем — из 18.065, а не из классического 18.06</w:t>
      </w:r>
    </w:p>
    <w:p>
      <w:pPr>
        <w:spacing w:after="100" w:line="276"/>
      </w:pPr>
      <w:r>
        <w:rPr>
          <w:sz w:val="22"/>
          <w:szCs w:val="22"/>
        </w:rPr>
        <w:t xml:space="preserve">Мы не идём академическим маршрутом через LU-разложение и четыре фундаментальных подпространства. Берём приоритеты ML-курса Странга: линейные комбинации и столбцовое пространство → умножение как композиция → ортогональность и проекции → метод наименьших квадратов → собственные векторы → SVD → ковариационные матрицы.</w:t>
      </w:r>
    </w:p>
    <w:p>
      <w:pPr>
        <w:pStyle w:val="Heading3"/>
        <w:spacing w:after="60" w:before="160"/>
      </w:pPr>
      <w:r>
        <w:rPr>
          <w:b/>
          <w:bCs/>
          <w:color w:val="333333"/>
          <w:sz w:val="23"/>
          <w:szCs w:val="23"/>
        </w:rPr>
        <w:t xml:space="preserve">Принцип 3. «Руками, потом библиотекой» и упор на интерпретацию</w:t>
      </w:r>
    </w:p>
    <w:p>
      <w:pPr>
        <w:spacing w:after="100" w:line="276"/>
      </w:pPr>
      <w:r>
        <w:rPr>
          <w:sz w:val="22"/>
          <w:szCs w:val="22"/>
        </w:rPr>
        <w:t xml:space="preserve">Раз код пишет LLM, ценность студента — в проверке и интерпретации. Каждую концепцию сначала считаем в numpy вручную, потом сверяем с pandas/sklearn. Задания формулируются как «объясни, что это значит для этих данных», а не «докажи» или «выведи».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24"/>
              <w:bottom w:val="none"/>
              <w:right w:val="none"/>
            </w:tcBorders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Что мы сознательно выкидываем (и почему это не потеря для ML)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LU-разложение вручную, метод Крамера, определители 3×3 «большой формулой», ручной Грам–Шмидт, четыре фундаментальных подпространства как отдельная тема. </w:t>
            </w:r>
            <w:r>
              <w:rPr>
                <w:i/>
                <w:iCs/>
                <w:sz w:val="22"/>
                <w:szCs w:val="22"/>
              </w:rPr>
              <w:t xml:space="preserve">Это ядро академического 18.06, но в прикладном ML почти не встречается напрямую — библиотеки решают системы за нас. Мы даём геометрический смысл определителя (объём, вырожденность), но не технику ручного счёта.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88" w:sz="24"/>
              <w:bottom w:val="none"/>
              <w:right w:val="none"/>
            </w:tcBorders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A88"/>
                <w:sz w:val="22"/>
                <w:szCs w:val="22"/>
              </w:rPr>
              <w:t xml:space="preserve">Модель оценивания (по образцу 18.065)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50% — регулярные задания на своём датасете-якоре. 50% — финальный исследовательский проект. </w:t>
            </w:r>
            <w:r>
              <w:rPr>
                <w:i/>
                <w:iCs/>
                <w:sz w:val="22"/>
                <w:szCs w:val="22"/>
              </w:rPr>
              <w:t xml:space="preserve">В 18.065 ровно такое распределение: половина оценки за проект. Это правильный сигнал для цели «целостное понимание, а не зубрёжка».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Датасет-якорь: центральный механизм курса</w:t>
      </w:r>
    </w:p>
    <w:p>
      <w:pPr>
        <w:spacing w:after="100" w:line="276"/>
      </w:pPr>
      <w:r>
        <w:rPr>
          <w:sz w:val="22"/>
          <w:szCs w:val="22"/>
        </w:rPr>
        <w:t xml:space="preserve">У каждого студента — один «свой» датасет на весь курс. К нему он возвращается в каждой фазе, и одни и те же данные раскрываются глубже по мере роста математики. Это то, чего нет у MIT и что даёт целостность.</w:t>
      </w:r>
    </w:p>
    <w:p>
      <w:pPr>
        <w:spacing w:after="100" w:line="276"/>
      </w:pPr>
      <w:r>
        <w:rPr>
          <w:sz w:val="22"/>
          <w:szCs w:val="22"/>
        </w:rPr>
        <w:t xml:space="preserve">Важно подобрать датасеты так, чтобы под каждую ключевую тему нашёлся подходящий пример. Минимальный набор свойств, который должен быть покрыт в наборе датасетов группы: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Признак с почти нормальным распределением</w:t>
      </w:r>
      <w:r>
        <w:rPr>
          <w:sz w:val="22"/>
          <w:szCs w:val="22"/>
        </w:rPr>
        <w:t xml:space="preserve"> — для правила трёх сигм и детекции выбросов.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Счётчик событий во времени/пространстве</w:t>
      </w:r>
      <w:r>
        <w:rPr>
          <w:sz w:val="22"/>
          <w:szCs w:val="22"/>
        </w:rPr>
        <w:t xml:space="preserve"> — для распределения Пуассона (звонки в колл-центр, число событий за период, ДТП по районам).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Сильно скоррелированные признаки / мультиколлинеарность</w:t>
      </w:r>
      <w:r>
        <w:rPr>
          <w:sz w:val="22"/>
          <w:szCs w:val="22"/>
        </w:rPr>
        <w:t xml:space="preserve"> — чтобы ранг матрицы признаков был меньше числа столбцов.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Данные с явной структурой для снижения размерности</w:t>
      </w:r>
      <w:r>
        <w:rPr>
          <w:sz w:val="22"/>
          <w:szCs w:val="22"/>
        </w:rPr>
        <w:t xml:space="preserve"> — много признаков, где PCA даёт осмысленный результат.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Бинарная целевая переменная</w:t>
      </w:r>
      <w:r>
        <w:rPr>
          <w:sz w:val="22"/>
          <w:szCs w:val="22"/>
        </w:rPr>
        <w:t xml:space="preserve"> — для логистической регрессии в фазе 3.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Совет: </w:t>
      </w:r>
      <w:r>
        <w:rPr>
          <w:sz w:val="22"/>
          <w:szCs w:val="22"/>
        </w:rPr>
        <w:t xml:space="preserve">выдай каждому студенту датасет, обладающий хотя бы 3–4 из этих свойств, чтобы он мог пройти большую часть тем на своих данных, а недостающее добирал на общем демонстрационном датасете группы.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Фаза 1 (недели 1–4). Данные как векторы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Цель фазы: </w:t>
      </w:r>
      <w:r>
        <w:rPr>
          <w:sz w:val="22"/>
          <w:szCs w:val="22"/>
        </w:rPr>
        <w:t xml:space="preserve">перестать видеть в датасете таблицу и начать видеть точки в пространстве признаков. Описательная статистика и первые понятия линала — на реальных данных с первого занятия.</w:t>
      </w:r>
    </w:p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1 — Случайная величина и вектор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Статистика: матожидание, дисперсия, стандартное отклонение. Линал: вектор, норма.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Случайная величина, матожидание, дисперсия, стандартное отклонение.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Считаем всё руками в numpy, потом сверяем с pandas .describe().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Линал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Вектор как строка/столбец датафрейма. Норма вектора как «размер» наблюдения. Скалярное произведение и его геометрия.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Наблюдение = точка в пространстве признаков. Стандартизация признаков как деление на норму / приведение к z-оценке.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Взять свой датасет, посчитать всю описательную статистику вручную, объяснить, что каждое число значит про ЭТИ данные (не формулой, а смыслом).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«У признака X среднее 50, стд 2, а у Y среднее 50, стд 40 — что это говорит о данных и о том, какой признак опаснее оставить без масштабирования?»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2 — Распределения и выбросы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Статистика: нормальное распределение, правило трёх сигм, Бернулли, биномиальное.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Нормальное распределение, правило трёх сигм как инструмент детекции выбросов. Дискретные: Бернулли → биномиальное.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Линал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Продолжаем: линейные комбинации векторов, геометрия сложения признаков.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Детекция аномалий по трём сигмам на реальном признаке. Бернулли как модель бинарного события (клик / не клик).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Найти в датасете признак, похожий на нормальный, и признак, категорически не нормальный. Обосновать графиком и статистикой, не на глаз.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«Правило трёх сигм пометило 8% точек как выбросы. Это действительно выбросы или признак просто не нормальный? Что будешь делать?»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3 — Пуассон и ранг матрицы признаков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Статистика: распределение Пуассона. Линал: базис, ранг, мультиколлинеарность.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Распределение Пуассона (события во времени/пространстве), его связь с биномиальным при редких событиях.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Линал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Линейная независимость, базис, ранг — на матрице признаков. Момент: ранг &lt; числа столбцов = мультиколлинеарность.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Почему скоррелированные признаки ломают линейные модели. Ранг как «сколько на самом деле независимой информации в данных».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Найти счётчик событий в данных, проверить, ложится ли он на Пуассон. Отдельно: посчитать ранг матрицы признаков, найти линейно зависимые столбцы.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«Ранг матрицы 7 при 10 признаках. Какие 3 признака лишние и почему модель без них не потеряет информацию?»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4 — Ковариация: треки смыкаются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Статистика + линал вместе: ковариация, корреляция, ковариационная матрица.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Ключевой момент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Здесь статистика и линал впервые сходятся в одном объекте — ковариационной матрице.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Ковариация двух величин, коэффициент корреляции, ковариационная матрица как объект. Её симметричность.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Ковариационная матрица — вход для PCA (фаза 2). Корреляционная матрица для отбора признаков.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Построить ковариационную матрицу датасета руками (циклами), потом через numpy. Интерпретировать: какие признаки движутся вместе.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Веха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Первая мини-презентация исследования своего датасета (5 минут): что за данные, какие распределения, какие связи между признаками.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Фаза 2 (недели 5–8). Матрицы как операторы. Геометрия данных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Цель фазы: </w:t>
      </w:r>
      <w:r>
        <w:rPr>
          <w:sz w:val="22"/>
          <w:szCs w:val="22"/>
        </w:rPr>
        <w:t xml:space="preserve">сдвиг мышления — матрица не таблица чисел, а преобразование пространства. Кульминация — PCA, который собирается сам из уже известных ковариации и собственных векторов.</w:t>
      </w:r>
    </w:p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5 — Матрица как оператор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Умножение матриц как композиция преобразований.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Матрица как линейный оператор: поворот, растяжение, проекция. Умножение матриц как композиция преобразований, а не механическое «строка на столбец».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Преобразование признаков = применение оператора к данным. Матрица весов слоя как оператор над входом.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Взять 2D-подвыборку данных, применить матрицы поворота и масштабирования, визуализировать, что произошло с облаком точек.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«Эта матрица применена к данным. Опиши словами, что она сделала с облаком точек, не считая, а глядя на форму оператора.»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6 — Вырожденность и обратимость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Определитель геометрически, обратная матрица, когда её нет.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Определитель как коэффициент изменения объёма. Вырожденность = схлопывание пространства. Обратная матрица и условия её существования.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Выкидываем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Ручной счёт определителей «большой формулой», метод Крамера, LU. Даём смысл, не технику.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Почему вырожденная матрица признаков ломает решение уравнений регрессии. Связь вырожденности с мультиколлинеарностью из недели 3.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«Матрица признаков почти вырождена (определитель близок к нулю). Что это значит для устойчивости модели и что с этим делать?»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7 — Собственные векторы и значения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Вводятся прямо на ковариационной матрице из недели 4.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Собственные векторы и значения. Вводим НЕ абстрактно, а на ковариационной матрице из недели 4 — чтобы сразу был смысл.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Смысл для данных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Собственные векторы ковариационной матрицы = направления максимального разброса данных. Собственные значения = величина разброса вдоль них.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Найти собственные векторы ковариационной матрицы своего датасета, наложить их на 2D-scatter, увидеть, что они указывают вдоль вытянутости облака.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«Первое собственное значение в 20 раз больше второго. Что это говорит о форме данных?»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8 — PCA (кульминация фазы)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Собирается из ковариации + собственных векторов. Плюс обзор SVD.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PCA собирается сам: студенты уже знают ковариацию и собственные векторы. SVD — обзорно, как более общий и устойчивый инструмент.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Снижение размерности, визуализация многомерных данных, борьба с мультиколлинеарностью — всё сходится здесь.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Снизить размерность реального датасета через PCA, визуализировать в 2D, объяснить, сколько дисперсии сохранили и что потеряли.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Веха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Вторая презентация: PCA-анализ своего датасета с интерпретацией главных компонент в терминах исходных признаков.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Фаза 3 (недели 9–12). Оценивание и первые модели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Цель фазы: </w:t>
      </w:r>
      <w:r>
        <w:rPr>
          <w:sz w:val="22"/>
          <w:szCs w:val="22"/>
        </w:rPr>
        <w:t xml:space="preserve">два трека сливаются полностью — студенты видят линейную регрессию одновременно как геометрическую проекцию и как статистическую модель. Появляется понятие «обучить модель» через правдоподобие.</w:t>
      </w:r>
    </w:p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9 — Проекции и наименьшие квадраты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Геометрия: проекция вектора на подпространство.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Ортогональная проекция вектора на подпространство. Метод наименьших квадратов геометрически: ищем ближайшую точку в столбцовом пространстве.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Это буквально механизм линейной регрессии. Остатки = перпендикуляр от точки до подпространства модели.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Реализовать наименьшие квадраты руками через проекцию, сверить с sklearn LinearRegression.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10 — Линейная регрессия с двух сторон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Одна вещь как проекция И как статистическая модель.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Ключевой момент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Полное слияние треков: одна и та же регрессия объясняется геометрически (проекция) и статистически (модель с ошибками).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Коэффициенты регрессии, их интерпретация, остатки, R². Предпосылки линейной модели.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Построить регрессию на своём датасете, интерпретировать каждый коэффициент содержательно, проверить остатки на нормальность (связь с неделей 2).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Интерпретация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«Коэффициент при признаке X отрицательный, хотя корреляция с целью положительная. Как такое возможно?» (эффект других признаков).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11 — Максимальное правдоподобие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Что вообще значит «обучить модель».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Функция правдоподобия, метод максимального правдоподобия (MLE). Идея: подбираем параметры, при которых наблюдаемые данные наиболее вероятны.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MLE — общий принцип обучения. Наименьшие квадраты оказываются частным случаем MLE при нормальных ошибках — ещё одно смыкание.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Показать численно, что оценка среднего по MLE для нормального распределения совпадает с обычным средним. Прочувствовать принцип.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12 — Логистическая регрессия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Классификация через правдоподобие. Возврат статистических тестов.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Логистическая регрессия через максимизацию правдоподобия. Классификация. Статистические тесты возвращаются — для проверки значимости коэффициентов.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Связка с ML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Первая полноценная классификационная модель, у которой студент понимает и геометрию, и вероятностный смысл.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Построить логистическую регрессию на бинарной цели своего датасета, интерпретировать коэффициенты как влияние на шансы, проверить значимость.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Веха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Третья презентация: предсказательная модель на своём датасете с честной интерпретацией, а не только метрикой.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Фаза 4 (недели 13–16). Классический DS и исследовательский проект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Цель фазы: </w:t>
      </w:r>
      <w:r>
        <w:rPr>
          <w:sz w:val="22"/>
          <w:szCs w:val="22"/>
        </w:rPr>
        <w:t xml:space="preserve">твои готовые материалы по классическим моделям — но теперь студенты понимают, что внутри. Основное время — на серьёзный исследовательский проект, проходящий полный цикл.</w:t>
      </w:r>
    </w:p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13 — Классические модели с пониманием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Твои материалы, но с математической подложкой.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Деревья, ансамбли, метрики, кросс-валидация — по твоим существующим материалам. Разница в том, что студенты теперь понимают математику под капотом линейных моделей и снижения размерности.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Акцент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Не «какую модель выбрать», а «почему эта модель подходит этим данным с учётом их структуры (распределения, корреляции, размерность)».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Неделя 14 — Запуск проекта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Полный цикл на сложном датасете.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Студенты берут сложный датасет (можно новый, не якорь) и проходят полный цикл: EDA → проверка распределений → отбор признаков → снижение размерности → модель → интерпретация → выводы.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Каждый этап сопровождается математическим обоснованием решения, а не «сделал, потому что так в туториале».</w:t>
            </w:r>
          </w:p>
        </w:tc>
      </w:tr>
    </w:tbl>
    <w:p>
      <w:pPr>
        <w:spacing w:after="40" w:before="220"/>
      </w:pPr>
      <w:r>
        <w:rPr>
          <w:b/>
          <w:bCs/>
          <w:color w:val="2E5A88"/>
          <w:sz w:val="24"/>
          <w:szCs w:val="24"/>
        </w:rPr>
        <w:t xml:space="preserve">Недели 15–16 — Проект и защита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Исследование, а не «точность 0.8, конец».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100"/>
        <w:gridCol w:w="7260"/>
      </w:tblGrid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Доработка проекта и защита. Оценивается глубина понимания и интерпретации, а не только метрика модели.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Критерий защиты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Студент должен уметь ответить на вопросы вида «почему первая компонента объясняет 90% дисперсии — это хорошо или подозрительно?», «эта матрица вырождена, что это значит для модели?».</w:t>
            </w:r>
          </w:p>
        </w:tc>
      </w:tr>
      <w:tr>
        <w:tc>
          <w:tcPr>
            <w:tcW w:type="dxa" w:w="210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Вес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Финальный проект = 50% итоговой оценки (по модели 18.065).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Банк заданий на интерпретацию</w:t>
      </w:r>
    </w:p>
    <w:p>
      <w:pPr>
        <w:spacing w:after="100" w:line="276"/>
      </w:pPr>
      <w:r>
        <w:rPr>
          <w:sz w:val="22"/>
          <w:szCs w:val="22"/>
        </w:rPr>
        <w:t xml:space="preserve">Главный инструмент курса в эпоху LLM. Код студенту напишет модель — ценность в способности объяснить и проверить. Держи запас таких вопросов и вставляй в каждое задание хотя бы один.</w:t>
      </w:r>
    </w:p>
    <w:p>
      <w:pPr>
        <w:pStyle w:val="Heading3"/>
        <w:spacing w:after="60" w:before="160"/>
      </w:pPr>
      <w:r>
        <w:rPr>
          <w:b/>
          <w:bCs/>
          <w:color w:val="333333"/>
          <w:sz w:val="23"/>
          <w:szCs w:val="23"/>
        </w:rPr>
        <w:t xml:space="preserve">По линейной алгебре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«Эта матрица признаков вырождена. Что это значит для модели и как ты это обнаружишь до обучения?»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«Первая главная компонента объясняет 90% дисперсии. Это хорошо или подозрительно? От чего зависит ответ?»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«Собственный вектор ковариационной матрицы указывает в этом направлении. Переведи это в утверждение про исходные признаки.»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«Ранг матрицы признаков меньше числа столбцов. Какие признаки лишние и как ты это докажешь?»</w:t>
      </w:r>
    </w:p>
    <w:p>
      <w:pPr>
        <w:pStyle w:val="Heading3"/>
        <w:spacing w:after="60" w:before="160"/>
      </w:pPr>
      <w:r>
        <w:rPr>
          <w:b/>
          <w:bCs/>
          <w:color w:val="333333"/>
          <w:sz w:val="23"/>
          <w:szCs w:val="23"/>
        </w:rPr>
        <w:t xml:space="preserve">По статистике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«Правило трёх сигм пометило 8% данных как выбросы. Это выбросы или признак не нормальный? Как проверишь?»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«Коэффициент регрессии при X отрицательный, хотя корреляция X с целью положительная. Как это возможно?»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«Этот счётчик событий — Пуассон или нет? Какой признак данных это подтверждает или опровергает?»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«Модель показала p-value 0.049. Что именно это значит и почему нельзя просто сказать, что признак важен?»</w:t>
      </w:r>
    </w:p>
    <w:p>
      <w:pPr>
        <w:pStyle w:val="Heading3"/>
        <w:spacing w:after="60" w:before="160"/>
      </w:pPr>
      <w:r>
        <w:rPr>
          <w:b/>
          <w:bCs/>
          <w:color w:val="333333"/>
          <w:sz w:val="23"/>
          <w:szCs w:val="23"/>
        </w:rPr>
        <w:t xml:space="preserve">Общий принцип формулировки</w:t>
      </w:r>
    </w:p>
    <w:p>
      <w:pPr>
        <w:spacing w:after="100" w:line="276"/>
      </w:pPr>
      <w:r>
        <w:rPr>
          <w:sz w:val="22"/>
          <w:szCs w:val="22"/>
        </w:rPr>
        <w:t xml:space="preserve">Хорошее задание на интерпретацию нельзя решить, скопировав вывод LLM. Оно требует связать математический факт с конкретными данными студента. Плохое задание: «выведи формулу дисперсии». Хорошее: «объясни, почему у двух признаков одинаковое среднее, но разная дисперсия меняет решение о масштабировании».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8"/>
          <w:sz w:val="32"/>
          <w:szCs w:val="32"/>
        </w:rPr>
        <w:t xml:space="preserve">Соответствие курсам MIT (для защиты программы)</w:t>
      </w:r>
    </w:p>
    <w:p>
      <w:pPr>
        <w:spacing w:after="100" w:line="276"/>
      </w:pPr>
      <w:r>
        <w:rPr>
          <w:sz w:val="22"/>
          <w:szCs w:val="22"/>
        </w:rPr>
        <w:t xml:space="preserve">Если нужно обосновать программу ссылкой на авторитет — вот как темы соотносятся с курсами MIT.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560"/>
        <w:gridCol w:w="3400"/>
        <w:gridCol w:w="2400"/>
      </w:tblGrid>
      <w:tr>
        <w:trPr>
          <w:tblHeader/>
        </w:trPr>
        <w:tc>
          <w:tcPr>
            <w:tcW w:type="dxa" w:w="3560"/>
            <w:shd w:fill="2E5A8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Тема программы</w:t>
            </w:r>
          </w:p>
        </w:tc>
        <w:tc>
          <w:tcPr>
            <w:tcW w:type="dxa" w:w="3400"/>
            <w:shd w:fill="2E5A8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 18.065</w:t>
            </w:r>
          </w:p>
        </w:tc>
        <w:tc>
          <w:tcPr>
            <w:tcW w:type="dxa" w:w="2400"/>
            <w:shd w:fill="2E5A8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Линейные комбинации, столбцовое пространство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Лекция 1 (Column Space of A)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Обязательно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Умножение и разложение матриц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Лекция 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Обязательно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Ортогональность, проекции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Лекция 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Обязательно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Метод наименьших квадратов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Ядро курса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Обязательно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Собственные векторы, SVD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Ядро курса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Обязательно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Ковариационные / корреляционные матрицы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Явно в описании 18.065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Обязательно</w:t>
            </w:r>
          </w:p>
        </w:tc>
      </w:tr>
      <w:tr>
        <w:trPr>
          <w:tblHeader w:val="false"/>
        </w:trPr>
        <w:tc>
          <w:tcPr>
            <w:tcW w:type="dxa" w:w="3560"/>
            <w:shd w:fill="FB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LU-разложение, Крамер, ручной Грам–Шмидт</w:t>
            </w:r>
          </w:p>
        </w:tc>
        <w:tc>
          <w:tcPr>
            <w:tcW w:type="dxa" w:w="3400"/>
            <w:shd w:fill="FB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18.06 (классический)</w:t>
            </w:r>
          </w:p>
        </w:tc>
        <w:tc>
          <w:tcPr>
            <w:tcW w:type="dxa" w:w="2400"/>
            <w:shd w:fill="FB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Выкинуто</w:t>
            </w:r>
          </w:p>
        </w:tc>
      </w:tr>
      <w:tr>
        <w:trPr>
          <w:tblHeader w:val="false"/>
        </w:trPr>
        <w:tc>
          <w:tcPr>
            <w:tcW w:type="dxa" w:w="3560"/>
            <w:shd w:fill="FB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Четыре фундаментальных подпространства</w:t>
            </w:r>
          </w:p>
        </w:tc>
        <w:tc>
          <w:tcPr>
            <w:tcW w:type="dxa" w:w="3400"/>
            <w:shd w:fill="FB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18.06 (классический)</w:t>
            </w:r>
          </w:p>
        </w:tc>
        <w:tc>
          <w:tcPr>
            <w:tcW w:type="dxa" w:w="2400"/>
            <w:shd w:fill="FB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Выкинуто</w:t>
            </w:r>
          </w:p>
        </w:tc>
      </w:tr>
    </w:tbl>
    <w:p>
      <w:pPr>
        <w:spacing w:before="200"/>
      </w:pPr>
      <w:r>
        <w:rPr>
          <w:b/>
          <w:bCs/>
          <w:color w:val="2E5A88"/>
          <w:sz w:val="22"/>
          <w:szCs w:val="22"/>
        </w:rPr>
        <w:t xml:space="preserve">Ключевое отличие от MIT: </w:t>
      </w:r>
      <w:r>
        <w:rPr>
          <w:sz w:val="22"/>
          <w:szCs w:val="22"/>
        </w:rPr>
        <w:t xml:space="preserve">MIT требует классический линал (18.06) как пререквизит и даёт математику отдельным курсом. У нас его нет и времени мало — поэтому мы вносим математику прямо в работу с данными. Это ближе к тому, что рецензия MAA на учебник Странга считает педагогически более сильным подходом для data science.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2026-08-23T18:01:15.191Z</dcterms:created>
  <dcterms:modified xsi:type="dcterms:W3CDTF">2026-08-23T18:01:15.204Z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