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5F"/>
          <w:sz w:val="44"/>
          <w:szCs w:val="44"/>
        </w:rPr>
        <w:t xml:space="preserve">AI Disruption: Stock Prices vs. Revenue Reality</w:t>
      </w:r>
    </w:p>
    <w:p>
      <w:pPr>
        <w:pBdr>
          <w:bottom w:val="single" w:color="2563EB" w:sz="6" w:space="8"/>
        </w:pBdr>
        <w:spacing w:after="300"/>
      </w:pPr>
      <w:r>
        <w:rPr>
          <w:rFonts w:ascii="Arial" w:cs="Arial" w:eastAsia="Arial" w:hAnsi="Arial"/>
          <w:color w:val="6B7280"/>
          <w:sz w:val="22"/>
          <w:szCs w:val="22"/>
        </w:rPr>
        <w:t xml:space="preserve">37 companies trading below their Nov 29, 2022 price (the day before ChatGPT launched)  —  March 2026</w:t>
      </w:r>
    </w:p>
    <w:p>
      <w:pPr>
        <w:pBdr>
          <w:left w:val="single" w:color="6366F1" w:sz="12" w:space="8"/>
        </w:pBdr>
        <w:shd w:fill="EEF2FF" w:val="clear"/>
        <w:spacing w:after="180"/>
        <w:ind w:left="240"/>
      </w:pPr>
      <w:r>
        <w:rPr>
          <w:rFonts w:ascii="Arial" w:cs="Arial" w:eastAsia="Arial" w:hAnsi="Arial"/>
          <w:color w:val="1F2937"/>
          <w:sz w:val="22"/>
          <w:szCs w:val="22"/>
        </w:rPr>
        <w:t xml:space="preserve">The headline finding: Only 14 of these 37 “AI-disrupted” companies have actually seen revenue decline. 18 grew revenue — some by 30–70%. Yet every single one (bar Omnicom) has seen its stock fall, many by 50–90%+. The stock market is pricing in future disruption that, for most of these companies, hasn’t yet shown up in the top line. The fear of what AI will do is, so far, much larger than what it has done.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C2626"/>
                <w:sz w:val="36"/>
                <w:szCs w:val="36"/>
              </w:rPr>
              <w:t xml:space="preserve">14</w:t>
            </w:r>
          </w:p>
          <w:p>
            <w:pPr>
              <w:jc w:val="center"/>
            </w:pPr>
            <w:r>
              <w:rPr>
                <w:rFonts w:ascii="Arial" w:cs="Arial" w:eastAsia="Arial" w:hAnsi="Arial"/>
                <w:color w:val="6B7280"/>
                <w:sz w:val="18"/>
                <w:szCs w:val="18"/>
              </w:rPr>
              <w:t xml:space="preserve">Revenue decliners (&gt;5% drop)</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97706"/>
                <w:sz w:val="36"/>
                <w:szCs w:val="36"/>
              </w:rPr>
              <w:t xml:space="preserve">5</w:t>
            </w:r>
          </w:p>
          <w:p>
            <w:pPr>
              <w:jc w:val="center"/>
            </w:pPr>
            <w:r>
              <w:rPr>
                <w:rFonts w:ascii="Arial" w:cs="Arial" w:eastAsia="Arial" w:hAnsi="Arial"/>
                <w:color w:val="6B7280"/>
                <w:sz w:val="18"/>
                <w:szCs w:val="18"/>
              </w:rPr>
              <w:t xml:space="preserve">Roughly flat (±5%)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059669"/>
                <w:sz w:val="36"/>
                <w:szCs w:val="36"/>
              </w:rPr>
              <w:t xml:space="preserve">18</w:t>
            </w:r>
          </w:p>
          <w:p>
            <w:pPr>
              <w:jc w:val="center"/>
            </w:pPr>
            <w:r>
              <w:rPr>
                <w:rFonts w:ascii="Arial" w:cs="Arial" w:eastAsia="Arial" w:hAnsi="Arial"/>
                <w:color w:val="6B7280"/>
                <w:sz w:val="18"/>
                <w:szCs w:val="18"/>
              </w:rPr>
              <w:t xml:space="preserve">Revenue growers (&gt;5% up)</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7C3AED"/>
                <w:sz w:val="36"/>
                <w:szCs w:val="36"/>
              </w:rPr>
              <w:t xml:space="preserve">-63%</w:t>
            </w:r>
          </w:p>
          <w:p>
            <w:pPr>
              <w:jc w:val="center"/>
            </w:pPr>
            <w:r>
              <w:rPr>
                <w:rFonts w:ascii="Arial" w:cs="Arial" w:eastAsia="Arial" w:hAnsi="Arial"/>
                <w:color w:val="6B7280"/>
                <w:sz w:val="18"/>
                <w:szCs w:val="18"/>
              </w:rPr>
              <w:t xml:space="preserve">Avg stock decline (all)</w:t>
            </w:r>
          </w:p>
        </w:tc>
      </w:tr>
    </w:tbl>
    <w:p>
      <w:pPr>
        <w:spacing w:after="200"/>
      </w:pPr>
    </w:p>
    <w:p>
      <w:pPr>
        <w:pStyle w:val="Heading1"/>
      </w:pPr>
      <w:r>
        <w:t xml:space="preserve">Revenue vs. Stock Price: Full Data</w:t>
      </w:r>
    </w:p>
    <w:p>
      <w:pPr>
        <w:spacing w:after="180"/>
      </w:pPr>
      <w:r>
        <w:rPr>
          <w:rFonts w:ascii="Arial" w:cs="Arial" w:eastAsia="Arial" w:hAnsi="Arial"/>
          <w:color w:val="1F2937"/>
          <w:sz w:val="22"/>
          <w:szCs w:val="22"/>
        </w:rPr>
        <w:t xml:space="preserve">Sorted by revenue change, worst to best. Revenue is pre-ChatGPT quarter (Q3 2022 or nearest) vs. most recent reported quarter. Stock price is Nov 29, 2022 close vs. March 2026. The “Gap” column shows how much the stock decline exceeds the revenue change in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600"/>
        <w:gridCol w:w="1200"/>
        <w:gridCol w:w="1100"/>
        <w:gridCol w:w="1200"/>
        <w:gridCol w:w="960"/>
        <w:gridCol w:w="960"/>
        <w:gridCol w:w="1460"/>
      </w:tblGrid>
      <w:tr>
        <w:trPr>
          <w:tblHeader/>
        </w:trPr>
        <w:tc>
          <w:tcPr>
            <w:tcW w:type="dxa" w:w="88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left"/>
            </w:pPr>
            <w:r>
              <w:rPr>
                <w:rFonts w:ascii="Arial" w:cs="Arial" w:eastAsia="Arial" w:hAnsi="Arial"/>
                <w:b/>
                <w:bCs/>
                <w:color w:val="FFFFFF"/>
                <w:sz w:val="18"/>
                <w:szCs w:val="18"/>
              </w:rPr>
              <w:t xml:space="preserve">Ticker</w:t>
            </w:r>
          </w:p>
        </w:tc>
        <w:tc>
          <w:tcPr>
            <w:tcW w:type="dxa" w:w="16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left"/>
            </w:pPr>
            <w:r>
              <w:rPr>
                <w:rFonts w:ascii="Arial" w:cs="Arial" w:eastAsia="Arial" w:hAnsi="Arial"/>
                <w:b/>
                <w:bCs/>
                <w:color w:val="FFFFFF"/>
                <w:sz w:val="18"/>
                <w:szCs w:val="18"/>
              </w:rPr>
              <w:t xml:space="preserve">Company</w:t>
            </w:r>
          </w:p>
        </w:tc>
        <w:tc>
          <w:tcPr>
            <w:tcW w:type="dxa" w:w="12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left"/>
            </w:pPr>
            <w:r>
              <w:rPr>
                <w:rFonts w:ascii="Arial" w:cs="Arial" w:eastAsia="Arial" w:hAnsi="Arial"/>
                <w:b/>
                <w:bCs/>
                <w:color w:val="FFFFFF"/>
                <w:sz w:val="18"/>
                <w:szCs w:val="18"/>
              </w:rPr>
              <w:t xml:space="preserve">Category</w:t>
            </w:r>
          </w:p>
        </w:tc>
        <w:tc>
          <w:tcPr>
            <w:tcW w:type="dxa" w:w="11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Pre Rev ($M)</w:t>
            </w:r>
          </w:p>
        </w:tc>
        <w:tc>
          <w:tcPr>
            <w:tcW w:type="dxa" w:w="12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Recent Rev ($M)</w:t>
            </w:r>
          </w:p>
        </w:tc>
        <w:tc>
          <w:tcPr>
            <w:tcW w:type="dxa" w:w="96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Rev Δ%</w:t>
            </w:r>
          </w:p>
        </w:tc>
        <w:tc>
          <w:tcPr>
            <w:tcW w:type="dxa" w:w="96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Stock Δ%</w:t>
            </w:r>
          </w:p>
        </w:tc>
        <w:tc>
          <w:tcPr>
            <w:tcW w:type="dxa" w:w="146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Gap (pp)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LPSN</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LivePerson</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Conv. AI</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130</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-53.6%</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-98.3%</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-45pp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CHGG</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Chegg</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Education</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165</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78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-52.8%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-97.9%</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-45pp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ZIP</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ZipRecruiter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Recruitment</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227</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115</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-49.3%</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-81.7%</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-32pp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FORR</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Forrester</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Research</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128</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94</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-26.1%</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-82.6%</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-56pp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RHI</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Robert Half</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Staffing</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1833</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1354</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-26.1%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-65.9%</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-40pp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TEP</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Telecom Plus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Multi-Utility</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2475 (GBP)</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1838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-25.7%</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-45.7%</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-20pp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TBI</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TrueBlue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Staffing</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576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431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-25.1%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-81.2%</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-56pp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PERI</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Perion Network</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 Tech</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640</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498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-22.2%</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-67.6%</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-45pp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KELYA</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Kelly Services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Staffing</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1168</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935</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-19.9%</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-45.0%</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-25pp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EXFY</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Expensify</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SaaS</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35</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-17.5%</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-91.1%</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-74pp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ASGN</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ASGN Inc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Staffing</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1198</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1011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-15.6%</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-57.7%</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-42pp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TTEC</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TTEC Holdings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BPO/CX</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592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519</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-12.4%</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-93.1%</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-81pp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DAVA</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Endava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Services</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196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178</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-9.2%</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-93.1%</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-84pp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LON:RWS</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RWS Holdings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Translation</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749 (GBP)</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690</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-7.9%</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-75.8%</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-68pp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MAN</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ManpowerGroup</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Staffing</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4801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4634</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-3.5%</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-65.7%</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-62pp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CLVT</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Clarivate</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Research/IP</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636</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623</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-2.0%</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-72.0%</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-70pp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DH</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Definitive HC</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Healthcare Data</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-0.9%</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-89.3%</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-88pp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LON:WPP</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WPP</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Advertising</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14429 (GBP)</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14741</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+2.2%</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-72.7%</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-75pp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GETY</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Getty Images</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Stock Media</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230</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240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+4.2%</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-87.5%</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-92pp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ZD</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Ziff Davis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Digital Media</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342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364</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+6.4%</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-53.7%</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-60pp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AMS:WKL</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Wolters Kluwer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Info Services</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5453 (EUR)</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6125</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+12.3%</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-33.2%</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-46pp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EPAM</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EPAM Systems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Services</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1227</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1394</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+13.6%</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-59.6%</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-73pp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G</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Genpact</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1111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1291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+16.2%</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-9.8%</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-26pp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OMC</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Omnicom</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Advertising</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3443</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4037</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+17.2%</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+12.6%</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-5pp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HRB</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H&amp;R Block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Tax Prep</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166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199</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+19.5%</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-20.5%</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-40pp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TRIP</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TripAdvisor</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Travel</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459</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553</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+20.5%</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-52.3%</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-73pp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SSTK</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Shutterstock</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Stock Media</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204</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260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+27.4%</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-63.1%</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-91pp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TASK</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TaskUs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BPO/AI Data</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232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299</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+28.7%</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-45.4%</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-74pp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LZ</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LegalZoom</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Legal Tech</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147</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190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+29.7%</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-29.8%</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-59pp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FVRR</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Fiverr</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Freelance</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83</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108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+30.8%</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-68.5%</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-99pp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ADBE</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Adobe</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Creative SW</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4433</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5988</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+35.1%</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-24.4%</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-59pp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GLOB</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Globant</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Services</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1780</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2455</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+37.9%</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-73.9%</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-112pp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COUR</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Coursera</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Education</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136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194</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+42.4%</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-54.4%</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-97pp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FIVN</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Five9</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CCaaS</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208</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300</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+44.1%</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-73.8%</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-118pp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CNXC</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Concentrix</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BPO/CX</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1580</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2483</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+57.2%</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-70.6%</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-128pp</w:t>
            </w:r>
          </w:p>
        </w:tc>
      </w:tr>
      <w:tr>
        <w:tc>
          <w:tcPr>
            <w:tcW w:type="dxa" w:w="88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bCs/>
                <w:color w:val="1F2937"/>
                <w:sz w:val="17"/>
                <w:szCs w:val="17"/>
              </w:rPr>
              <w:t xml:space="preserve">FRSH</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Freshworks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SaaS</w:t>
            </w:r>
          </w:p>
        </w:tc>
        <w:tc>
          <w:tcPr>
            <w:tcW w:type="dxa" w:w="11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129</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215</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+67.1%</w:t>
            </w:r>
          </w:p>
        </w:tc>
        <w:tc>
          <w:tcPr>
            <w:tcW w:type="dxa" w:w="9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-41.1%</w:t>
            </w:r>
          </w:p>
        </w:tc>
        <w:tc>
          <w:tcPr>
            <w:tcW w:type="dxa" w:w="14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-108pp</w:t>
            </w:r>
          </w:p>
        </w:tc>
      </w:tr>
      <w:tr>
        <w:tc>
          <w:tcPr>
            <w:tcW w:type="dxa" w:w="88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bCs/>
                <w:color w:val="1F2937"/>
                <w:sz w:val="17"/>
                <w:szCs w:val="17"/>
              </w:rPr>
              <w:t xml:space="preserve">SPT</w:t>
            </w:r>
          </w:p>
        </w:tc>
        <w:tc>
          <w:tcPr>
            <w:tcW w:type="dxa" w:w="1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Sprout Social</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SaaS</w:t>
            </w:r>
          </w:p>
        </w:tc>
        <w:tc>
          <w:tcPr>
            <w:tcW w:type="dxa" w:w="11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65</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116</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+77.0%</w:t>
            </w:r>
          </w:p>
        </w:tc>
        <w:tc>
          <w:tcPr>
            <w:tcW w:type="dxa" w:w="9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-89.5%</w:t>
            </w:r>
          </w:p>
        </w:tc>
        <w:tc>
          <w:tcPr>
            <w:tcW w:type="dxa" w:w="14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6B7280"/>
                <w:sz w:val="17"/>
                <w:szCs w:val="17"/>
              </w:rPr>
              <w:t xml:space="preserve">-166pp</w:t>
            </w:r>
          </w:p>
        </w:tc>
      </w:tr>
    </w:tbl>
    <w:p>
      <w:pPr>
        <w:spacing w:after="80"/>
      </w:pPr>
      <w:r>
        <w:rPr>
          <w:rFonts w:ascii="Arial" w:cs="Arial" w:eastAsia="Arial" w:hAnsi="Arial"/>
          <w:i/>
          <w:iCs/>
          <w:color w:val="6B7280"/>
          <w:sz w:val="18"/>
          <w:szCs w:val="18"/>
        </w:rPr>
        <w:t xml:space="preserve">Note: Non-US companies (RWS, WPP, Wolters Kluwer, Telecom Plus) use annual figures in local currency. CNXC revenue growth largely from Webhelp merger. SSTK revenue includes AI data licensing deals. PERI and GLOB are annual (20-F filers).</w:t>
      </w:r>
    </w:p>
    <w:p>
      <w:r>
        <w:br w:type="page"/>
      </w:r>
    </w:p>
    <w:p>
      <w:pPr>
        <w:pStyle w:val="Heading1"/>
      </w:pPr>
      <w:r>
        <w:t xml:space="preserve">What’s Actually Happening</w:t>
      </w:r>
    </w:p>
    <w:p>
      <w:pPr>
        <w:pStyle w:val="Heading2"/>
      </w:pPr>
      <w:r>
        <w:t xml:space="preserve">1. Real Revenue Casualties: AI Is Already Hurting These Businesses</w:t>
      </w:r>
    </w:p>
    <w:p>
      <w:pPr>
        <w:spacing w:after="180"/>
      </w:pPr>
      <w:r>
        <w:rPr>
          <w:rFonts w:ascii="Arial" w:cs="Arial" w:eastAsia="Arial" w:hAnsi="Arial"/>
          <w:color w:val="1F2937"/>
          <w:sz w:val="22"/>
          <w:szCs w:val="22"/>
        </w:rPr>
        <w:t xml:space="preserve">The clearest cases of AI-driven revenue destruction are LivePerson (−54%), Chegg (−53%), and ZipRecruiter (−49%). LivePerson is the most ironic: an AI chatbot company destroyed by better AI chatbots. Chegg’s homework-help business was essentially replaced overnight by ChatGPT. ZipRecruiter faces both AI automation of recruiting and a macro hiring slowdown.</w:t>
      </w:r>
    </w:p>
    <w:p>
      <w:pPr>
        <w:spacing w:after="180"/>
      </w:pPr>
      <w:r>
        <w:rPr>
          <w:rFonts w:ascii="Arial" w:cs="Arial" w:eastAsia="Arial" w:hAnsi="Arial"/>
          <w:color w:val="1F2937"/>
          <w:sz w:val="22"/>
          <w:szCs w:val="22"/>
        </w:rPr>
        <w:t xml:space="preserve">The staffing sector — Robert Half (−26%), TrueBlue (−25%), Kelly Services (−20%), ASGN (−16%) — is seeing real revenue erosion, though it’s hard to separate AI from cyclical factors. AI automates the matching and screening that staffing firms charge for, while simultaneously reducing the number of roles companies need to fill.</w:t>
      </w:r>
    </w:p>
    <w:p>
      <w:pPr>
        <w:spacing w:after="180"/>
      </w:pPr>
      <w:r>
        <w:rPr>
          <w:rFonts w:ascii="Arial" w:cs="Arial" w:eastAsia="Arial" w:hAnsi="Arial"/>
          <w:color w:val="1F2937"/>
          <w:sz w:val="22"/>
          <w:szCs w:val="22"/>
        </w:rPr>
        <w:t xml:space="preserve">Forrester Research (−26%) and Perion Network (−22%) are clear cases: AI is commoditizing premium market research (Forrester), and Microsoft’s AI pivot in Bing directly killed Perion’s search advertising revenue.</w:t>
      </w:r>
    </w:p>
    <w:p>
      <w:pPr>
        <w:pStyle w:val="Heading2"/>
      </w:pPr>
      <w:r>
        <w:t xml:space="preserve">2. The “Fear Premium” Companies: Stock Crushed, Revenue Fine</w:t>
      </w:r>
    </w:p>
    <w:p>
      <w:pPr>
        <w:spacing w:after="180"/>
      </w:pPr>
      <w:r>
        <w:rPr>
          <w:rFonts w:ascii="Arial" w:cs="Arial" w:eastAsia="Arial" w:hAnsi="Arial"/>
          <w:color w:val="1F2937"/>
          <w:sz w:val="22"/>
          <w:szCs w:val="22"/>
        </w:rPr>
        <w:t xml:space="preserve">This is the more interesting group. Sprout Social’s stock is down 89% despite revenue growing 77%. Globant is down 74% with revenue up 38%. Five9 is down 74% with revenue up 44%. Concentrix is down 71% with revenue up 57% (partly from its Webhelp merger). Freshworks is down 41% with revenue up 67%.</w:t>
      </w:r>
    </w:p>
    <w:p>
      <w:pPr>
        <w:spacing w:after="180"/>
      </w:pPr>
      <w:r>
        <w:rPr>
          <w:rFonts w:ascii="Arial" w:cs="Arial" w:eastAsia="Arial" w:hAnsi="Arial"/>
          <w:color w:val="1F2937"/>
          <w:sz w:val="22"/>
          <w:szCs w:val="22"/>
        </w:rPr>
        <w:t xml:space="preserve">For these companies, investors are pricing in a future where AI agents replace human customer service reps (Five9, Concentrix), AI tools replace freelancers (Fiverr), or AI commoditizes SaaS tools (Sprout Social, Freshworks). The revenue hasn’t declined yet, but growth is decelerating — and the market is forward-looking.</w:t>
      </w:r>
    </w:p>
    <w:p>
      <w:pPr>
        <w:spacing w:after="180"/>
      </w:pPr>
      <w:r>
        <w:rPr>
          <w:rFonts w:ascii="Arial" w:cs="Arial" w:eastAsia="Arial" w:hAnsi="Arial"/>
          <w:color w:val="1F2937"/>
          <w:sz w:val="22"/>
          <w:szCs w:val="22"/>
        </w:rPr>
        <w:t xml:space="preserve">Even Adobe, which grew revenue 35% to nearly $6B/quarter, has seen its stock fall 24%. The market worries that AI image generation will eventually compress the need for complex creative software.</w:t>
      </w:r>
    </w:p>
    <w:p>
      <w:pPr>
        <w:pStyle w:val="Heading2"/>
      </w:pPr>
      <w:r>
        <w:t xml:space="preserve">3. How Stock Declines Relate to Revenue Declines</w:t>
      </w:r>
    </w:p>
    <w:p>
      <w:pPr>
        <w:spacing w:after="180"/>
      </w:pPr>
      <w:r>
        <w:rPr>
          <w:rFonts w:ascii="Arial" w:cs="Arial" w:eastAsia="Arial" w:hAnsi="Arial"/>
          <w:color w:val="1F2937"/>
          <w:sz w:val="22"/>
          <w:szCs w:val="22"/>
        </w:rPr>
        <w:t xml:space="preserve">Companies with actual revenue declines saw an average stock drop of </w:t>
      </w:r>
      <w:r>
        <w:rPr>
          <w:rFonts w:ascii="Arial" w:cs="Arial" w:eastAsia="Arial" w:hAnsi="Arial"/>
          <w:b/>
          <w:bCs/>
          <w:color w:val="DC2626"/>
          <w:sz w:val="22"/>
          <w:szCs w:val="22"/>
        </w:rPr>
        <w:t xml:space="preserve">-77%</w:t>
      </w:r>
      <w:r>
        <w:rPr>
          <w:rFonts w:ascii="Arial" w:cs="Arial" w:eastAsia="Arial" w:hAnsi="Arial"/>
          <w:color w:val="1F2937"/>
          <w:sz w:val="22"/>
          <w:szCs w:val="22"/>
        </w:rPr>
        <w:t xml:space="preserve">. Companies that grew revenue still saw an average stock drop of </w:t>
      </w:r>
      <w:r>
        <w:rPr>
          <w:rFonts w:ascii="Arial" w:cs="Arial" w:eastAsia="Arial" w:hAnsi="Arial"/>
          <w:b/>
          <w:bCs/>
          <w:color w:val="DC2626"/>
          <w:sz w:val="22"/>
          <w:szCs w:val="22"/>
        </w:rPr>
        <w:t xml:space="preserve">-47%</w:t>
      </w:r>
      <w:r>
        <w:rPr>
          <w:rFonts w:ascii="Arial" w:cs="Arial" w:eastAsia="Arial" w:hAnsi="Arial"/>
          <w:color w:val="1F2937"/>
          <w:sz w:val="22"/>
          <w:szCs w:val="22"/>
        </w:rPr>
        <w:t xml:space="preserve">. So roughly half the stock price decline is fear — the market pricing in what AI might do — and the other half reflects real business deterioration.</w:t>
      </w:r>
    </w:p>
    <w:p>
      <w:pPr>
        <w:spacing w:after="180"/>
      </w:pPr>
      <w:r>
        <w:rPr>
          <w:rFonts w:ascii="Arial" w:cs="Arial" w:eastAsia="Arial" w:hAnsi="Arial"/>
          <w:color w:val="1F2937"/>
          <w:sz w:val="22"/>
          <w:szCs w:val="22"/>
        </w:rPr>
        <w:t xml:space="preserve">The correlation between stock decline and revenue change exists but is loose: LivePerson (−54% revenue, −98% stock) and Chegg (−53% revenue, −98% stock) are at the extreme, but Sprout Social (−90% stock, +77% revenue) shows the market can panic about a company whose revenue is still growing rapidly.</w:t>
      </w:r>
    </w:p>
    <w:p>
      <w:pPr>
        <w:pStyle w:val="Heading2"/>
      </w:pPr>
      <w:r>
        <w:t xml:space="preserve">4. Will Revenue Continue Dropping?</w:t>
      </w:r>
    </w:p>
    <w:p>
      <w:pPr>
        <w:spacing w:after="180"/>
      </w:pPr>
      <w:r>
        <w:rPr>
          <w:rFonts w:ascii="Arial" w:cs="Arial" w:eastAsia="Arial" w:hAnsi="Arial"/>
          <w:b/>
          <w:bCs/>
          <w:color w:val="1F2937"/>
          <w:sz w:val="22"/>
          <w:szCs w:val="22"/>
        </w:rPr>
        <w:t xml:space="preserve">For the real casualties — almost certainly yes. </w:t>
      </w:r>
      <w:r>
        <w:rPr>
          <w:rFonts w:ascii="Arial" w:cs="Arial" w:eastAsia="Arial" w:hAnsi="Arial"/>
          <w:color w:val="1F2937"/>
          <w:sz w:val="22"/>
          <w:szCs w:val="22"/>
        </w:rPr>
        <w:t xml:space="preserve">Chegg, LivePerson, and Forrester face structural replacement of their core value proposition by AI. There is no plausible recovery path to prior revenue levels.</w:t>
      </w:r>
    </w:p>
    <w:p>
      <w:pPr>
        <w:spacing w:after="180"/>
      </w:pPr>
      <w:r>
        <w:rPr>
          <w:rFonts w:ascii="Arial" w:cs="Arial" w:eastAsia="Arial" w:hAnsi="Arial"/>
          <w:b/>
          <w:bCs/>
          <w:color w:val="1F2937"/>
          <w:sz w:val="22"/>
          <w:szCs w:val="22"/>
        </w:rPr>
        <w:t xml:space="preserve">For the staffing firms — likely, but slowly. </w:t>
      </w:r>
      <w:r>
        <w:rPr>
          <w:rFonts w:ascii="Arial" w:cs="Arial" w:eastAsia="Arial" w:hAnsi="Arial"/>
          <w:color w:val="1F2937"/>
          <w:sz w:val="22"/>
          <w:szCs w:val="22"/>
        </w:rPr>
        <w:t xml:space="preserve">AI doesn’t instantly eliminate temp staffing. It reduces demand gradually as companies automate more tasks.</w:t>
      </w:r>
    </w:p>
    <w:p>
      <w:pPr>
        <w:spacing w:after="180"/>
      </w:pPr>
      <w:r>
        <w:rPr>
          <w:rFonts w:ascii="Arial" w:cs="Arial" w:eastAsia="Arial" w:hAnsi="Arial"/>
          <w:b/>
          <w:bCs/>
          <w:color w:val="1F2937"/>
          <w:sz w:val="22"/>
          <w:szCs w:val="22"/>
        </w:rPr>
        <w:t xml:space="preserve">For the “fear premium” companies — the critical question. </w:t>
      </w:r>
      <w:r>
        <w:rPr>
          <w:rFonts w:ascii="Arial" w:cs="Arial" w:eastAsia="Arial" w:hAnsi="Arial"/>
          <w:color w:val="1F2937"/>
          <w:sz w:val="22"/>
          <w:szCs w:val="22"/>
        </w:rPr>
        <w:t xml:space="preserve">If AI agents start replacing human customer service reps at scale (threatening Five9, Concentrix, TTEC), revenue for these companies could fall sharply. If AI coding tools substantially reduce demand for outsourced IT work (threatening EPAM, Globant, Endava), the fear will prove justified. Early signs are emerging: Globant’s revenue growth stalled to ~1% in 2025, and Meta told TaskUs it would use AI to automate content moderation.</w:t>
      </w:r>
    </w:p>
    <w:p>
      <w:pPr>
        <w:pStyle w:val="Heading2"/>
      </w:pPr>
      <w:r>
        <w:t xml:space="preserve">5. Key Caveats</w:t>
      </w:r>
    </w:p>
    <w:p>
      <w:pPr>
        <w:spacing w:after="180"/>
      </w:pPr>
      <w:r>
        <w:rPr>
          <w:rFonts w:ascii="Arial" w:cs="Arial" w:eastAsia="Arial" w:hAnsi="Arial"/>
          <w:b/>
          <w:bCs/>
          <w:color w:val="1F2937"/>
          <w:sz w:val="22"/>
          <w:szCs w:val="22"/>
        </w:rPr>
        <w:t xml:space="preserve">Some “revenue growth” is misleading. </w:t>
      </w:r>
      <w:r>
        <w:rPr>
          <w:rFonts w:ascii="Arial" w:cs="Arial" w:eastAsia="Arial" w:hAnsi="Arial"/>
          <w:color w:val="1F2937"/>
          <w:sz w:val="22"/>
          <w:szCs w:val="22"/>
        </w:rPr>
        <w:t xml:space="preserve">Concentrix’s 57% increase is mostly from acquiring Webhelp, not organic growth. Shutterstock’s 27% increase includes ~$100M in one-off AI data licensing deals (e.g., the $250M OpenAI contract). Strip those out and the underlying business is eroding.</w:t>
      </w:r>
    </w:p>
    <w:p>
      <w:pPr>
        <w:spacing w:after="180"/>
      </w:pPr>
      <w:r>
        <w:rPr>
          <w:rFonts w:ascii="Arial" w:cs="Arial" w:eastAsia="Arial" w:hAnsi="Arial"/>
          <w:b/>
          <w:bCs/>
          <w:color w:val="1F2937"/>
          <w:sz w:val="22"/>
          <w:szCs w:val="22"/>
        </w:rPr>
        <w:t xml:space="preserve">Growth deceleration matters as much as decline. </w:t>
      </w:r>
      <w:r>
        <w:rPr>
          <w:rFonts w:ascii="Arial" w:cs="Arial" w:eastAsia="Arial" w:hAnsi="Arial"/>
          <w:color w:val="1F2937"/>
          <w:sz w:val="22"/>
          <w:szCs w:val="22"/>
        </w:rPr>
        <w:t xml:space="preserve">Sprout Social’s revenue is still growing, but growth decelerated from 31% (2023) to 13% (2025) to a projected 8% (2026). The market often punishes decelerating growth as harshly as actual decline, because it signals the beginning of a structural shift.</w:t>
      </w:r>
    </w:p>
    <w:p>
      <w:pPr>
        <w:spacing w:after="180"/>
      </w:pPr>
      <w:r>
        <w:rPr>
          <w:rFonts w:ascii="Arial" w:cs="Arial" w:eastAsia="Arial" w:hAnsi="Arial"/>
          <w:b/>
          <w:bCs/>
          <w:color w:val="1F2937"/>
          <w:sz w:val="22"/>
          <w:szCs w:val="22"/>
        </w:rPr>
        <w:t xml:space="preserve">Not all of this is AI. </w:t>
      </w:r>
      <w:r>
        <w:rPr>
          <w:rFonts w:ascii="Arial" w:cs="Arial" w:eastAsia="Arial" w:hAnsi="Arial"/>
          <w:color w:val="1F2937"/>
          <w:sz w:val="22"/>
          <w:szCs w:val="22"/>
        </w:rPr>
        <w:t xml:space="preserve">Staffing declines correlate with cyclical hiring slowdowns. TripAdvisor was struggling before ChatGPT. Some BPO companies face macro headwinds. But AI provides the narrative that makes investors treat cyclical weakness as structural, permanently re-rating these stocks lower.</w:t>
      </w:r>
    </w:p>
    <w:p>
      <w:r>
        <w:br w:type="page"/>
      </w:r>
    </w:p>
    <w:p>
      <w:pPr>
        <w:pStyle w:val="Heading1"/>
      </w:pPr>
      <w:r>
        <w:t xml:space="preserve">Category Breakdown</w:t>
      </w:r>
    </w:p>
    <w:p>
      <w:pPr>
        <w:spacing w:after="180"/>
      </w:pPr>
      <w:r>
        <w:rPr>
          <w:rFonts w:ascii="Arial" w:cs="Arial" w:eastAsia="Arial" w:hAnsi="Arial"/>
          <w:color w:val="1F2937"/>
          <w:sz w:val="22"/>
          <w:szCs w:val="22"/>
        </w:rPr>
        <w:t xml:space="preserve">Average revenue and stock price change by industry category, sorted by revenue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200"/>
        <w:gridCol w:w="1200"/>
        <w:gridCol w:w="4560"/>
      </w:tblGrid>
      <w:tr>
        <w:tc>
          <w:tcPr>
            <w:tcW w:type="dxa" w:w="18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left"/>
            </w:pPr>
            <w:r>
              <w:rPr>
                <w:rFonts w:ascii="Arial" w:cs="Arial" w:eastAsia="Arial" w:hAnsi="Arial"/>
                <w:b/>
                <w:bCs/>
                <w:color w:val="FFFFFF"/>
                <w:sz w:val="18"/>
                <w:szCs w:val="18"/>
              </w:rPr>
              <w:t xml:space="preserve">Category</w:t>
            </w:r>
          </w:p>
        </w:tc>
        <w:tc>
          <w:tcPr>
            <w:tcW w:type="dxa" w:w="6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N</w:t>
            </w:r>
          </w:p>
        </w:tc>
        <w:tc>
          <w:tcPr>
            <w:tcW w:type="dxa" w:w="12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Avg Rev Δ%</w:t>
            </w:r>
          </w:p>
        </w:tc>
        <w:tc>
          <w:tcPr>
            <w:tcW w:type="dxa" w:w="120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right"/>
            </w:pPr>
            <w:r>
              <w:rPr>
                <w:rFonts w:ascii="Arial" w:cs="Arial" w:eastAsia="Arial" w:hAnsi="Arial"/>
                <w:b/>
                <w:bCs/>
                <w:color w:val="FFFFFF"/>
                <w:sz w:val="18"/>
                <w:szCs w:val="18"/>
              </w:rPr>
              <w:t xml:space="preserve">Avg Stock Δ%</w:t>
            </w:r>
          </w:p>
        </w:tc>
        <w:tc>
          <w:tcPr>
            <w:tcW w:type="dxa" w:w="4560"/>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tcPr>
          <w:p>
            <w:pPr>
              <w:jc w:val="left"/>
            </w:pPr>
            <w:r>
              <w:rPr>
                <w:rFonts w:ascii="Arial" w:cs="Arial" w:eastAsia="Arial" w:hAnsi="Arial"/>
                <w:b/>
                <w:bCs/>
                <w:color w:val="FFFFFF"/>
                <w:sz w:val="18"/>
                <w:szCs w:val="18"/>
              </w:rPr>
              <w:t xml:space="preserve">Tickers</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Conv. AI</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-53.6%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-98.3%</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LPSN</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Recruitment</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-49.3%</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-81.7%</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ZIP</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Research</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-26.1%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-82.6%</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FORR</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Multi-Utility</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-25.7%</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-45.7%</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TEP</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 Tech</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-22.2%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-67.6%</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PERI</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Staffing</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4</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-18.7%</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-64.5%</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TBI, MAN, RHI, KELYA</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Staffing</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-15.6%</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-57.7%</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ASGN</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Translation</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-7.9%</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-75.8%</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LON:RWS</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Education</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-76.2%</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CHGG, COUR</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Research/IP</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-2.0%</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-72.0%</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CLVT</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Healthcare Data</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-0.9%</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-89.3%</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DH</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Digital Media</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+6.4%</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-53.7%</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ZD</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Advertising</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+9.7%</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-30.1%</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LON:WPP, OMC</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Info Services</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+12.3%</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-33.2%</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AMS:WKL</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IT Services</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+14.1%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-75.5%</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DAVA, EPAM, GLOB</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Stock Media</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+15.8%</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-75.3%</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GETY, SSTK</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+16.2%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-9.8%</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G</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Tax Prep</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+19.5%</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-20.5%</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HRB</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Travel</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+20.5%</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-52.3%</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TRIP</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BPO/CX</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2</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+22.4%</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-81.8%</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TTEC, CNXC</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BPO/AI Data</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+28.7%</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-45.4%</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TASK</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Legal Tech</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+29.7%</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-29.8%</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LZ</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Freelance</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+30.8%</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-68.5%</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FVRR</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Creative SW</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+35.1%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-24.4%</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ADBE</w:t>
            </w:r>
          </w:p>
        </w:tc>
      </w:tr>
      <w:tr>
        <w:tc>
          <w:tcPr>
            <w:tcW w:type="dxa" w:w="18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SaaS</w:t>
            </w:r>
          </w:p>
        </w:tc>
        <w:tc>
          <w:tcPr>
            <w:tcW w:type="dxa" w:w="6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059669"/>
                <w:sz w:val="17"/>
                <w:szCs w:val="17"/>
              </w:rPr>
              <w:t xml:space="preserve">+42.2%</w:t>
            </w:r>
          </w:p>
        </w:tc>
        <w:tc>
          <w:tcPr>
            <w:tcW w:type="dxa" w:w="120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right"/>
            </w:pPr>
            <w:r>
              <w:rPr>
                <w:rFonts w:ascii="Arial" w:cs="Arial" w:eastAsia="Arial" w:hAnsi="Arial"/>
                <w:b/>
                <w:bCs/>
                <w:color w:val="DC2626"/>
                <w:sz w:val="17"/>
                <w:szCs w:val="17"/>
              </w:rPr>
              <w:t xml:space="preserve">-73.9%</w:t>
            </w:r>
          </w:p>
        </w:tc>
        <w:tc>
          <w:tcPr>
            <w:tcW w:type="dxa" w:w="456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EXFY, SPT, FRSH</w:t>
            </w:r>
          </w:p>
        </w:tc>
      </w:tr>
      <w:tr>
        <w:tc>
          <w:tcPr>
            <w:tcW w:type="dxa" w:w="1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1F2937"/>
                <w:sz w:val="17"/>
                <w:szCs w:val="17"/>
              </w:rPr>
              <w:t xml:space="preserve">CCaaS</w:t>
            </w:r>
          </w:p>
        </w:tc>
        <w:tc>
          <w:tcPr>
            <w:tcW w:type="dxa" w:w="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val="false"/>
                <w:bCs w:val="false"/>
                <w:color w:val="1F2937"/>
                <w:sz w:val="17"/>
                <w:szCs w:val="17"/>
              </w:rPr>
              <w:t xml:space="preserve">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059669"/>
                <w:sz w:val="17"/>
                <w:szCs w:val="17"/>
              </w:rPr>
              <w:t xml:space="preserve">+44.1%</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right"/>
            </w:pPr>
            <w:r>
              <w:rPr>
                <w:rFonts w:ascii="Arial" w:cs="Arial" w:eastAsia="Arial" w:hAnsi="Arial"/>
                <w:b/>
                <w:bCs/>
                <w:color w:val="DC2626"/>
                <w:sz w:val="17"/>
                <w:szCs w:val="17"/>
              </w:rPr>
              <w:t xml:space="preserve">-73.8%</w:t>
            </w:r>
          </w:p>
        </w:tc>
        <w:tc>
          <w:tcPr>
            <w:tcW w:type="dxa" w:w="456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jc w:val="left"/>
            </w:pPr>
            <w:r>
              <w:rPr>
                <w:rFonts w:ascii="Arial" w:cs="Arial" w:eastAsia="Arial" w:hAnsi="Arial"/>
                <w:b w:val="false"/>
                <w:bCs w:val="false"/>
                <w:color w:val="6B7280"/>
                <w:sz w:val="17"/>
                <w:szCs w:val="17"/>
              </w:rPr>
              <w:t xml:space="preserve">FIVN</w:t>
            </w:r>
          </w:p>
        </w:tc>
      </w:tr>
    </w:tbl>
    <w:p>
      <w:pPr>
        <w:spacing w:before="400"/>
      </w:pPr>
    </w:p>
    <w:p>
      <w:pPr>
        <w:pBdr>
          <w:top w:val="single" w:color="D1D5DB" w:sz="4" w:space="8"/>
        </w:pBdr>
        <w:spacing w:before="200"/>
      </w:pPr>
      <w:r>
        <w:rPr>
          <w:rFonts w:ascii="Arial" w:cs="Arial" w:eastAsia="Arial" w:hAnsi="Arial"/>
          <w:b/>
          <w:bCs/>
          <w:color w:val="6B7280"/>
          <w:sz w:val="20"/>
          <w:szCs w:val="20"/>
        </w:rPr>
        <w:t xml:space="preserve">Methodology &amp; Data Sources</w:t>
      </w:r>
    </w:p>
    <w:p>
      <w:pPr>
        <w:spacing w:after="80"/>
      </w:pPr>
      <w:r>
        <w:rPr>
          <w:rFonts w:ascii="Arial" w:cs="Arial" w:eastAsia="Arial" w:hAnsi="Arial"/>
          <w:color w:val="6B7280"/>
          <w:sz w:val="18"/>
          <w:szCs w:val="18"/>
        </w:rPr>
        <w:t xml:space="preserve">Revenue data from SEC EDGAR XBRL API (US quarterly) and Yahoo Finance (non-US annual). Stock prices from Yahoo Finance. Revenue comparison is pre-ChatGPT quarter (typically Q3 2022, ending Sep 30, 2022) vs. most recently reported quarter. Stock prices are Nov 29, 2022 close vs. March 2026. Report generated March 16,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i/>
        <w:iCs/>
        <w:color w:val="6B7280"/>
        <w:sz w:val="18"/>
        <w:szCs w:val="18"/>
      </w:rPr>
      <w:t xml:space="preserve">AI Disruption: Stock Prices vs. Revenue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2026-03-16T13:59:06.125Z</dcterms:created>
  <dcterms:modified xsi:type="dcterms:W3CDTF">2026-03-16T13:59:06.126Z</dcterms:modified>
</cp:coreProperties>
</file>

<file path=docProps/custom.xml><?xml version="1.0" encoding="utf-8"?>
<Properties xmlns="http://schemas.openxmlformats.org/officeDocument/2006/custom-properties" xmlns:vt="http://schemas.openxmlformats.org/officeDocument/2006/docPropsVTypes"/>
</file>