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C54" w:rsidRDefault="003E3D7D">
      <w:pPr>
        <w:spacing w:after="60"/>
        <w:jc w:val="center"/>
      </w:pPr>
      <w:r>
        <w:rPr>
          <w:b/>
          <w:bCs/>
          <w:color w:val="1A1A2E"/>
          <w:sz w:val="30"/>
          <w:szCs w:val="30"/>
        </w:rPr>
        <w:t>Assignment 1 — Theory Paper</w:t>
      </w:r>
    </w:p>
    <w:p w:rsidR="00BB7C54" w:rsidRDefault="003E3D7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Serialization, Web Services, Concurrency &amp; HTTP Mechanics</w:t>
      </w:r>
    </w:p>
    <w:p w:rsidR="00BB7C54" w:rsidRDefault="003E3D7D">
      <w:pPr>
        <w:pStyle w:val="Heading2"/>
      </w:pPr>
      <w:r>
        <w:rPr>
          <w:color w:val="1A1A2E"/>
        </w:rPr>
        <w:t>A. Serialization Choices</w:t>
      </w:r>
    </w:p>
    <w:p w:rsidR="00BB7C54" w:rsidRDefault="003E3D7D">
      <w:pPr>
        <w:spacing w:after="100"/>
        <w:jc w:val="both"/>
      </w:pPr>
      <w:r>
        <w:rPr>
          <w:b/>
          <w:bCs/>
        </w:rPr>
        <w:t>YAML</w:t>
      </w:r>
      <w:r>
        <w:t xml:space="preserve"> is used for configuration files because human-readability is paramount: operators must inspect and modify settings without special tooling. YAML’s indented structure and comment support make intent obvious at a glance, while its schema-validation ecosyste</w:t>
      </w:r>
      <w:r>
        <w:t xml:space="preserve">m (e.g., </w:t>
      </w:r>
      <w:proofErr w:type="spellStart"/>
      <w:r>
        <w:t>yamale</w:t>
      </w:r>
      <w:proofErr w:type="spellEnd"/>
      <w:r>
        <w:t>) catches misconfiguration at startup. Verbosity is acceptable here because configuration is read rarely and never on a hot path.</w:t>
      </w:r>
    </w:p>
    <w:p w:rsidR="00BB7C54" w:rsidRDefault="003E3D7D">
      <w:pPr>
        <w:spacing w:after="100"/>
        <w:jc w:val="both"/>
      </w:pPr>
      <w:proofErr w:type="spellStart"/>
      <w:r>
        <w:rPr>
          <w:b/>
          <w:bCs/>
        </w:rPr>
        <w:t>Protobuf</w:t>
      </w:r>
      <w:proofErr w:type="spellEnd"/>
      <w:r>
        <w:t xml:space="preserve"> governs the sensor-to-server link, where performance and schema enforcement are critical. Binary encod</w:t>
      </w:r>
      <w:r>
        <w:t xml:space="preserve">ing reduces payload size by 3–10× compared to text formats and eliminates parsing overhead, directly cutting latency and bandwidth on a high-frequency data stream. Strong schema support via </w:t>
      </w:r>
      <w:r>
        <w:rPr>
          <w:i/>
          <w:iCs/>
        </w:rPr>
        <w:t>.proto</w:t>
      </w:r>
      <w:r>
        <w:t xml:space="preserve"> files ensures both ends remain in sync; mismatched field ty</w:t>
      </w:r>
      <w:r>
        <w:t>pes are caught at compile time. Human-readability is deliberately sacrificed—this wire format is machine-to-machine only.</w:t>
      </w:r>
    </w:p>
    <w:p w:rsidR="00BB7C54" w:rsidRDefault="003E3D7D">
      <w:pPr>
        <w:spacing w:after="120"/>
        <w:jc w:val="both"/>
      </w:pPr>
      <w:r>
        <w:rPr>
          <w:b/>
          <w:bCs/>
        </w:rPr>
        <w:t>JSON and XML</w:t>
      </w:r>
      <w:r>
        <w:t xml:space="preserve"> serve the public REST API because interoperability outweighs performance. External clients expect text-based, self-descri</w:t>
      </w:r>
      <w:r>
        <w:t>bing formats. JSON is the default for its low verbosity and near-universal library support; XML is offered for enterprise consumers requiring namespace or XSD schema validation. Neither imposes tight constraints by default, which suits a public API that mu</w:t>
      </w:r>
      <w:r>
        <w:t>st evolve without breaking older clients.</w:t>
      </w:r>
    </w:p>
    <w:p w:rsidR="00BB7C54" w:rsidRDefault="003E3D7D">
      <w:pPr>
        <w:pStyle w:val="Heading2"/>
      </w:pPr>
      <w:r>
        <w:rPr>
          <w:color w:val="1A1A2E"/>
        </w:rPr>
        <w:t>B. Web Services Protocol</w:t>
      </w:r>
    </w:p>
    <w:p w:rsidR="00BB7C54" w:rsidRDefault="003E3D7D">
      <w:pPr>
        <w:spacing w:after="100"/>
        <w:jc w:val="both"/>
      </w:pPr>
      <w:r>
        <w:rPr>
          <w:b/>
          <w:bCs/>
        </w:rPr>
        <w:t>REST</w:t>
      </w:r>
      <w:r>
        <w:t xml:space="preserve"> is the natural fit for the historical-data API. Resources—sensor readings, device records, time-series windows—map cleanly onto URLs, and HTTP verbs (GET, POST, DELETE) express the int</w:t>
      </w:r>
      <w:r>
        <w:t xml:space="preserve">ended operation without additional envelope overhead. Statelessness is a first-class property: each request carries all necessary context, enabling horizontal scaling behind a load balancer without sticky sessions. Caching via </w:t>
      </w:r>
      <w:r>
        <w:rPr>
          <w:i/>
          <w:iCs/>
        </w:rPr>
        <w:t>Cache-Control</w:t>
      </w:r>
      <w:r>
        <w:t xml:space="preserve"> headers further</w:t>
      </w:r>
      <w:r>
        <w:t xml:space="preserve"> reduces server load for read-heavy historical queries.</w:t>
      </w:r>
    </w:p>
    <w:p w:rsidR="00BB7C54" w:rsidRDefault="003E3D7D">
      <w:pPr>
        <w:spacing w:after="120"/>
        <w:jc w:val="both"/>
      </w:pPr>
      <w:r>
        <w:rPr>
          <w:b/>
          <w:bCs/>
        </w:rPr>
        <w:t>SOAP</w:t>
      </w:r>
      <w:r>
        <w:t xml:space="preserve"> wraps every call in an XML envelope and relies on WSDL contracts, introducing verbosity and tight coupling unsuited to a lightweight data API; its session model conflicts with horizontal scaling.</w:t>
      </w:r>
      <w:r>
        <w:t xml:space="preserve"> </w:t>
      </w:r>
      <w:r>
        <w:rPr>
          <w:b/>
          <w:bCs/>
        </w:rPr>
        <w:t>RPC-style interfaces</w:t>
      </w:r>
      <w:r w:rsidR="006C7A59">
        <w:t xml:space="preserve"> </w:t>
      </w:r>
      <w:r>
        <w:t>are action-oriented</w:t>
      </w:r>
      <w:r w:rsidR="006C7A59">
        <w:t xml:space="preserve"> rather than resource-oriented, </w:t>
      </w:r>
      <w:bookmarkStart w:id="0" w:name="_GoBack"/>
      <w:bookmarkEnd w:id="0"/>
      <w:r>
        <w:t xml:space="preserve">they excel at internal </w:t>
      </w:r>
      <w:proofErr w:type="spellStart"/>
      <w:r>
        <w:t>microservice</w:t>
      </w:r>
      <w:proofErr w:type="spellEnd"/>
      <w:r>
        <w:t xml:space="preserve"> calls but offer no native concept of resource identity or HTTP caching semantics. For a public, cacheable, resource-centric read A</w:t>
      </w:r>
      <w:r>
        <w:t>PI, REST’s statelessness and uniform interface provide the best trade-off.</w:t>
      </w:r>
    </w:p>
    <w:p w:rsidR="00BB7C54" w:rsidRDefault="003E3D7D">
      <w:pPr>
        <w:pStyle w:val="Heading2"/>
      </w:pPr>
      <w:r>
        <w:rPr>
          <w:color w:val="1A1A2E"/>
        </w:rPr>
        <w:t xml:space="preserve">C. </w:t>
      </w:r>
      <w:proofErr w:type="spellStart"/>
      <w:r>
        <w:rPr>
          <w:color w:val="1A1A2E"/>
        </w:rPr>
        <w:t>AsyncIO</w:t>
      </w:r>
      <w:proofErr w:type="spellEnd"/>
      <w:r>
        <w:rPr>
          <w:color w:val="1A1A2E"/>
        </w:rPr>
        <w:t xml:space="preserve"> vs </w:t>
      </w:r>
      <w:proofErr w:type="gramStart"/>
      <w:r>
        <w:rPr>
          <w:color w:val="1A1A2E"/>
        </w:rPr>
        <w:t>Threading</w:t>
      </w:r>
      <w:proofErr w:type="gramEnd"/>
    </w:p>
    <w:p w:rsidR="00BB7C54" w:rsidRDefault="003E3D7D">
      <w:pPr>
        <w:spacing w:after="100"/>
        <w:jc w:val="both"/>
      </w:pPr>
      <w:r>
        <w:rPr>
          <w:b/>
          <w:bCs/>
        </w:rPr>
        <w:t>The sensor pipeline is I/O-bound</w:t>
      </w:r>
      <w:r>
        <w:t>: threads spend the vast majority of their time waiting for network reads, database writes, and message-broker acknowledgemen</w:t>
      </w:r>
      <w:r>
        <w:t xml:space="preserve">ts rather than burning CPU. Python’s </w:t>
      </w:r>
      <w:proofErr w:type="spellStart"/>
      <w:r>
        <w:rPr>
          <w:i/>
          <w:iCs/>
        </w:rPr>
        <w:t>asyncio</w:t>
      </w:r>
      <w:proofErr w:type="spellEnd"/>
      <w:r>
        <w:t xml:space="preserve"> event loop is preferable to threads here. </w:t>
      </w:r>
      <w:proofErr w:type="spellStart"/>
      <w:r>
        <w:t>Coroutines</w:t>
      </w:r>
      <w:proofErr w:type="spellEnd"/>
      <w:r>
        <w:t xml:space="preserve"> are cooperatively scheduled; an </w:t>
      </w:r>
      <w:r>
        <w:rPr>
          <w:i/>
          <w:iCs/>
        </w:rPr>
        <w:t>await</w:t>
      </w:r>
      <w:r>
        <w:t xml:space="preserve"> point releases control voluntarily, so thousands of concurrent connections share a single OS thread without the memory o</w:t>
      </w:r>
      <w:r>
        <w:t xml:space="preserve">verhead of per-thread stacks (typically 8 MB each). Context switching between </w:t>
      </w:r>
      <w:proofErr w:type="spellStart"/>
      <w:r>
        <w:t>coroutines</w:t>
      </w:r>
      <w:proofErr w:type="spellEnd"/>
      <w:r>
        <w:t xml:space="preserve"> is pure Python and orders of magnitude cheaper than kernel-level thread scheduling.</w:t>
      </w:r>
    </w:p>
    <w:p w:rsidR="00BB7C54" w:rsidRDefault="003E3D7D">
      <w:pPr>
        <w:spacing w:after="120"/>
        <w:jc w:val="both"/>
      </w:pPr>
      <w:r>
        <w:rPr>
          <w:b/>
          <w:bCs/>
        </w:rPr>
        <w:t>The Global Interpreter Lock (GIL)</w:t>
      </w:r>
      <w:r>
        <w:t xml:space="preserve"> further </w:t>
      </w:r>
      <w:proofErr w:type="spellStart"/>
      <w:r>
        <w:t>penalises</w:t>
      </w:r>
      <w:proofErr w:type="spellEnd"/>
      <w:r>
        <w:t xml:space="preserve"> threads for concurrent I/O: onl</w:t>
      </w:r>
      <w:r>
        <w:t>y one thread runs Python bytecode at a time, so thread-per-connection designs thrash on lock acquisition without parallelism gains. The event loop avoids GIL contention entirely. Threads remain appropriate when integrating blocking C extensions that releas</w:t>
      </w:r>
      <w:r>
        <w:t xml:space="preserve">e the GIL (e.g., </w:t>
      </w:r>
      <w:proofErr w:type="spellStart"/>
      <w:r>
        <w:t>NumPy</w:t>
      </w:r>
      <w:proofErr w:type="spellEnd"/>
      <w:r>
        <w:t>); multiprocessing is appropriate for CPU-bound workloads such as signal processing or ML inference, where true parallelism across cores is required.</w:t>
      </w:r>
    </w:p>
    <w:p w:rsidR="00BB7C54" w:rsidRDefault="003E3D7D">
      <w:pPr>
        <w:pStyle w:val="Heading2"/>
      </w:pPr>
      <w:r>
        <w:rPr>
          <w:color w:val="1A1A2E"/>
        </w:rPr>
        <w:t>D. HTTP Mechanics</w:t>
      </w:r>
    </w:p>
    <w:p w:rsidR="00BB7C54" w:rsidRDefault="003E3D7D">
      <w:pPr>
        <w:spacing w:after="100"/>
        <w:jc w:val="both"/>
      </w:pPr>
      <w:r>
        <w:rPr>
          <w:b/>
          <w:bCs/>
        </w:rPr>
        <w:t>Persistent connections</w:t>
      </w:r>
      <w:r>
        <w:t xml:space="preserve"> (HTTP/1.1 Keep-Alive, HTTP/2 multiplexing) </w:t>
      </w:r>
      <w:r>
        <w:t xml:space="preserve">eliminate the TCP three-way handshake and TLS negotiation overhead on every request. For the historical-data API, which expects </w:t>
      </w:r>
      <w:proofErr w:type="spellStart"/>
      <w:r>
        <w:t>bursty</w:t>
      </w:r>
      <w:proofErr w:type="spellEnd"/>
      <w:r>
        <w:t xml:space="preserve"> query patterns from dashboards and batch exports, connection reuse dramatically reduces latency on sequential requests. H</w:t>
      </w:r>
      <w:r>
        <w:t xml:space="preserve">TTP/2 multiplexing goes further: multiple logical streams share one TCP connection, preventing head-of-line blocking and making parallel sub-queries from a single client effectively free from a connection-management perspective. The design therefore </w:t>
      </w:r>
      <w:r>
        <w:lastRenderedPageBreak/>
        <w:t>config</w:t>
      </w:r>
      <w:r>
        <w:t>ures the ASGI server with HTTP/2 enabled and keeps the connection pool warm on the client side.</w:t>
      </w:r>
    </w:p>
    <w:p w:rsidR="00BB7C54" w:rsidRDefault="003E3D7D" w:rsidP="006C7A59">
      <w:pPr>
        <w:spacing w:after="200"/>
        <w:jc w:val="both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upgrade handshake</w:t>
      </w:r>
      <w:r>
        <w:t xml:space="preserve"> is relevant to the live sensor feed endpoint. A client begins with a standard HTTP/1.1 GET containing </w:t>
      </w:r>
      <w:r>
        <w:rPr>
          <w:i/>
          <w:iCs/>
        </w:rPr>
        <w:t xml:space="preserve">Upgrade: </w:t>
      </w:r>
      <w:proofErr w:type="spellStart"/>
      <w:r>
        <w:rPr>
          <w:i/>
          <w:iCs/>
        </w:rPr>
        <w:t>websocket</w:t>
      </w:r>
      <w:proofErr w:type="spellEnd"/>
      <w:r>
        <w:t xml:space="preserve"> and a </w:t>
      </w:r>
      <w:r>
        <w:rPr>
          <w:i/>
          <w:iCs/>
        </w:rPr>
        <w:t>S</w:t>
      </w:r>
      <w:r>
        <w:rPr>
          <w:i/>
          <w:iCs/>
        </w:rPr>
        <w:t>ec-</w:t>
      </w:r>
      <w:proofErr w:type="spellStart"/>
      <w:r>
        <w:rPr>
          <w:i/>
          <w:iCs/>
        </w:rPr>
        <w:t>WebSocket</w:t>
      </w:r>
      <w:proofErr w:type="spellEnd"/>
      <w:r>
        <w:rPr>
          <w:i/>
          <w:iCs/>
        </w:rPr>
        <w:t>-Key</w:t>
      </w:r>
      <w:r>
        <w:t xml:space="preserve">; the server responds with </w:t>
      </w:r>
      <w:r>
        <w:rPr>
          <w:i/>
          <w:iCs/>
        </w:rPr>
        <w:t>101 Switching Protocols</w:t>
      </w:r>
      <w:r>
        <w:t>, and the connection transitions to a full-duplex framed channel. This eliminates polling: instead of clients repeatedly querying the REST endpoint, the server pushes each sensor event as it</w:t>
      </w:r>
      <w:r>
        <w:t xml:space="preserve"> arrives. The upgrade path reuses port 443 and traverses proxies transparently, avoiding firewall issues that would aris</w:t>
      </w:r>
      <w:r w:rsidR="006C7A59">
        <w:t>e with raw TCP or UDP streaming</w:t>
      </w:r>
    </w:p>
    <w:sectPr w:rsidR="00BB7C5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34FA3"/>
    <w:multiLevelType w:val="hybridMultilevel"/>
    <w:tmpl w:val="C0E830A4"/>
    <w:lvl w:ilvl="0" w:tplc="8E3ACF3C">
      <w:start w:val="1"/>
      <w:numFmt w:val="bullet"/>
      <w:lvlText w:val="●"/>
      <w:lvlJc w:val="left"/>
      <w:pPr>
        <w:ind w:left="720" w:hanging="360"/>
      </w:pPr>
    </w:lvl>
    <w:lvl w:ilvl="1" w:tplc="D3DC5FA2">
      <w:start w:val="1"/>
      <w:numFmt w:val="bullet"/>
      <w:lvlText w:val="○"/>
      <w:lvlJc w:val="left"/>
      <w:pPr>
        <w:ind w:left="1440" w:hanging="360"/>
      </w:pPr>
    </w:lvl>
    <w:lvl w:ilvl="2" w:tplc="592C82BC">
      <w:start w:val="1"/>
      <w:numFmt w:val="bullet"/>
      <w:lvlText w:val="■"/>
      <w:lvlJc w:val="left"/>
      <w:pPr>
        <w:ind w:left="2160" w:hanging="360"/>
      </w:pPr>
    </w:lvl>
    <w:lvl w:ilvl="3" w:tplc="0D248B1A">
      <w:start w:val="1"/>
      <w:numFmt w:val="bullet"/>
      <w:lvlText w:val="●"/>
      <w:lvlJc w:val="left"/>
      <w:pPr>
        <w:ind w:left="2880" w:hanging="360"/>
      </w:pPr>
    </w:lvl>
    <w:lvl w:ilvl="4" w:tplc="F3D4BD6A">
      <w:start w:val="1"/>
      <w:numFmt w:val="bullet"/>
      <w:lvlText w:val="○"/>
      <w:lvlJc w:val="left"/>
      <w:pPr>
        <w:ind w:left="3600" w:hanging="360"/>
      </w:pPr>
    </w:lvl>
    <w:lvl w:ilvl="5" w:tplc="37BA4DE2">
      <w:start w:val="1"/>
      <w:numFmt w:val="bullet"/>
      <w:lvlText w:val="■"/>
      <w:lvlJc w:val="left"/>
      <w:pPr>
        <w:ind w:left="4320" w:hanging="360"/>
      </w:pPr>
    </w:lvl>
    <w:lvl w:ilvl="6" w:tplc="5338E6FE">
      <w:start w:val="1"/>
      <w:numFmt w:val="bullet"/>
      <w:lvlText w:val="●"/>
      <w:lvlJc w:val="left"/>
      <w:pPr>
        <w:ind w:left="5040" w:hanging="360"/>
      </w:pPr>
    </w:lvl>
    <w:lvl w:ilvl="7" w:tplc="2C74D734">
      <w:start w:val="1"/>
      <w:numFmt w:val="bullet"/>
      <w:lvlText w:val="●"/>
      <w:lvlJc w:val="left"/>
      <w:pPr>
        <w:ind w:left="5760" w:hanging="360"/>
      </w:pPr>
    </w:lvl>
    <w:lvl w:ilvl="8" w:tplc="A12220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54"/>
    <w:rsid w:val="003E3D7D"/>
    <w:rsid w:val="006C7A59"/>
    <w:rsid w:val="008C0DF5"/>
    <w:rsid w:val="00BB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0401"/>
  <w15:docId w15:val="{27B06A3A-7632-43F2-93A8-48A5B4D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2" w:color="1A1A2E"/>
      </w:pBdr>
      <w:spacing w:before="200" w:after="80"/>
      <w:outlineLvl w:val="0"/>
    </w:pPr>
    <w:rPr>
      <w:b/>
      <w:bCs/>
      <w:color w:val="1A1A2E"/>
      <w:sz w:val="24"/>
      <w:szCs w:val="24"/>
    </w:rPr>
  </w:style>
  <w:style w:type="paragraph" w:styleId="Heading2">
    <w:name w:val="heading 2"/>
    <w:qFormat/>
    <w:pPr>
      <w:spacing w:before="160" w:after="60"/>
      <w:outlineLvl w:val="1"/>
    </w:pPr>
    <w:rPr>
      <w:b/>
      <w:bCs/>
      <w:color w:val="2C3E7A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SYM</cp:lastModifiedBy>
  <cp:revision>2</cp:revision>
  <dcterms:created xsi:type="dcterms:W3CDTF">2026-05-07T08:46:00Z</dcterms:created>
  <dcterms:modified xsi:type="dcterms:W3CDTF">2026-05-07T08:46:00Z</dcterms:modified>
</cp:coreProperties>
</file>