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7E744325" w14:textId="77777777" w:rsidR="000144D3" w:rsidRDefault="000144D3" w:rsidP="000144D3">
      <w:pPr>
        <w:pStyle w:val="Standard"/>
        <w:spacing w:line="360" w:lineRule="auto"/>
        <w:jc w:val="both"/>
      </w:pPr>
      <w:r>
        <w:rPr>
          <w:noProof/>
          <w:lang w:eastAsia="en-US" w:bidi="ar-SA"/>
        </w:rPr>
        <w:drawing>
          <wp:inline distT="0" distB="0" distL="0" distR="0" wp14:anchorId="43814886" wp14:editId="51C81984">
            <wp:extent cx="2572938" cy="2467416"/>
            <wp:effectExtent l="0" t="0" r="0" b="9084"/>
            <wp:docPr id="1810455469" name="Picture 1" descr="C:\Users\user\AppData\Local\Temp\ksohtml8728\wps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4">
                      <a:lum/>
                      <a:alphaModFix/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572938" cy="2467416"/>
                    </a:xfrm>
                    <a:prstGeom prst="rect">
                      <a:avLst/>
                    </a:prstGeom>
                    <a:noFill/>
                    <a:ln>
                      <a:noFill/>
                      <a:prstDash/>
                    </a:ln>
                  </pic:spPr>
                </pic:pic>
              </a:graphicData>
            </a:graphic>
          </wp:inline>
        </w:drawing>
      </w:r>
      <w:r>
        <w:t xml:space="preserve">                              </w:t>
      </w:r>
      <w:r>
        <w:rPr>
          <w:noProof/>
          <w:lang w:eastAsia="en-US" w:bidi="ar-SA"/>
        </w:rPr>
        <w:drawing>
          <wp:inline distT="0" distB="0" distL="0" distR="0" wp14:anchorId="0487B8D2" wp14:editId="65C9F7ED">
            <wp:extent cx="2165390" cy="2510302"/>
            <wp:effectExtent l="0" t="0" r="6310" b="4298"/>
            <wp:docPr id="43481584" name="Picture 2" descr="C:\Users\user\AppData\Local\Temp\ksohtml8728\wps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5">
                      <a:lum/>
                      <a:alphaModFix/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165390" cy="2510302"/>
                    </a:xfrm>
                    <a:prstGeom prst="rect">
                      <a:avLst/>
                    </a:prstGeom>
                    <a:noFill/>
                    <a:ln>
                      <a:noFill/>
                      <a:prstDash/>
                    </a:ln>
                  </pic:spPr>
                </pic:pic>
              </a:graphicData>
            </a:graphic>
          </wp:inline>
        </w:drawing>
      </w:r>
    </w:p>
    <w:p w14:paraId="4D40E08C" w14:textId="77777777" w:rsidR="000144D3" w:rsidRDefault="000144D3" w:rsidP="000144D3">
      <w:pPr>
        <w:pStyle w:val="Standard"/>
        <w:spacing w:line="360" w:lineRule="auto"/>
        <w:jc w:val="both"/>
      </w:pPr>
      <w:r>
        <w:rPr>
          <w:rFonts w:eastAsia="Calibri" w:cs="Times New Roman"/>
          <w:b/>
        </w:rPr>
        <w:t xml:space="preserve">                            SCHOOL OF MATHEMATICS AND APPLIED SCIENCES</w:t>
      </w:r>
    </w:p>
    <w:p w14:paraId="4CF3294F" w14:textId="77777777" w:rsidR="000144D3" w:rsidRDefault="000144D3" w:rsidP="000144D3">
      <w:pPr>
        <w:pStyle w:val="Standard"/>
        <w:spacing w:line="360" w:lineRule="auto"/>
        <w:jc w:val="both"/>
      </w:pPr>
      <w:r>
        <w:rPr>
          <w:rFonts w:eastAsia="Calibri" w:cs="Times New Roman"/>
          <w:b/>
        </w:rPr>
        <w:tab/>
      </w:r>
      <w:r>
        <w:rPr>
          <w:rFonts w:eastAsia="Calibri" w:cs="Times New Roman"/>
          <w:b/>
        </w:rPr>
        <w:tab/>
        <w:t xml:space="preserve">                   D</w:t>
      </w:r>
      <w:r>
        <w:rPr>
          <w:rFonts w:eastAsia="Calibri" w:cs="Times New Roman"/>
          <w:b/>
          <w:bCs/>
        </w:rPr>
        <w:t>EPARTMENT OF COMPUTING</w:t>
      </w:r>
    </w:p>
    <w:p w14:paraId="27849C5C" w14:textId="77777777" w:rsidR="000144D3" w:rsidRDefault="000144D3" w:rsidP="000144D3">
      <w:pPr>
        <w:pStyle w:val="Standard"/>
        <w:spacing w:line="360" w:lineRule="auto"/>
        <w:jc w:val="both"/>
        <w:rPr>
          <w:rFonts w:eastAsia="Calibri" w:cs="Times New Roman"/>
        </w:rPr>
      </w:pPr>
    </w:p>
    <w:p w14:paraId="256F350A" w14:textId="77777777" w:rsidR="000144D3" w:rsidRDefault="000144D3" w:rsidP="000144D3">
      <w:pPr>
        <w:pStyle w:val="Standard"/>
        <w:spacing w:line="360" w:lineRule="auto"/>
        <w:jc w:val="both"/>
      </w:pPr>
      <w:r>
        <w:rPr>
          <w:rFonts w:eastAsia="Calibri" w:cs="Times New Roman"/>
        </w:rPr>
        <w:t xml:space="preserve"> TO                                    :  MR. S. YUTE</w:t>
      </w:r>
    </w:p>
    <w:p w14:paraId="36527C47" w14:textId="73BA8FBD" w:rsidR="000144D3" w:rsidRDefault="000144D3" w:rsidP="000144D3">
      <w:pPr>
        <w:pStyle w:val="Standard"/>
        <w:spacing w:before="240" w:after="200" w:line="360" w:lineRule="auto"/>
        <w:jc w:val="both"/>
      </w:pPr>
      <w:r>
        <w:rPr>
          <w:rFonts w:eastAsia="Calibri" w:cs="Times New Roman"/>
        </w:rPr>
        <w:t xml:space="preserve"> FROM                              </w:t>
      </w:r>
      <w:r w:rsidR="00FD04E4">
        <w:rPr>
          <w:rFonts w:eastAsia="Calibri" w:cs="Times New Roman"/>
        </w:rPr>
        <w:t>: SIMON MHONE &amp; TIYAMIKE NGOMA</w:t>
      </w:r>
    </w:p>
    <w:p w14:paraId="157679C0" w14:textId="4A975407" w:rsidR="000144D3" w:rsidRDefault="000144D3" w:rsidP="000144D3">
      <w:pPr>
        <w:pStyle w:val="Standard"/>
        <w:spacing w:before="240" w:after="200" w:line="360" w:lineRule="auto"/>
        <w:jc w:val="both"/>
      </w:pPr>
      <w:r>
        <w:rPr>
          <w:rFonts w:eastAsia="Calibri" w:cs="Times New Roman"/>
        </w:rPr>
        <w:t xml:space="preserve"> REGISTRATION NO      </w:t>
      </w:r>
      <w:r w:rsidR="00FD04E4">
        <w:rPr>
          <w:rFonts w:eastAsia="Calibri" w:cs="Times New Roman"/>
        </w:rPr>
        <w:t xml:space="preserve">:  BSC/29/23 </w:t>
      </w:r>
      <w:proofErr w:type="gramStart"/>
      <w:r w:rsidR="00FD04E4">
        <w:rPr>
          <w:rFonts w:eastAsia="Calibri" w:cs="Times New Roman"/>
        </w:rPr>
        <w:t>&amp;  BSC</w:t>
      </w:r>
      <w:proofErr w:type="gramEnd"/>
      <w:r w:rsidR="00FD04E4">
        <w:rPr>
          <w:rFonts w:eastAsia="Calibri" w:cs="Times New Roman"/>
        </w:rPr>
        <w:t>/COM/NE/24/23</w:t>
      </w:r>
    </w:p>
    <w:p w14:paraId="7D2978F0" w14:textId="77777777" w:rsidR="000144D3" w:rsidRDefault="000144D3" w:rsidP="000144D3">
      <w:pPr>
        <w:pStyle w:val="Standard"/>
        <w:spacing w:before="240" w:after="200" w:line="360" w:lineRule="auto"/>
        <w:jc w:val="both"/>
      </w:pPr>
      <w:r>
        <w:rPr>
          <w:rFonts w:eastAsia="Calibri" w:cs="Times New Roman"/>
        </w:rPr>
        <w:t>COURSE NAME              : NETWORK PROGAMMING AND APPLICATION TO</w:t>
      </w:r>
    </w:p>
    <w:p w14:paraId="3B118640" w14:textId="77777777" w:rsidR="000144D3" w:rsidRDefault="000144D3" w:rsidP="000144D3">
      <w:pPr>
        <w:pStyle w:val="Standard"/>
        <w:spacing w:before="240" w:after="200" w:line="360" w:lineRule="auto"/>
        <w:jc w:val="both"/>
      </w:pPr>
      <w:r>
        <w:rPr>
          <w:rFonts w:eastAsia="Calibri" w:cs="Times New Roman"/>
        </w:rPr>
        <w:t xml:space="preserve">                                             DEVELOPMENT</w:t>
      </w:r>
    </w:p>
    <w:p w14:paraId="2A5810DB" w14:textId="77777777" w:rsidR="000144D3" w:rsidRDefault="000144D3" w:rsidP="000144D3">
      <w:pPr>
        <w:pStyle w:val="Standard"/>
        <w:spacing w:before="240" w:after="200" w:line="360" w:lineRule="auto"/>
        <w:jc w:val="both"/>
      </w:pPr>
      <w:r>
        <w:rPr>
          <w:rFonts w:eastAsia="Calibri" w:cs="Times New Roman"/>
        </w:rPr>
        <w:t xml:space="preserve"> COURSE CODE               :   NET322</w:t>
      </w:r>
    </w:p>
    <w:p w14:paraId="11803A3C" w14:textId="577394F9" w:rsidR="00FD04E4" w:rsidRPr="00D35BC0" w:rsidRDefault="000144D3" w:rsidP="00FD04E4">
      <w:pPr>
        <w:spacing w:after="20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  <w:r>
        <w:rPr>
          <w:rFonts w:eastAsia="Calibri" w:cs="Times New Roman"/>
        </w:rPr>
        <w:t xml:space="preserve">ASSIGNMENT TITLE    </w:t>
      </w:r>
      <w:r w:rsidR="00FD04E4">
        <w:rPr>
          <w:rFonts w:eastAsia="Calibri" w:cs="Times New Roman"/>
        </w:rPr>
        <w:t xml:space="preserve">:  </w:t>
      </w:r>
      <w:r w:rsidR="00FD04E4" w:rsidRPr="00FD04E4">
        <w:rPr>
          <w:rFonts w:ascii="Arial" w:eastAsia="Arial" w:hAnsi="Arial" w:cs="Arial"/>
          <w:b/>
          <w:i/>
          <w:iCs/>
          <w:color w:val="555555"/>
          <w:kern w:val="0"/>
          <w:sz w:val="20"/>
          <w:szCs w:val="20"/>
          <w14:ligatures w14:val="none"/>
        </w:rPr>
        <w:t>Serialization, Web Services, Concurrency &amp; HTTP Mechanics</w:t>
      </w:r>
    </w:p>
    <w:p w14:paraId="0F8B5F9A" w14:textId="5FCDFE05" w:rsidR="000144D3" w:rsidRDefault="000144D3" w:rsidP="000144D3">
      <w:pPr>
        <w:pStyle w:val="Standard"/>
        <w:spacing w:before="240" w:after="200" w:line="360" w:lineRule="auto"/>
        <w:jc w:val="both"/>
      </w:pPr>
    </w:p>
    <w:p w14:paraId="70DF59B4" w14:textId="3F24B1AB" w:rsidR="000144D3" w:rsidRDefault="000144D3" w:rsidP="000144D3">
      <w:pPr>
        <w:pStyle w:val="Standard"/>
        <w:spacing w:line="360" w:lineRule="auto"/>
        <w:jc w:val="both"/>
      </w:pPr>
      <w:r>
        <w:rPr>
          <w:rFonts w:eastAsia="Calibri" w:cs="Times New Roman"/>
        </w:rPr>
        <w:t xml:space="preserve"> DUE DATE                    </w:t>
      </w:r>
      <w:r w:rsidR="00FD04E4">
        <w:rPr>
          <w:rFonts w:eastAsia="Calibri" w:cs="Times New Roman"/>
        </w:rPr>
        <w:t xml:space="preserve">:   </w:t>
      </w:r>
      <w:proofErr w:type="gramStart"/>
      <w:r w:rsidR="00FD04E4">
        <w:rPr>
          <w:rFonts w:eastAsia="Calibri" w:cs="Times New Roman"/>
        </w:rPr>
        <w:t xml:space="preserve">8 </w:t>
      </w:r>
      <w:r>
        <w:rPr>
          <w:rFonts w:eastAsia="Calibri" w:cs="Times New Roman"/>
        </w:rPr>
        <w:t>,</w:t>
      </w:r>
      <w:proofErr w:type="gramEnd"/>
      <w:r>
        <w:rPr>
          <w:rFonts w:eastAsia="Calibri" w:cs="Times New Roman"/>
        </w:rPr>
        <w:t xml:space="preserve"> 2026</w:t>
      </w:r>
      <w:r w:rsidR="00FD04E4">
        <w:rPr>
          <w:rFonts w:eastAsia="Calibri" w:cs="Times New Roman"/>
        </w:rPr>
        <w:t>, MA</w:t>
      </w:r>
      <w:r w:rsidR="00896CE8">
        <w:rPr>
          <w:rFonts w:eastAsia="Calibri" w:cs="Times New Roman"/>
        </w:rPr>
        <w:t>Y</w:t>
      </w:r>
    </w:p>
    <w:p w14:paraId="20B91AA1" w14:textId="5095E901" w:rsidR="00D35BC0" w:rsidRDefault="00D35BC0"/>
    <w:p w14:paraId="2E263F22" w14:textId="77777777" w:rsidR="00CA0868" w:rsidRPr="006A62AC" w:rsidRDefault="00D35BC0" w:rsidP="00CA0868">
      <w:pPr>
        <w:spacing w:after="40"/>
        <w:jc w:val="center"/>
      </w:pPr>
      <w:r>
        <w:br w:type="page"/>
      </w:r>
      <w:r w:rsidR="00CA0868" w:rsidRPr="006A62AC">
        <w:rPr>
          <w:b/>
          <w:bCs/>
          <w:color w:val="1A1A2E"/>
          <w:sz w:val="32"/>
          <w:szCs w:val="26"/>
        </w:rPr>
        <w:lastRenderedPageBreak/>
        <w:t>Assignment 1 — Theory Paper</w:t>
      </w:r>
    </w:p>
    <w:p w14:paraId="0C50D6D8" w14:textId="3B45BA89" w:rsidR="00CA0868" w:rsidRPr="006A62AC" w:rsidRDefault="00CA0868" w:rsidP="00CA0868">
      <w:pPr>
        <w:spacing w:after="40"/>
        <w:jc w:val="center"/>
      </w:pPr>
      <w:r w:rsidRPr="006A62AC">
        <w:rPr>
          <w:i/>
          <w:iCs/>
          <w:color w:val="1A3A6E"/>
          <w:sz w:val="22"/>
          <w:szCs w:val="18"/>
        </w:rPr>
        <w:t>B</w:t>
      </w:r>
      <w:r>
        <w:rPr>
          <w:i/>
          <w:iCs/>
          <w:color w:val="1A3A6E"/>
          <w:sz w:val="22"/>
          <w:szCs w:val="18"/>
        </w:rPr>
        <w:t xml:space="preserve">lantyre Greenhouse Cooperative  </w:t>
      </w:r>
      <w:bookmarkStart w:id="0" w:name="_GoBack"/>
      <w:bookmarkEnd w:id="0"/>
      <w:r w:rsidRPr="006A62AC">
        <w:rPr>
          <w:i/>
          <w:iCs/>
          <w:color w:val="1A3A6E"/>
          <w:sz w:val="22"/>
          <w:szCs w:val="18"/>
        </w:rPr>
        <w:t xml:space="preserve"> Remote Monitoring System</w:t>
      </w:r>
    </w:p>
    <w:p w14:paraId="144EC7A1" w14:textId="77777777" w:rsidR="00CA0868" w:rsidRPr="006A62AC" w:rsidRDefault="00CA0868" w:rsidP="00CA0868">
      <w:pPr>
        <w:pBdr>
          <w:bottom w:val="single" w:sz="6" w:space="1" w:color="1A3A6E"/>
        </w:pBdr>
        <w:spacing w:after="120"/>
      </w:pPr>
    </w:p>
    <w:p w14:paraId="2D4D36F1" w14:textId="77777777" w:rsidR="00CA0868" w:rsidRPr="006A62AC" w:rsidRDefault="00CA0868" w:rsidP="00CA0868">
      <w:pPr>
        <w:pStyle w:val="Heading1"/>
        <w:pBdr>
          <w:bottom w:val="single" w:sz="6" w:space="1" w:color="1A3A6E"/>
        </w:pBdr>
        <w:rPr>
          <w:sz w:val="28"/>
        </w:rPr>
      </w:pPr>
      <w:r w:rsidRPr="006A62AC">
        <w:rPr>
          <w:sz w:val="28"/>
        </w:rPr>
        <w:t>A. Serialization Choices</w:t>
      </w:r>
    </w:p>
    <w:p w14:paraId="06419206" w14:textId="77777777" w:rsidR="00CA0868" w:rsidRPr="006A62AC" w:rsidRDefault="00CA0868" w:rsidP="00CA0868">
      <w:pPr>
        <w:spacing w:after="80" w:line="276" w:lineRule="auto"/>
        <w:jc w:val="both"/>
      </w:pPr>
      <w:r w:rsidRPr="006A62AC">
        <w:rPr>
          <w:b/>
          <w:bCs/>
          <w:color w:val="1A1A2E"/>
        </w:rPr>
        <w:t>YAML</w:t>
      </w:r>
      <w:r w:rsidRPr="006A62AC">
        <w:rPr>
          <w:color w:val="1A1A2E"/>
        </w:rPr>
        <w:t xml:space="preserve"> is used for configuration files. Field technicians must adjust sampling intervals and server addresses without specialist tooling; YAML’s readable, comment-friendly syntax serves this directly. Verbosity is irrelevant because </w:t>
      </w:r>
      <w:proofErr w:type="spellStart"/>
      <w:r w:rsidRPr="006A62AC">
        <w:rPr>
          <w:color w:val="1A1A2E"/>
        </w:rPr>
        <w:t>config</w:t>
      </w:r>
      <w:proofErr w:type="spellEnd"/>
      <w:r w:rsidRPr="006A62AC">
        <w:rPr>
          <w:color w:val="1A1A2E"/>
        </w:rPr>
        <w:t xml:space="preserve"> is parsed once at startup, not on a hot path. Schema validation via </w:t>
      </w:r>
      <w:proofErr w:type="spellStart"/>
      <w:r w:rsidRPr="006A62AC">
        <w:rPr>
          <w:color w:val="1A1A2E"/>
        </w:rPr>
        <w:t>yamale</w:t>
      </w:r>
      <w:proofErr w:type="spellEnd"/>
      <w:r w:rsidRPr="006A62AC">
        <w:rPr>
          <w:color w:val="1A1A2E"/>
        </w:rPr>
        <w:t xml:space="preserve"> catches misconfigurations before deployment across dispersed greenhouse nodes.</w:t>
      </w:r>
    </w:p>
    <w:p w14:paraId="1C8B94D2" w14:textId="77777777" w:rsidR="00CA0868" w:rsidRPr="006A62AC" w:rsidRDefault="00CA0868" w:rsidP="00CA0868">
      <w:pPr>
        <w:spacing w:after="80" w:line="276" w:lineRule="auto"/>
        <w:jc w:val="both"/>
      </w:pPr>
      <w:proofErr w:type="spellStart"/>
      <w:r w:rsidRPr="006A62AC">
        <w:rPr>
          <w:b/>
          <w:bCs/>
          <w:color w:val="1A1A2E"/>
        </w:rPr>
        <w:t>Protobuf</w:t>
      </w:r>
      <w:proofErr w:type="spellEnd"/>
      <w:r w:rsidRPr="006A62AC">
        <w:rPr>
          <w:color w:val="1A1A2E"/>
        </w:rPr>
        <w:t xml:space="preserve"> governs the sensor-to-server link. Four sensor types per greenhouse transmit at regular intervals over Malawi’s bandwidth-constrained mobile links. </w:t>
      </w:r>
      <w:proofErr w:type="spellStart"/>
      <w:r w:rsidRPr="006A62AC">
        <w:rPr>
          <w:color w:val="1A1A2E"/>
        </w:rPr>
        <w:t>Protobuf’s</w:t>
      </w:r>
      <w:proofErr w:type="spellEnd"/>
      <w:r w:rsidRPr="006A62AC">
        <w:rPr>
          <w:color w:val="1A1A2E"/>
        </w:rPr>
        <w:t xml:space="preserve"> binary encoding is 3–10× smaller than JSON and parses with negligible CPU overhead — critical for low-cost microcontrollers and metered data. Typed </w:t>
      </w:r>
      <w:r w:rsidRPr="006A62AC">
        <w:rPr>
          <w:i/>
          <w:iCs/>
          <w:color w:val="1A1A2E"/>
        </w:rPr>
        <w:t>.proto</w:t>
      </w:r>
      <w:r w:rsidRPr="006A62AC">
        <w:rPr>
          <w:color w:val="1A1A2E"/>
        </w:rPr>
        <w:t xml:space="preserve"> schemas enforce field contracts and surface version mismatches at compile time.</w:t>
      </w:r>
    </w:p>
    <w:p w14:paraId="31D90F50" w14:textId="77777777" w:rsidR="00CA0868" w:rsidRPr="006A62AC" w:rsidRDefault="00CA0868" w:rsidP="00CA0868">
      <w:pPr>
        <w:spacing w:after="80" w:line="276" w:lineRule="auto"/>
        <w:jc w:val="both"/>
      </w:pPr>
      <w:r w:rsidRPr="006A62AC">
        <w:rPr>
          <w:b/>
          <w:bCs/>
          <w:color w:val="1A1A2E"/>
        </w:rPr>
        <w:t>JSON and XML</w:t>
      </w:r>
      <w:r w:rsidRPr="006A62AC">
        <w:rPr>
          <w:color w:val="1A1A2E"/>
        </w:rPr>
        <w:t xml:space="preserve"> serve the public REST API via content negotiation. The mobile farmer app requests </w:t>
      </w:r>
      <w:r w:rsidRPr="006A62AC">
        <w:rPr>
          <w:i/>
          <w:iCs/>
          <w:color w:val="1A1A2E"/>
        </w:rPr>
        <w:t>Accept: application/</w:t>
      </w:r>
      <w:proofErr w:type="spellStart"/>
      <w:r w:rsidRPr="006A62AC">
        <w:rPr>
          <w:i/>
          <w:iCs/>
          <w:color w:val="1A1A2E"/>
        </w:rPr>
        <w:t>json</w:t>
      </w:r>
      <w:proofErr w:type="spellEnd"/>
      <w:r w:rsidRPr="006A62AC">
        <w:rPr>
          <w:color w:val="1A1A2E"/>
        </w:rPr>
        <w:t xml:space="preserve"> for its concise, natively-parsed format; the legacy desktop analytics tool sends </w:t>
      </w:r>
      <w:r w:rsidRPr="006A62AC">
        <w:rPr>
          <w:i/>
          <w:iCs/>
          <w:color w:val="1A1A2E"/>
        </w:rPr>
        <w:t>Accept: application/xml</w:t>
      </w:r>
      <w:r w:rsidRPr="006A62AC">
        <w:rPr>
          <w:color w:val="1A1A2E"/>
        </w:rPr>
        <w:t xml:space="preserve"> to feed its fixed XSLT pipeline. Both clients are served from one endpoint — keeping the API surface minimal and avoiding a costly toolchain replacement.</w:t>
      </w:r>
    </w:p>
    <w:p w14:paraId="6F2D2D6D" w14:textId="77777777" w:rsidR="00CA0868" w:rsidRPr="006A62AC" w:rsidRDefault="00CA0868" w:rsidP="00CA0868">
      <w:pPr>
        <w:pStyle w:val="Heading1"/>
        <w:pBdr>
          <w:bottom w:val="single" w:sz="6" w:space="1" w:color="1A3A6E"/>
        </w:pBdr>
        <w:rPr>
          <w:sz w:val="28"/>
        </w:rPr>
      </w:pPr>
      <w:r w:rsidRPr="006A62AC">
        <w:rPr>
          <w:sz w:val="28"/>
        </w:rPr>
        <w:t>B. Web Services Protocol</w:t>
      </w:r>
    </w:p>
    <w:p w14:paraId="3334A5BC" w14:textId="77777777" w:rsidR="00CA0868" w:rsidRPr="006A62AC" w:rsidRDefault="00CA0868" w:rsidP="00CA0868">
      <w:pPr>
        <w:spacing w:after="80" w:line="276" w:lineRule="auto"/>
        <w:jc w:val="both"/>
      </w:pPr>
      <w:r w:rsidRPr="006A62AC">
        <w:rPr>
          <w:b/>
          <w:bCs/>
          <w:color w:val="1A1A2E"/>
        </w:rPr>
        <w:t>REST</w:t>
      </w:r>
      <w:r w:rsidRPr="006A62AC">
        <w:rPr>
          <w:color w:val="1A1A2E"/>
        </w:rPr>
        <w:t xml:space="preserve"> fits the historical-data API because the cooperative’s data is naturally resource-oriented: greenhouses, sensors, and time-series readings map cleanly onto URLs (e.g., </w:t>
      </w:r>
      <w:r w:rsidRPr="006A62AC">
        <w:rPr>
          <w:i/>
          <w:iCs/>
          <w:color w:val="1A1A2E"/>
        </w:rPr>
        <w:t>/greenhouses</w:t>
      </w:r>
      <w:proofErr w:type="gramStart"/>
      <w:r w:rsidRPr="006A62AC">
        <w:rPr>
          <w:i/>
          <w:iCs/>
          <w:color w:val="1A1A2E"/>
        </w:rPr>
        <w:t>/{</w:t>
      </w:r>
      <w:proofErr w:type="gramEnd"/>
      <w:r w:rsidRPr="006A62AC">
        <w:rPr>
          <w:i/>
          <w:iCs/>
          <w:color w:val="1A1A2E"/>
        </w:rPr>
        <w:t>id}/sensors/{s}/</w:t>
      </w:r>
      <w:proofErr w:type="spellStart"/>
      <w:r w:rsidRPr="006A62AC">
        <w:rPr>
          <w:i/>
          <w:iCs/>
          <w:color w:val="1A1A2E"/>
        </w:rPr>
        <w:t>readings?from</w:t>
      </w:r>
      <w:proofErr w:type="spellEnd"/>
      <w:r w:rsidRPr="006A62AC">
        <w:rPr>
          <w:i/>
          <w:iCs/>
          <w:color w:val="1A1A2E"/>
        </w:rPr>
        <w:t>=…</w:t>
      </w:r>
      <w:r w:rsidRPr="006A62AC">
        <w:rPr>
          <w:color w:val="1A1A2E"/>
        </w:rPr>
        <w:t xml:space="preserve">). Statelessness means the server can be load-balanced without session affinity — and a mobile app can retry a failed request without state coordination, essential over unreliable rural connections. </w:t>
      </w:r>
      <w:r w:rsidRPr="006A62AC">
        <w:rPr>
          <w:i/>
          <w:iCs/>
          <w:color w:val="1A1A2E"/>
        </w:rPr>
        <w:t>Cache-Control</w:t>
      </w:r>
      <w:r w:rsidRPr="006A62AC">
        <w:rPr>
          <w:color w:val="1A1A2E"/>
        </w:rPr>
        <w:t xml:space="preserve"> headers reduce repeated data transfer costs on metered links.</w:t>
      </w:r>
    </w:p>
    <w:p w14:paraId="05C6EFF2" w14:textId="77777777" w:rsidR="00CA0868" w:rsidRPr="006A62AC" w:rsidRDefault="00CA0868" w:rsidP="00CA0868">
      <w:pPr>
        <w:spacing w:after="80" w:line="276" w:lineRule="auto"/>
        <w:jc w:val="both"/>
      </w:pPr>
      <w:r w:rsidRPr="006A62AC">
        <w:rPr>
          <w:b/>
          <w:bCs/>
          <w:color w:val="1A1A2E"/>
        </w:rPr>
        <w:t>SOAP</w:t>
      </w:r>
      <w:r w:rsidRPr="006A62AC">
        <w:rPr>
          <w:color w:val="1A1A2E"/>
        </w:rPr>
        <w:t xml:space="preserve"> adds XML envelope overhead per call and implies </w:t>
      </w:r>
      <w:proofErr w:type="spellStart"/>
      <w:r w:rsidRPr="006A62AC">
        <w:rPr>
          <w:color w:val="1A1A2E"/>
        </w:rPr>
        <w:t>statefulness</w:t>
      </w:r>
      <w:proofErr w:type="spellEnd"/>
      <w:r w:rsidRPr="006A62AC">
        <w:rPr>
          <w:color w:val="1A1A2E"/>
        </w:rPr>
        <w:t xml:space="preserve">, conflicting with low-bandwidth goals and horizontal scaling. </w:t>
      </w:r>
      <w:r w:rsidRPr="006A62AC">
        <w:rPr>
          <w:b/>
          <w:bCs/>
          <w:color w:val="1A1A2E"/>
        </w:rPr>
        <w:t>RPC protocols</w:t>
      </w:r>
      <w:r w:rsidRPr="006A62AC">
        <w:rPr>
          <w:color w:val="1A1A2E"/>
        </w:rPr>
        <w:t xml:space="preserve"> such as </w:t>
      </w:r>
      <w:proofErr w:type="spellStart"/>
      <w:r w:rsidRPr="006A62AC">
        <w:rPr>
          <w:color w:val="1A1A2E"/>
        </w:rPr>
        <w:t>gRPC</w:t>
      </w:r>
      <w:proofErr w:type="spellEnd"/>
      <w:r w:rsidRPr="006A62AC">
        <w:rPr>
          <w:color w:val="1A1A2E"/>
        </w:rPr>
        <w:t xml:space="preserve"> are action-oriented and require HTTP/2 binary framing, which the legacy XML desktop client cannot consume without a full re-engineering effort. REST’s uniform interface and universal library support make it the pragmatic, low-maintenance choice.</w:t>
      </w:r>
    </w:p>
    <w:p w14:paraId="3BEFD7CD" w14:textId="77777777" w:rsidR="00CA0868" w:rsidRPr="006A62AC" w:rsidRDefault="00CA0868" w:rsidP="00CA0868">
      <w:pPr>
        <w:pStyle w:val="Heading1"/>
        <w:pBdr>
          <w:bottom w:val="single" w:sz="6" w:space="1" w:color="1A3A6E"/>
        </w:pBdr>
        <w:rPr>
          <w:sz w:val="28"/>
        </w:rPr>
      </w:pPr>
      <w:r w:rsidRPr="006A62AC">
        <w:rPr>
          <w:sz w:val="28"/>
        </w:rPr>
        <w:t xml:space="preserve">C. </w:t>
      </w:r>
      <w:proofErr w:type="spellStart"/>
      <w:r w:rsidRPr="006A62AC">
        <w:rPr>
          <w:sz w:val="28"/>
        </w:rPr>
        <w:t>AsyncIO</w:t>
      </w:r>
      <w:proofErr w:type="spellEnd"/>
      <w:r w:rsidRPr="006A62AC">
        <w:rPr>
          <w:sz w:val="28"/>
        </w:rPr>
        <w:t xml:space="preserve"> vs </w:t>
      </w:r>
      <w:proofErr w:type="gramStart"/>
      <w:r w:rsidRPr="006A62AC">
        <w:rPr>
          <w:sz w:val="28"/>
        </w:rPr>
        <w:t>Threading</w:t>
      </w:r>
      <w:proofErr w:type="gramEnd"/>
    </w:p>
    <w:p w14:paraId="7B36B8D9" w14:textId="77777777" w:rsidR="00CA0868" w:rsidRPr="006A62AC" w:rsidRDefault="00CA0868" w:rsidP="00CA0868">
      <w:pPr>
        <w:spacing w:after="80" w:line="276" w:lineRule="auto"/>
        <w:jc w:val="both"/>
      </w:pPr>
      <w:r w:rsidRPr="006A62AC">
        <w:rPr>
          <w:b/>
          <w:bCs/>
          <w:color w:val="1A1A2E"/>
        </w:rPr>
        <w:t>The server is I/O-bound:</w:t>
      </w:r>
      <w:r w:rsidRPr="006A62AC">
        <w:rPr>
          <w:color w:val="1A1A2E"/>
        </w:rPr>
        <w:t xml:space="preserve"> at any moment it waits on sensor TCP frames, database writes, or </w:t>
      </w:r>
      <w:proofErr w:type="spellStart"/>
      <w:r w:rsidRPr="006A62AC">
        <w:rPr>
          <w:color w:val="1A1A2E"/>
        </w:rPr>
        <w:t>WebSocket</w:t>
      </w:r>
      <w:proofErr w:type="spellEnd"/>
      <w:r w:rsidRPr="006A62AC">
        <w:rPr>
          <w:color w:val="1A1A2E"/>
        </w:rPr>
        <w:t xml:space="preserve"> flushes — never CPU computation. Python’s GIL means threads give no concurrency benefit for I/O; a thread-per-connection design for 20 greenhouses × 4 sensors </w:t>
      </w:r>
      <w:r w:rsidRPr="006A62AC">
        <w:rPr>
          <w:color w:val="1A1A2E"/>
        </w:rPr>
        <w:lastRenderedPageBreak/>
        <w:t>wastes ~40 MB of stack memory on blocked waits, with kernel-scheduler overhead on every context switch.</w:t>
      </w:r>
    </w:p>
    <w:p w14:paraId="7D5E53D1" w14:textId="77777777" w:rsidR="00CA0868" w:rsidRPr="006A62AC" w:rsidRDefault="00CA0868" w:rsidP="00CA0868">
      <w:pPr>
        <w:spacing w:after="80" w:line="276" w:lineRule="auto"/>
        <w:jc w:val="both"/>
      </w:pPr>
      <w:proofErr w:type="spellStart"/>
      <w:proofErr w:type="gramStart"/>
      <w:r w:rsidRPr="006A62AC">
        <w:rPr>
          <w:b/>
          <w:bCs/>
          <w:color w:val="1A1A2E"/>
        </w:rPr>
        <w:t>asyncio</w:t>
      </w:r>
      <w:proofErr w:type="spellEnd"/>
      <w:proofErr w:type="gramEnd"/>
      <w:r w:rsidRPr="006A62AC">
        <w:rPr>
          <w:color w:val="1A1A2E"/>
        </w:rPr>
        <w:t xml:space="preserve"> </w:t>
      </w:r>
      <w:proofErr w:type="spellStart"/>
      <w:r w:rsidRPr="006A62AC">
        <w:rPr>
          <w:color w:val="1A1A2E"/>
        </w:rPr>
        <w:t>coroutines</w:t>
      </w:r>
      <w:proofErr w:type="spellEnd"/>
      <w:r w:rsidRPr="006A62AC">
        <w:rPr>
          <w:color w:val="1A1A2E"/>
        </w:rPr>
        <w:t xml:space="preserve"> on a single event loop are the right model. Each </w:t>
      </w:r>
      <w:proofErr w:type="spellStart"/>
      <w:r w:rsidRPr="006A62AC">
        <w:rPr>
          <w:color w:val="1A1A2E"/>
        </w:rPr>
        <w:t>coroutine</w:t>
      </w:r>
      <w:proofErr w:type="spellEnd"/>
      <w:r w:rsidRPr="006A62AC">
        <w:rPr>
          <w:color w:val="1A1A2E"/>
        </w:rPr>
        <w:t xml:space="preserve"> yields at </w:t>
      </w:r>
      <w:r w:rsidRPr="006A62AC">
        <w:rPr>
          <w:i/>
          <w:iCs/>
          <w:color w:val="1A1A2E"/>
        </w:rPr>
        <w:t>await</w:t>
      </w:r>
      <w:r w:rsidRPr="006A62AC">
        <w:rPr>
          <w:color w:val="1A1A2E"/>
        </w:rPr>
        <w:t xml:space="preserve"> points, returning control so other ready tasks proceed. Thousands of connections share one OS thread with no per-connection stack; </w:t>
      </w:r>
      <w:proofErr w:type="spellStart"/>
      <w:r w:rsidRPr="006A62AC">
        <w:rPr>
          <w:color w:val="1A1A2E"/>
        </w:rPr>
        <w:t>coroutine</w:t>
      </w:r>
      <w:proofErr w:type="spellEnd"/>
      <w:r w:rsidRPr="006A62AC">
        <w:rPr>
          <w:color w:val="1A1A2E"/>
        </w:rPr>
        <w:t xml:space="preserve"> switches are pure-Python and far cheaper than kernel thread switches — reducing hardware requirements on the cooperative’s budget server.</w:t>
      </w:r>
    </w:p>
    <w:p w14:paraId="26C263DA" w14:textId="77777777" w:rsidR="00CA0868" w:rsidRPr="006A62AC" w:rsidRDefault="00CA0868" w:rsidP="00CA0868">
      <w:pPr>
        <w:spacing w:after="80" w:line="276" w:lineRule="auto"/>
        <w:jc w:val="both"/>
      </w:pPr>
      <w:r w:rsidRPr="006A62AC">
        <w:rPr>
          <w:b/>
          <w:bCs/>
          <w:color w:val="1A1A2E"/>
        </w:rPr>
        <w:t>Threads</w:t>
      </w:r>
      <w:r w:rsidRPr="006A62AC">
        <w:rPr>
          <w:color w:val="1A1A2E"/>
        </w:rPr>
        <w:t xml:space="preserve"> remain appropriate via </w:t>
      </w:r>
      <w:proofErr w:type="spellStart"/>
      <w:r w:rsidRPr="006A62AC">
        <w:rPr>
          <w:i/>
          <w:iCs/>
          <w:color w:val="1A1A2E"/>
        </w:rPr>
        <w:t>run_in_</w:t>
      </w:r>
      <w:proofErr w:type="gramStart"/>
      <w:r w:rsidRPr="006A62AC">
        <w:rPr>
          <w:i/>
          <w:iCs/>
          <w:color w:val="1A1A2E"/>
        </w:rPr>
        <w:t>executor</w:t>
      </w:r>
      <w:proofErr w:type="spellEnd"/>
      <w:r w:rsidRPr="006A62AC">
        <w:rPr>
          <w:i/>
          <w:iCs/>
          <w:color w:val="1A1A2E"/>
        </w:rPr>
        <w:t>(</w:t>
      </w:r>
      <w:proofErr w:type="gramEnd"/>
      <w:r w:rsidRPr="006A62AC">
        <w:rPr>
          <w:i/>
          <w:iCs/>
          <w:color w:val="1A1A2E"/>
        </w:rPr>
        <w:t>)</w:t>
      </w:r>
      <w:r w:rsidRPr="006A62AC">
        <w:rPr>
          <w:color w:val="1A1A2E"/>
        </w:rPr>
        <w:t xml:space="preserve"> for blocking C library calls (e.g., serial-port drivers with no </w:t>
      </w:r>
      <w:proofErr w:type="spellStart"/>
      <w:r w:rsidRPr="006A62AC">
        <w:rPr>
          <w:color w:val="1A1A2E"/>
        </w:rPr>
        <w:t>async</w:t>
      </w:r>
      <w:proofErr w:type="spellEnd"/>
      <w:r w:rsidRPr="006A62AC">
        <w:rPr>
          <w:color w:val="1A1A2E"/>
        </w:rPr>
        <w:t xml:space="preserve"> API). </w:t>
      </w:r>
      <w:r w:rsidRPr="006A62AC">
        <w:rPr>
          <w:b/>
          <w:bCs/>
          <w:color w:val="1A1A2E"/>
        </w:rPr>
        <w:t>Processes</w:t>
      </w:r>
      <w:r w:rsidRPr="006A62AC">
        <w:rPr>
          <w:color w:val="1A1A2E"/>
        </w:rPr>
        <w:t xml:space="preserve"> (</w:t>
      </w:r>
      <w:proofErr w:type="spellStart"/>
      <w:r w:rsidRPr="006A62AC">
        <w:rPr>
          <w:color w:val="1A1A2E"/>
        </w:rPr>
        <w:t>ProcessPoolExecutor</w:t>
      </w:r>
      <w:proofErr w:type="spellEnd"/>
      <w:r w:rsidRPr="006A62AC">
        <w:rPr>
          <w:color w:val="1A1A2E"/>
        </w:rPr>
        <w:t>) suit future CPU-bound workloads such as ML-based anomaly detection, where true multi-core parallelism is needed beyond the GIL.</w:t>
      </w:r>
    </w:p>
    <w:p w14:paraId="0A7D5D78" w14:textId="77777777" w:rsidR="00CA0868" w:rsidRPr="006A62AC" w:rsidRDefault="00CA0868" w:rsidP="00CA0868">
      <w:pPr>
        <w:pStyle w:val="Heading1"/>
        <w:pBdr>
          <w:bottom w:val="single" w:sz="6" w:space="1" w:color="1A3A6E"/>
        </w:pBdr>
        <w:rPr>
          <w:sz w:val="28"/>
        </w:rPr>
      </w:pPr>
      <w:r w:rsidRPr="006A62AC">
        <w:rPr>
          <w:sz w:val="28"/>
        </w:rPr>
        <w:t>D. HTTP Mechanics</w:t>
      </w:r>
    </w:p>
    <w:p w14:paraId="06776BB6" w14:textId="77777777" w:rsidR="00CA0868" w:rsidRPr="006A62AC" w:rsidRDefault="00CA0868" w:rsidP="00CA0868">
      <w:pPr>
        <w:spacing w:after="80" w:line="276" w:lineRule="auto"/>
        <w:jc w:val="both"/>
      </w:pPr>
      <w:r w:rsidRPr="006A62AC">
        <w:rPr>
          <w:b/>
          <w:bCs/>
          <w:color w:val="1A1A2E"/>
        </w:rPr>
        <w:t>Content negotiation</w:t>
      </w:r>
      <w:r w:rsidRPr="006A62AC">
        <w:rPr>
          <w:color w:val="1A1A2E"/>
        </w:rPr>
        <w:t xml:space="preserve"> directly solves the multi-client requirement. The server inspects the </w:t>
      </w:r>
      <w:r w:rsidRPr="006A62AC">
        <w:rPr>
          <w:i/>
          <w:iCs/>
          <w:color w:val="1A1A2E"/>
        </w:rPr>
        <w:t>Accept</w:t>
      </w:r>
      <w:r w:rsidRPr="006A62AC">
        <w:rPr>
          <w:color w:val="1A1A2E"/>
        </w:rPr>
        <w:t xml:space="preserve"> header and serializes the same data as JSON or XML accordingly, eliminating separate endpoints and keeping API maintenance simple — a meaningful saving for a small cooperative with limited developer resources.</w:t>
      </w:r>
    </w:p>
    <w:p w14:paraId="2218B431" w14:textId="2E6BD18D" w:rsidR="00D35BC0" w:rsidRDefault="00CA0868" w:rsidP="00CA0868">
      <w:r w:rsidRPr="006A62AC">
        <w:rPr>
          <w:b/>
          <w:bCs/>
          <w:color w:val="1A1A2E"/>
        </w:rPr>
        <w:t xml:space="preserve">The </w:t>
      </w:r>
      <w:proofErr w:type="spellStart"/>
      <w:r w:rsidRPr="006A62AC">
        <w:rPr>
          <w:b/>
          <w:bCs/>
          <w:color w:val="1A1A2E"/>
        </w:rPr>
        <w:t>WebSocket</w:t>
      </w:r>
      <w:proofErr w:type="spellEnd"/>
      <w:r w:rsidRPr="006A62AC">
        <w:rPr>
          <w:b/>
          <w:bCs/>
          <w:color w:val="1A1A2E"/>
        </w:rPr>
        <w:t xml:space="preserve"> upgrade handshake</w:t>
      </w:r>
      <w:r w:rsidRPr="006A62AC">
        <w:rPr>
          <w:color w:val="1A1A2E"/>
        </w:rPr>
        <w:t xml:space="preserve"> enables the live dashboard at minimal cost. The farmer’s browser sends </w:t>
      </w:r>
      <w:r w:rsidRPr="006A62AC">
        <w:rPr>
          <w:i/>
          <w:iCs/>
          <w:color w:val="1A1A2E"/>
        </w:rPr>
        <w:t>GET /</w:t>
      </w:r>
      <w:proofErr w:type="gramStart"/>
      <w:r w:rsidRPr="006A62AC">
        <w:rPr>
          <w:i/>
          <w:iCs/>
          <w:color w:val="1A1A2E"/>
        </w:rPr>
        <w:t>live  Upgrade</w:t>
      </w:r>
      <w:proofErr w:type="gramEnd"/>
      <w:r w:rsidRPr="006A62AC">
        <w:rPr>
          <w:i/>
          <w:iCs/>
          <w:color w:val="1A1A2E"/>
        </w:rPr>
        <w:t xml:space="preserve">: </w:t>
      </w:r>
      <w:proofErr w:type="spellStart"/>
      <w:r w:rsidRPr="006A62AC">
        <w:rPr>
          <w:i/>
          <w:iCs/>
          <w:color w:val="1A1A2E"/>
        </w:rPr>
        <w:t>websocket</w:t>
      </w:r>
      <w:proofErr w:type="spellEnd"/>
      <w:r w:rsidRPr="006A62AC">
        <w:rPr>
          <w:color w:val="1A1A2E"/>
        </w:rPr>
        <w:t xml:space="preserve">; the server replies </w:t>
      </w:r>
      <w:r w:rsidRPr="006A62AC">
        <w:rPr>
          <w:i/>
          <w:iCs/>
          <w:color w:val="1A1A2E"/>
        </w:rPr>
        <w:t>101 Switching Protocols</w:t>
      </w:r>
      <w:r w:rsidRPr="006A62AC">
        <w:rPr>
          <w:color w:val="1A1A2E"/>
        </w:rPr>
        <w:t>, opening a full-duplex channel. Every persisted reading is then pushed to all connected dashboards instantly — no polling, no repeated TLS handshakes. Crucially, the upgrade reuses port 443 and traverses NAT and ISP-level firewalls transparently, which matters on Malawian mobile networks where non-standard ports are often blocked.</w:t>
      </w:r>
    </w:p>
    <w:sectPr w:rsidR="00D35BC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144D3"/>
    <w:rsid w:val="000144D3"/>
    <w:rsid w:val="00046D78"/>
    <w:rsid w:val="00441767"/>
    <w:rsid w:val="00474972"/>
    <w:rsid w:val="004A48E4"/>
    <w:rsid w:val="00655A1E"/>
    <w:rsid w:val="00660826"/>
    <w:rsid w:val="00775706"/>
    <w:rsid w:val="00896CE8"/>
    <w:rsid w:val="00911E9D"/>
    <w:rsid w:val="009A4A64"/>
    <w:rsid w:val="00CA0868"/>
    <w:rsid w:val="00D35BC0"/>
    <w:rsid w:val="00FD04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18F3B91"/>
  <w15:chartTrackingRefBased/>
  <w15:docId w15:val="{23D9C9D2-BC65-4D9C-B0C5-B148A85F53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144D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144D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144D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144D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144D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144D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144D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144D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144D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144D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144D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144D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144D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144D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144D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144D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144D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144D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144D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144D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144D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144D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144D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144D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144D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144D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144D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144D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144D3"/>
    <w:rPr>
      <w:b/>
      <w:bCs/>
      <w:smallCaps/>
      <w:color w:val="2F5496" w:themeColor="accent1" w:themeShade="BF"/>
      <w:spacing w:val="5"/>
    </w:rPr>
  </w:style>
  <w:style w:type="paragraph" w:customStyle="1" w:styleId="Standard">
    <w:name w:val="Standard"/>
    <w:rsid w:val="000144D3"/>
    <w:pPr>
      <w:suppressAutoHyphens/>
      <w:autoSpaceDN w:val="0"/>
      <w:spacing w:after="0" w:line="240" w:lineRule="auto"/>
      <w:textAlignment w:val="baseline"/>
    </w:pPr>
    <w:rPr>
      <w:rFonts w:ascii="Times New Roman" w:eastAsia="NSimSun" w:hAnsi="Times New Roman" w:cs="Lucida Sans"/>
      <w:kern w:val="3"/>
      <w:lang w:eastAsia="zh-CN" w:bidi="hi-IN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701</Words>
  <Characters>4001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DEBORAH CHIRAMBO</dc:creator>
  <cp:keywords/>
  <dc:description/>
  <cp:lastModifiedBy>SYM</cp:lastModifiedBy>
  <cp:revision>2</cp:revision>
  <dcterms:created xsi:type="dcterms:W3CDTF">2026-05-08T07:58:00Z</dcterms:created>
  <dcterms:modified xsi:type="dcterms:W3CDTF">2026-05-08T07:58:00Z</dcterms:modified>
</cp:coreProperties>
</file>