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(xyz)</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(xyz)</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r w:rsidR="00B31350">
        <w:t>Skattereform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(Finansministeriet)</w:t>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 xml:space="preserve">(xyz).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(Howell/Azizoglu,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(Dørs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10028365" w:rsidR="004F0914" w:rsidRPr="009157C3" w:rsidRDefault="00C9325D" w:rsidP="003D1361">
      <w:pPr>
        <w:spacing w:line="360" w:lineRule="auto"/>
      </w:pPr>
      <w:r w:rsidRPr="009157C3">
        <w:t>(Dørs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mfl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pro-labour and pro-capital – are described by Lavoie/Stockhammer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‘labour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(xyz).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(xyz).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Fandt en artikel fra Cepos 2018 der fortæller effekterne af at fjerne midnre regulering samt den mindre løn regulering.</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 xml:space="preserve">But when the wage growth increase by more than 2% and the rate adjustment percent is subtracted by up till 0.3% point, this amount is not lost for the unemployed as it goes into the “statspulje” permanently. The funds in the “statspulje” are </w:t>
      </w:r>
      <w:r w:rsidR="004355A7">
        <w:t xml:space="preserve">mainly used for improving the terms for people being on transfer income, </w:t>
      </w:r>
      <w:r w:rsidR="00CC6F6A">
        <w:t>thereby (</w:t>
      </w:r>
      <w:r w:rsidR="00B31350">
        <w:t>Dagpenge komission</w:t>
      </w:r>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lastRenderedPageBreak/>
        <w:t>(</w:t>
      </w:r>
      <w:r w:rsidR="008B316D">
        <w:t>Dagpenge comission</w:t>
      </w:r>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“folkepensions persontillæg” and maybe “ældreschek” which is also noted in the pension commission paper (xyz).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(xyz)</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 xml:space="preserve">higher ratio of pension payments that (xyz) argued to leave out. They argue that this is an economic gain for being employed, which is supported by the </w:t>
      </w:r>
      <w:r w:rsidR="00043224">
        <w:t>ministry</w:t>
      </w:r>
      <w:r w:rsidR="00B4576D">
        <w:t xml:space="preserve"> of Finance (</w:t>
      </w:r>
      <w:r w:rsidR="00421DBA">
        <w:t>xyz)</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 xml:space="preserve">using the average amount of </w:t>
      </w:r>
      <w:r w:rsidR="001417FD">
        <w:lastRenderedPageBreak/>
        <w:t>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(xyz)</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 xml:space="preserve">(xyz)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r w:rsidR="00B31350">
        <w:t>Dagpenge komissionen</w:t>
      </w:r>
      <w:r>
        <w:t xml:space="preserve">) is overstating the approach effects, stating that increasing the income insurance increases the approach towards unemployment for those employed. </w:t>
      </w:r>
      <w:r w:rsidR="00120836" w:rsidRPr="00073F08">
        <w:rPr>
          <w:lang w:val="da-DK"/>
        </w:rPr>
        <w:t>(xyz) also themselves states that there is very low empirical evidence for this effect even existing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r w:rsidR="007C3869">
        <w:t>xyz</w:t>
      </w:r>
      <w:commentRangeEnd w:id="20"/>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w:t>
      </w:r>
      <w:r>
        <w:lastRenderedPageBreak/>
        <w:t xml:space="preserve">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(Dør 2022)</w:t>
      </w:r>
      <w:r>
        <w:t xml:space="preserve"> claim that the </w:t>
      </w:r>
      <w:r w:rsidR="00C21C3D">
        <w:t>commission</w:t>
      </w:r>
      <w:r>
        <w:t xml:space="preserve"> is neglecting the possible effect of changes in the level of income insurance on job separation meaning a change in the number of “opsigelser”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og Williamson, 1996) (Hopenhayn og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 xml:space="preserve">(xyz)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 xml:space="preserve">(xyz) </w:t>
      </w:r>
      <w:commentRangeStart w:id="22"/>
      <w:r w:rsidR="005C2A72">
        <w:t xml:space="preserve">criticizes the fact that 45% of the </w:t>
      </w:r>
      <w:r w:rsidR="005C2A72">
        <w:lastRenderedPageBreak/>
        <w:t xml:space="preserve">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(xyz)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(xyz).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(xyz) </w:t>
      </w:r>
      <w:r w:rsidR="00F47727">
        <w:t xml:space="preserve">criticizes the fact </w:t>
      </w:r>
      <w:r w:rsidR="007C3869">
        <w:t>that (</w:t>
      </w:r>
      <w:r w:rsidR="007426B3">
        <w:t>Dagpenge komissionen</w:t>
      </w:r>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lastRenderedPageBreak/>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r>
        <w:t xml:space="preserve">Dagpengemodellen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“kontanthjælp”, a Markovmodel</w:t>
      </w:r>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kontanthjælp is calculated using the static model for “</w:t>
      </w:r>
      <w:commentRangeStart w:id="28"/>
      <w:r w:rsidR="005F09CB">
        <w:t>kontanthjælp”.</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Markovmodel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“dagpengeanciennitet” (1-208 weeks) and “beskæftigelsesanciennitet” (0-3 quarters)</w:t>
      </w:r>
      <w:r w:rsidR="001B630A">
        <w:t>. In contrast to the static m</w:t>
      </w:r>
      <w:r w:rsidR="003B1255">
        <w:t>o</w:t>
      </w:r>
      <w:r w:rsidR="001B630A">
        <w:t xml:space="preserve">del for income insurance, it is not possible to follow a single individual. </w:t>
      </w:r>
      <w:r w:rsidR="007969EC">
        <w:br/>
        <w:t>T</w:t>
      </w:r>
      <w:r w:rsidR="001B630A">
        <w:t>he Markovmodel estimate</w:t>
      </w:r>
      <w:r w:rsidR="007969EC">
        <w:t>s</w:t>
      </w:r>
      <w:r w:rsidR="001B630A">
        <w:t xml:space="preserve"> the probability of changing </w:t>
      </w:r>
      <w:r w:rsidR="007969EC">
        <w:t>in-between</w:t>
      </w:r>
      <w:r w:rsidR="001B630A">
        <w:t xml:space="preserve"> the </w:t>
      </w:r>
      <w:r w:rsidR="009968BA">
        <w:t>three groups. As mentioned before the behavioral effects used in the Markovmodel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 xml:space="preserve">shows an effect up till 78 </w:t>
      </w:r>
      <w:r w:rsidR="00881864">
        <w:lastRenderedPageBreak/>
        <w:t>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 xml:space="preserve">Therefor the commission must assume that the behavioral effects for people being close to going into the insurance program (fx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“opsigelseperiode”)</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9"/>
      <w:r w:rsidR="00906730">
        <w:t>period</w:t>
      </w:r>
      <w:r w:rsidR="005E1037">
        <w:t xml:space="preserve">. </w:t>
      </w:r>
      <w:commentRangeEnd w:id="39"/>
      <w:r w:rsidR="009820B4">
        <w:rPr>
          <w:rStyle w:val="Kommentarhenvisning"/>
        </w:rPr>
        <w:commentReference w:id="3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2"/>
      <w:r w:rsidR="00205146">
        <w:t>xyz</w:t>
      </w:r>
      <w:commentRangeEnd w:id="42"/>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“max_dp”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“max_dp”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 xml:space="preserve">The endogenization of “max_dp” is now completed within the </w:t>
      </w:r>
      <w:r w:rsidR="000C24CF">
        <w:t>model and</w:t>
      </w:r>
      <w:r>
        <w:t xml:space="preserve"> allows us to calculate the compensation rate within the model </w:t>
      </w:r>
      <w:r w:rsidRPr="008406D1">
        <w:t>estimated as the fraction of the average amount an unemployed on income insurance would receive (dp_person), to the average wage received given employment (wage_</w:t>
      </w:r>
      <w:r>
        <w:t>ds</w:t>
      </w:r>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dp_person we use a simple ols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(wage_ds_t)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 xml:space="preserve">As the wages increase, so does the wage-share in the model. (Onaran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“kontanthjælp” and income insurance when determining whether to stay at the labor market. The same type of argument is used here where we include the ratio between </w:t>
      </w:r>
      <w:r>
        <w:lastRenderedPageBreak/>
        <w:t xml:space="preserve">“kontanthjælp” and the avg. level of income insurance received by households. The other explaining variables being the real wage and the unemployment rate, </w:t>
      </w:r>
      <w:r w:rsidR="0039626A">
        <w:t>following the work of (Mikael Hamid)</w:t>
      </w:r>
      <w:r>
        <w:t xml:space="preserve">. This creates a new channel for max_dp to affect the economy as an increase in max_dp will </w:t>
      </w:r>
      <w:r w:rsidR="002F66FF">
        <w:t>increase</w:t>
      </w:r>
      <w:r w:rsidR="00656813">
        <w:t xml:space="preserve"> the avg. income insurance </w:t>
      </w:r>
      <w:r w:rsidR="002F66FF">
        <w:t>and thereby lower</w:t>
      </w:r>
      <w:r w:rsidR="0039626A">
        <w:t xml:space="preserve"> the ratio of kontanthjælp to avg. level of income insurance</w:t>
      </w:r>
      <w:r>
        <w:t xml:space="preserve">. We find a </w:t>
      </w:r>
      <w:r w:rsidR="0039626A">
        <w:t>negative</w:t>
      </w:r>
      <w:r>
        <w:t xml:space="preserve"> relationship between the </w:t>
      </w:r>
      <w:r w:rsidR="0039626A">
        <w:t>kontanthjælps-ratio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kontanthjælp.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(quit large) increases in 2003 and 2004 would inflate max_dp in the baseline but not in this scenario.</w:t>
      </w:r>
      <w:r>
        <w:t xml:space="preserve"> </w:t>
      </w:r>
      <w:r w:rsidR="00D06507">
        <w:t>As a result of the shock, we</w:t>
      </w:r>
      <w:r>
        <w:t xml:space="preserve"> would expect max_dp </w:t>
      </w:r>
      <w:r w:rsidR="00D06507">
        <w:t>to increase</w:t>
      </w:r>
      <w:r w:rsidR="00FA7F17">
        <w:t xml:space="preserve"> even more than in scenario 1</w:t>
      </w:r>
      <w:r w:rsidR="00B73DDB">
        <w:t>.</w:t>
      </w:r>
      <w:r w:rsidR="0005620B">
        <w:t xml:space="preserve"> </w:t>
      </w:r>
      <w:r w:rsidR="00B73DDB">
        <w:t>A</w:t>
      </w:r>
      <w:r w:rsidR="0005620B">
        <w:t>s can be seen from the graph below max_dp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wagegap er 38% for vi en makro effekt der trækker ned ad så den sammlede effekt under under mikro effekten. I alle andre eksempler ender den over mikro effekten, hvor </w:t>
      </w:r>
      <w:r>
        <w:rPr>
          <w:lang w:val="da-DK"/>
        </w:rPr>
        <w:lastRenderedPageBreak/>
        <w:t>meget over afhænger dog af hvordan man sætter parametre (Måske gå efter at få noget der minder om dobbelt effekt af Fredriksson og Söderström hvilket jeg fakisk også gør)</w:t>
      </w:r>
    </w:p>
    <w:p w14:paraId="54B92CF9" w14:textId="5EFF24CC" w:rsidR="00A347C6" w:rsidRDefault="00A347C6" w:rsidP="00A347C6">
      <w:pPr>
        <w:rPr>
          <w:lang w:val="da-DK"/>
        </w:rPr>
      </w:pPr>
    </w:p>
    <w:p w14:paraId="7D3385DD" w14:textId="77777777" w:rsidR="00A347C6" w:rsidRPr="00A347C6" w:rsidRDefault="00A347C6" w:rsidP="00A347C6">
      <w:pPr>
        <w:rPr>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r w:rsidRPr="00A347C6">
        <w:rPr>
          <w:b/>
          <w:bCs/>
          <w:lang w:val="da-DK"/>
        </w:rPr>
        <w:t>Fredriksson</w:t>
      </w:r>
      <w:r w:rsidR="00A347C6" w:rsidRPr="00A347C6">
        <w:rPr>
          <w:b/>
          <w:bCs/>
          <w:lang w:val="da-DK"/>
        </w:rPr>
        <w:t xml:space="preserve"> (Husk det er </w:t>
      </w:r>
      <w:r w:rsidR="00A347C6">
        <w:rPr>
          <w:b/>
          <w:bCs/>
          <w:lang w:val="da-DK"/>
        </w:rPr>
        <w:t>en stigning i max_dp % af løn mener jeg)</w:t>
      </w:r>
    </w:p>
    <w:p w14:paraId="1A844261" w14:textId="4396F97F" w:rsidR="00622BF2" w:rsidRDefault="000F680F" w:rsidP="00175E58">
      <w:commentRangeStart w:id="61"/>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One approach to get around the issues raised by policy endogeneity is to use border counties in different U.S. states as a source of identifica tion; see Hagedorn et al. (2013)</w:t>
      </w:r>
      <w:commentRangeEnd w:id="61"/>
      <w:r>
        <w:rPr>
          <w:rStyle w:val="Kommentarhenvisning"/>
        </w:rPr>
        <w:commentReference w:id="61"/>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2"/>
      <w:r>
        <w:t>The macro effect of UI on unemployment is of considerable interest from a normative point of</w:t>
      </w:r>
      <w:r w:rsidR="0000579E">
        <w:t xml:space="preserve"> </w:t>
      </w:r>
      <w:r>
        <w:t>view. Landais et al. (2018) show that if</w:t>
      </w:r>
      <w:r w:rsidR="0000579E">
        <w:t xml:space="preserve"> </w:t>
      </w:r>
      <w:r>
        <w:t>market tightness is not efficient (i.e., the Hosios,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2"/>
      <w:r>
        <w:rPr>
          <w:rStyle w:val="Kommentarhenvisning"/>
        </w:rPr>
        <w:commentReference w:id="62"/>
      </w:r>
    </w:p>
    <w:p w14:paraId="5E8718F5" w14:textId="297F343C" w:rsidR="000F680F" w:rsidRDefault="000F680F" w:rsidP="000F680F"/>
    <w:p w14:paraId="1003B1E6" w14:textId="641495AC" w:rsidR="00025ACD" w:rsidRDefault="00025ACD" w:rsidP="000F680F">
      <w:r w:rsidRPr="00025ACD">
        <w:t>We find that the macro elasticity is approximately twice as large compared to the corresponding micro elasticity (1.4–1.5)</w:t>
      </w:r>
    </w:p>
    <w:p w14:paraId="04BECEF7" w14:textId="0899DF21" w:rsidR="00025ACD" w:rsidRDefault="00025ACD" w:rsidP="000F680F">
      <w:r w:rsidRPr="00025ACD">
        <w:t>We examine two explanations: (i)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3"/>
      <w:r>
        <w:t>log benefits in column (7</w:t>
      </w:r>
      <w:commentRangeEnd w:id="63"/>
      <w:r w:rsidR="0066742F">
        <w:rPr>
          <w:rStyle w:val="Kommentarhenvisning"/>
        </w:rPr>
        <w:commentReference w:id="63"/>
      </w:r>
      <w:r>
        <w:t xml:space="preserve">), and in column (8) we use a weighted average </w:t>
      </w:r>
      <w:commentRangeStart w:id="64"/>
      <w:r>
        <w:t>replacement rate</w:t>
      </w:r>
      <w:commentRangeEnd w:id="64"/>
      <w:r w:rsidR="0000579E">
        <w:rPr>
          <w:rStyle w:val="Kommentarhenvisning"/>
        </w:rPr>
        <w:commentReference w:id="64"/>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micro effect. One reason for this in the standard version of the search-matching model (see Pissarides,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5"/>
      <w:r w:rsidRPr="00D023C1">
        <w:t>Firms respond by creating fewer jobs and, so, market tightness is reduced and unemployment increases – over and above the direct effect coming from reduced search incentives among unemployed workers.</w:t>
      </w:r>
      <w:commentRangeEnd w:id="65"/>
      <w:r w:rsidR="0066742F">
        <w:rPr>
          <w:rStyle w:val="Kommentarhenvisning"/>
        </w:rPr>
        <w:commentReference w:id="65"/>
      </w:r>
    </w:p>
    <w:p w14:paraId="32391F02" w14:textId="0EF95693" w:rsidR="000F680F" w:rsidRDefault="0066742F" w:rsidP="0066742F">
      <w:r>
        <w:t>To examine the impact of</w:t>
      </w:r>
      <w:r>
        <w:t xml:space="preserve"> </w:t>
      </w:r>
      <w:r>
        <w:t>UI replacement rates on</w:t>
      </w:r>
      <w:r>
        <w:t xml:space="preserve"> </w:t>
      </w:r>
      <w:r>
        <w:t>wages, we use our</w:t>
      </w:r>
      <w:r>
        <w:t xml:space="preserve"> </w:t>
      </w:r>
      <w:r>
        <w:t>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6"/>
      <w:commentRangeStart w:id="67"/>
      <w:r w:rsidRPr="00D023C1">
        <w:t>Nevertheless, the results in columns (7)–(9) do not change the overall impression that wages rise as a result of increase in UI generosity. Overall, the elasticity of interest is in the order of 0.2–0.3.</w:t>
      </w:r>
      <w:commentRangeEnd w:id="66"/>
      <w:r>
        <w:rPr>
          <w:rStyle w:val="Kommentarhenvisning"/>
        </w:rPr>
        <w:commentReference w:id="66"/>
      </w:r>
      <w:commentRangeEnd w:id="67"/>
      <w:r w:rsidR="00A347C6">
        <w:rPr>
          <w:rStyle w:val="Kommentarhenvisning"/>
        </w:rPr>
        <w:commentReference w:id="67"/>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8"/>
      <w:r>
        <w:t>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the longer UI available in one state and not the other.</w:t>
      </w:r>
      <w:commentRangeEnd w:id="68"/>
      <w:r>
        <w:rPr>
          <w:rStyle w:val="Kommentarhenvisning"/>
        </w:rPr>
        <w:commentReference w:id="68"/>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9"/>
    </w:p>
    <w:p w14:paraId="005537FD" w14:textId="316DE16E" w:rsidR="00D1693E" w:rsidRDefault="00D1693E" w:rsidP="00D1693E">
      <w:r>
        <w:lastRenderedPageBreak/>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9"/>
      <w:r>
        <w:rPr>
          <w:rStyle w:val="Kommentarhenvisning"/>
        </w:rPr>
        <w:commentReference w:id="69"/>
      </w:r>
    </w:p>
    <w:p w14:paraId="2806A976" w14:textId="195A5C5C" w:rsidR="00854445" w:rsidRDefault="00854445" w:rsidP="00D1693E">
      <w:commentRangeStart w:id="70"/>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0"/>
      <w:r>
        <w:rPr>
          <w:rStyle w:val="Kommentarhenvisning"/>
        </w:rPr>
        <w:commentReference w:id="70"/>
      </w:r>
    </w:p>
    <w:p w14:paraId="770C9060" w14:textId="380B98B4" w:rsidR="000F680F" w:rsidRDefault="000F680F" w:rsidP="000F680F"/>
    <w:p w14:paraId="2FEE0589" w14:textId="33698181" w:rsidR="000F680F" w:rsidRDefault="00854445" w:rsidP="000F680F">
      <w:commentRangeStart w:id="71"/>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1"/>
      <w:r>
        <w:rPr>
          <w:rStyle w:val="Kommentarhenvisning"/>
        </w:rPr>
        <w:commentReference w:id="71"/>
      </w:r>
    </w:p>
    <w:p w14:paraId="7199F1A0" w14:textId="39D77712" w:rsidR="003873AB" w:rsidRDefault="003873AB" w:rsidP="000F680F"/>
    <w:p w14:paraId="19FFAF67" w14:textId="6C64EFF5" w:rsidR="003873AB" w:rsidRDefault="003873AB" w:rsidP="000F680F">
      <w:r w:rsidRPr="003873AB">
        <w:t>Following HKMM, we also present calculations based on the estimates for the implied unemploy- ment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r>
        <w:t>tance. The implied unemployment rates from the policy counterfactuals— 9.1 percent for change to the average benefit duration and 9.9 percent for a change to the maximum duration— are quite close to the corresponding BPFE esti-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coun- terfactuals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lastRenderedPageBreak/>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Our measurement error-corrected RD also serves as an attractive alterna-tive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contem- poraneous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ect of the policy (Chodorow-Reich and Karabarbounis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county-level employment. For the full sample OLS regressions, our point estimates for the e?ect of expanding maximum benefit duration from 26 to 99 weeks range from 0.21 to 0.43 percentage points of the employment- to-population (EPOP) ratio. These estimates are not significantly di?erent than zero, and the most precise estimates allow us to rule out e?ects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t>fewer papers that have estimated the macro-level impact of unemployment insurance on overall employment. The papers most closely related to ours are Hagedorn, Karahan, Manovskii and Mitman (2015)—hereafter HKMM—and Hagedorn, Manovskii and Mitman (2016)—hereafter HMM. Like us, these papers use a BCP strategy; HKMM provide evidence complementary to us that the BCP strategy mitigates the endogeneity problem. However, they both estimate large negative e?ects of UI on aggregate employment. HKMM</w:t>
      </w:r>
    </w:p>
    <w:p w14:paraId="3F4D7086" w14:textId="18E2AB56" w:rsidR="00FD31E1" w:rsidRDefault="00FD31E1" w:rsidP="00FD31E1"/>
    <w:p w14:paraId="4AD3AFE0" w14:textId="360EEF9B" w:rsidR="00FD31E1" w:rsidRDefault="00FD31E1" w:rsidP="00FD31E1"/>
    <w:p w14:paraId="760ACEDE" w14:textId="2A3351E7" w:rsidR="00FD31E1" w:rsidRDefault="00FD31E1" w:rsidP="00FD31E1">
      <w:commentRangeStart w:id="72"/>
      <w:r w:rsidRPr="00FD31E1">
        <w:lastRenderedPageBreak/>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2"/>
      <w:r>
        <w:rPr>
          <w:rStyle w:val="Kommentarhenvisning"/>
        </w:rPr>
        <w:commentReference w:id="72"/>
      </w:r>
    </w:p>
    <w:p w14:paraId="0DD9C2E5" w14:textId="212DB174" w:rsidR="000C36D7" w:rsidRDefault="000C36D7" w:rsidP="00FD31E1"/>
    <w:p w14:paraId="70FD7486" w14:textId="15936A5C" w:rsidR="00BE5F4C" w:rsidRDefault="00BE5F4C" w:rsidP="00BE5F4C">
      <w:pPr>
        <w:pStyle w:val="Overskrift1"/>
      </w:pPr>
      <w:r>
        <w:t xml:space="preserve">Her </w:t>
      </w:r>
    </w:p>
    <w:p w14:paraId="5363FB9A" w14:textId="77777777" w:rsidR="00BE5F4C" w:rsidRPr="00BE5F4C" w:rsidRDefault="00BE5F4C" w:rsidP="00BE5F4C"/>
    <w:p w14:paraId="56376C9D" w14:textId="1DDA87DE" w:rsidR="000C36D7" w:rsidRDefault="00BE5F4C" w:rsidP="00FD31E1">
      <w:r>
        <w:t xml:space="preserve">In the previous section we analyzed the effect of including macro founded effects of the suppressing of the rate regulation percent. In total we analyzed 4 effects neglected in the income insurance model. First the demand channel resulted in adding </w:t>
      </w:r>
      <w:r>
        <w:t>222 - 254</w:t>
      </w:r>
      <w:r>
        <w:t xml:space="preserve"> more employed, the wage channel removed </w:t>
      </w:r>
      <w:commentRangeStart w:id="73"/>
      <w:r w:rsidR="00E861C4">
        <w:t xml:space="preserve">0-3500 </w:t>
      </w:r>
      <w:commentRangeEnd w:id="73"/>
      <w:r w:rsidR="00E861C4">
        <w:rPr>
          <w:rStyle w:val="Kommentarhenvisning"/>
        </w:rPr>
        <w:commentReference w:id="73"/>
      </w:r>
      <w:r w:rsidR="00E861C4">
        <w:t>employed, the insurance rate channel added 300 employed. Lastly, the productivity channel removed 3108-</w:t>
      </w:r>
      <w:r w:rsidR="00E861C4" w:rsidRPr="00E861C4">
        <w:t>55086</w:t>
      </w:r>
      <w:r w:rsidR="00E861C4">
        <w:t xml:space="preserve"> employed. As mentioned, there are lack of empirical evidence for the productivity channel, and the results of this should not be fully trusted. </w:t>
      </w:r>
    </w:p>
    <w:p w14:paraId="639B09F1" w14:textId="162F4195" w:rsidR="00E861C4" w:rsidRDefault="00E861C4" w:rsidP="00FD31E1">
      <w: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p>
    <w:p w14:paraId="2DF39DA3" w14:textId="6F084849" w:rsidR="008C3542" w:rsidRDefault="008C3542" w:rsidP="00FD31E1">
      <w:commentRangeStart w:id="74"/>
      <w:r>
        <w:t>T</w:t>
      </w:r>
      <w:r>
        <w:t>he size of the macro elasticity relative to the micro elasticity of UI is important in determining the optimal level of 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w:t>
      </w:r>
      <w:r>
        <w:t xml:space="preserve"> (Svenskerne)</w:t>
      </w:r>
      <w:commentRangeEnd w:id="74"/>
      <w:r>
        <w:rPr>
          <w:rStyle w:val="Kommentarhenvisning"/>
        </w:rPr>
        <w:commentReference w:id="74"/>
      </w:r>
    </w:p>
    <w:p w14:paraId="2BCA061B" w14:textId="2A718901" w:rsidR="008C3542" w:rsidRDefault="008C3542" w:rsidP="00FD31E1">
      <w:r>
        <w:t xml:space="preserve">Most of the literature touching in the relationship between the macro and micro elasticity is coming from the US (Boone, </w:t>
      </w:r>
      <w:r w:rsidRPr="00D1693E">
        <w:rPr>
          <w:b/>
          <w:bCs/>
        </w:rPr>
        <w:t>Dieterle</w:t>
      </w:r>
      <w:r>
        <w:rPr>
          <w:b/>
          <w:bCs/>
        </w:rPr>
        <w:t xml:space="preserve">, Hagedorn … ) </w:t>
      </w:r>
      <w:commentRangeStart w:id="75"/>
      <w:r>
        <w:t xml:space="preserve">most of </w:t>
      </w:r>
      <w:commentRangeEnd w:id="75"/>
      <w:r>
        <w:rPr>
          <w:rStyle w:val="Kommentarhenvisning"/>
        </w:rPr>
        <w:commentReference w:id="75"/>
      </w:r>
      <w:r>
        <w:t xml:space="preserve">the papers use </w:t>
      </w:r>
      <w:r w:rsidR="00662931">
        <w:t>T</w:t>
      </w:r>
      <w:r>
        <w:t xml:space="preserve">he </w:t>
      </w:r>
      <w:r w:rsidR="00662931" w:rsidRPr="00662931">
        <w:t>Great Recession</w:t>
      </w:r>
      <w:r w:rsidR="00662931">
        <w:t xml:space="preserve"> which</w:t>
      </w:r>
      <w:r w:rsidR="00662931" w:rsidRPr="00662931">
        <w:t xml:space="preserve"> brought a series of UI benefit extensions that were in many ways unprecedented in the United States</w:t>
      </w:r>
      <w:r w:rsidR="00662931">
        <w:t xml:space="preserve"> (Dieterle). The results of these empirical tests are mixed and not giving a clear view of the relationship between the macro and micro elasticity. </w:t>
      </w:r>
      <w:r w:rsidR="000F052E">
        <w:t>One reason for the mixed results could be that a</w:t>
      </w:r>
      <w:r w:rsidR="00662931">
        <w:t xml:space="preserve">ll the papers use causal effects to estimate their results using boarder-based approaches, this puts up two conditions: First, it </w:t>
      </w:r>
      <w:r w:rsidR="00662931">
        <w:t>require that the areas being compared on either side of the border would experience similar labor market conditions in the absence of a difference in UI duration.</w:t>
      </w:r>
      <w:r w:rsidR="00662931">
        <w:t xml:space="preserve"> Second, it </w:t>
      </w:r>
      <w:r w:rsidR="00662931">
        <w:t xml:space="preserve">also </w:t>
      </w:r>
      <w:r w:rsidR="00662931">
        <w:t>requires</w:t>
      </w:r>
      <w:r w:rsidR="00662931">
        <w:t xml:space="preserve"> that the effect of the policy is concentrated on one side of the border</w:t>
      </w:r>
      <w:r w:rsidR="00662931">
        <w:t>, meaning the effects on one site of the border can’t spill over to the other site</w:t>
      </w:r>
      <w:r w:rsidR="000F052E">
        <w:t xml:space="preserve">. (Dieterle) argues that not all papers have been able to fulfill these conditions, making the results mixed. </w:t>
      </w:r>
    </w:p>
    <w:p w14:paraId="30C44607" w14:textId="67BF5667" w:rsidR="000F052E" w:rsidRDefault="000F052E" w:rsidP="00FD31E1">
      <w:r>
        <w:t xml:space="preserve">A new study from Sweden (Svenskerne) uses </w:t>
      </w:r>
      <w:r w:rsidR="001B6085">
        <w:t xml:space="preserve">changes in the replacement rate of the wage when going to unemployment using the heterogeneity in high-wage and low-wage areas </w:t>
      </w:r>
      <w:commentRangeStart w:id="76"/>
      <w:r w:rsidR="001B6085">
        <w:t xml:space="preserve">(Where the change is expected to have a larger effect in high wage areas as the increase </w:t>
      </w:r>
      <w:commentRangeEnd w:id="76"/>
      <w:r w:rsidR="001B6085">
        <w:rPr>
          <w:rStyle w:val="Kommentarhenvisning"/>
        </w:rPr>
        <w:commentReference w:id="76"/>
      </w:r>
      <w:r w:rsidR="001B6085">
        <w:t>. (Svenskerne) finds that the macro elasticity in Sweden is twice as large as the micro effect with a macro elasticity of 3 compared to a micro elasticity of 1.4-1.</w:t>
      </w:r>
      <w:r w:rsidR="005E6092">
        <w:t>5</w:t>
      </w:r>
      <w:r w:rsidR="001B6085">
        <w:t>.</w:t>
      </w:r>
    </w:p>
    <w:p w14:paraId="73A61DAD" w14:textId="77777777" w:rsidR="003E1DD6" w:rsidRDefault="00971A89" w:rsidP="00FD31E1">
      <w:r>
        <w:t xml:space="preserve">They argue that the main effect is </w:t>
      </w:r>
      <w:r w:rsidRPr="00025ACD">
        <w:t>that wage pressure rises following an increase in UI generosity</w:t>
      </w:r>
      <w:r>
        <w:t xml:space="preserve">. (Svenskerne) finds empirical evidence </w:t>
      </w:r>
      <w:r w:rsidRPr="00D023C1">
        <w:t xml:space="preserve">that wages rise as a result of increase in UI generosity. Overall, the elasticity of interest is in the order of </w:t>
      </w:r>
      <w:commentRangeStart w:id="77"/>
      <w:r w:rsidRPr="00D023C1">
        <w:t>0.2–0.3.</w:t>
      </w:r>
      <w:r>
        <w:t xml:space="preserve"> Comparing </w:t>
      </w:r>
      <w:commentRangeEnd w:id="77"/>
      <w:r>
        <w:rPr>
          <w:rStyle w:val="Kommentarhenvisning"/>
        </w:rPr>
        <w:commentReference w:id="77"/>
      </w:r>
      <w:r>
        <w:t xml:space="preserve">this to the results we get, we also conclude that it is the wage-channel leading the fall in employment. </w:t>
      </w:r>
    </w:p>
    <w:p w14:paraId="573B08FE" w14:textId="32CA2CAA" w:rsidR="001B6085" w:rsidRDefault="003E1DD6" w:rsidP="00FD31E1">
      <w:r>
        <w:lastRenderedPageBreak/>
        <w:t xml:space="preserve">The results of a wage increase presented by (Svenskerne) is that </w:t>
      </w:r>
      <w:commentRangeStart w:id="78"/>
      <w:r w:rsidR="00971A89" w:rsidRPr="00D023C1">
        <w:t>Firms respond by creating fewer jobs and, so, market tightness is reduced and unemployment increases – over and above the direct effect coming from reduced search incentives among unemployed workers.</w:t>
      </w:r>
      <w:commentRangeEnd w:id="78"/>
      <w:r w:rsidR="00971A89">
        <w:rPr>
          <w:rStyle w:val="Kommentarhenvisning"/>
        </w:rPr>
        <w:commentReference w:id="78"/>
      </w:r>
      <w:r>
        <w:t xml:space="preserve"> But they never show any evidence for this channel looking at the vacancies, another study looking at this effect is </w:t>
      </w:r>
      <w:r w:rsidRPr="00FD31E1">
        <w:t>Marinescu (2015)</w:t>
      </w:r>
      <w:r>
        <w:t xml:space="preserve"> finding no effect on </w:t>
      </w:r>
      <w:r>
        <w:t>vacancies</w:t>
      </w:r>
      <w:r>
        <w:t xml:space="preserve"> when making the income insurance program more generous. We use the post-Keynesian explanation of wages affecting the investments, consumption, and net trade balance. </w:t>
      </w:r>
    </w:p>
    <w:p w14:paraId="3BA3C98F" w14:textId="77777777" w:rsidR="003E1DD6" w:rsidRDefault="003E1DD6" w:rsidP="00FD31E1"/>
    <w:p w14:paraId="6B402355" w14:textId="77777777" w:rsidR="000F052E" w:rsidRDefault="000F052E" w:rsidP="00FD31E1"/>
    <w:p w14:paraId="2FEED374" w14:textId="77777777" w:rsidR="000F052E" w:rsidRPr="008C3542" w:rsidRDefault="000F052E" w:rsidP="00FD31E1"/>
    <w:p w14:paraId="0F88BC2B" w14:textId="77777777" w:rsidR="000C36D7" w:rsidRPr="000F680F" w:rsidRDefault="000C36D7" w:rsidP="00FD31E1"/>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3"/>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4"/>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r>
        <w:lastRenderedPageBreak/>
        <w:t>Wage_ds</w:t>
      </w:r>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5"/>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3"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1" w:author="Simon Fløj Thomsen" w:date="2022-10-19T12:08:00Z" w:initials="SFT">
    <w:p w14:paraId="4C135840" w14:textId="77777777" w:rsidR="000F680F" w:rsidRDefault="000F680F" w:rsidP="005059EC">
      <w:pPr>
        <w:pStyle w:val="Kommentartekst"/>
      </w:pPr>
      <w:r>
        <w:rPr>
          <w:rStyle w:val="Kommentarhenvisning"/>
        </w:rPr>
        <w:annotationRef/>
      </w:r>
      <w:r>
        <w:t>Jeg kommer vel uden om dette ved at bruge SFC-model?</w:t>
      </w:r>
    </w:p>
  </w:comment>
  <w:comment w:id="62"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3"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4"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5"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6"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7"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8"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9"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0"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1"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2"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3"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4"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5"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6" w:author="Simon Thomsen" w:date="2022-10-20T10:17:00Z" w:initials="ST">
    <w:p w14:paraId="3A981850" w14:textId="77777777" w:rsidR="001B6085" w:rsidRDefault="001B6085" w:rsidP="00AD7E70">
      <w:pPr>
        <w:pStyle w:val="Kommentartekst"/>
      </w:pPr>
      <w:r>
        <w:rPr>
          <w:rStyle w:val="Kommentarhenvisning"/>
        </w:rPr>
        <w:annotationRef/>
      </w:r>
      <w:r>
        <w:t xml:space="preserve">Tjek om hvor effekten er størst </w:t>
      </w:r>
    </w:p>
  </w:comment>
  <w:comment w:id="77" w:author="Simon Thomsen" w:date="2022-10-20T10:33:00Z" w:initials="ST">
    <w:p w14:paraId="4422B454" w14:textId="77777777" w:rsidR="00971A89" w:rsidRDefault="00971A89" w:rsidP="00537DEC">
      <w:pPr>
        <w:pStyle w:val="Kommentartekst"/>
      </w:pPr>
      <w:r>
        <w:rPr>
          <w:rStyle w:val="Kommentarhenvisning"/>
        </w:rPr>
        <w:annotationRef/>
      </w:r>
      <w:r>
        <w:t>Sammenling med min elasticitet, eventuelt sæt grænsen så den matcher nogenlunde</w:t>
      </w:r>
    </w:p>
  </w:comment>
  <w:comment w:id="78" w:author="Simon Thomsen" w:date="2022-10-20T09:03:00Z" w:initials="ST">
    <w:p w14:paraId="79B4CBDD" w14:textId="76E999E6" w:rsidR="00971A89" w:rsidRDefault="00971A89" w:rsidP="00971A89">
      <w:pPr>
        <w:pStyle w:val="Kommentartekst"/>
      </w:pPr>
      <w:r>
        <w:rPr>
          <w:rStyle w:val="Kommentarhenvisning"/>
        </w:rPr>
        <w:annotationRef/>
      </w:r>
      <w:r>
        <w:t>Brug nedenstående studie som bevis på denne effekt ikke er 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981850" w15:done="0"/>
  <w15:commentEx w15:paraId="4422B454" w15:done="0"/>
  <w15:commentEx w15:paraId="79B4CB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B9ED6" w16cex:dateUtc="2022-10-20T08:17:00Z"/>
  <w16cex:commentExtensible w16cex:durableId="26FBA28D" w16cex:dateUtc="2022-10-20T08:33:00Z"/>
  <w16cex:commentExtensible w16cex:durableId="26FBA161" w16cex:dateUtc="2022-10-20T0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981850" w16cid:durableId="26FB9ED6"/>
  <w16cid:commentId w16cid:paraId="4422B454" w16cid:durableId="26FBA28D"/>
  <w16cid:commentId w16cid:paraId="79B4CBDD" w16cid:durableId="26FBA1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185AA" w14:textId="77777777" w:rsidR="00395100" w:rsidRDefault="00395100" w:rsidP="005F6ED0">
      <w:pPr>
        <w:spacing w:after="0" w:line="240" w:lineRule="auto"/>
      </w:pPr>
      <w:r>
        <w:separator/>
      </w:r>
    </w:p>
  </w:endnote>
  <w:endnote w:type="continuationSeparator" w:id="0">
    <w:p w14:paraId="2D5080C7" w14:textId="77777777" w:rsidR="00395100" w:rsidRDefault="0039510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C174B" w14:textId="77777777" w:rsidR="00395100" w:rsidRDefault="00395100" w:rsidP="005F6ED0">
      <w:pPr>
        <w:spacing w:after="0" w:line="240" w:lineRule="auto"/>
      </w:pPr>
      <w:r>
        <w:separator/>
      </w:r>
    </w:p>
  </w:footnote>
  <w:footnote w:type="continuationSeparator" w:id="0">
    <w:p w14:paraId="2003F37E" w14:textId="77777777" w:rsidR="00395100" w:rsidRDefault="00395100"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5"/>
  </w:num>
  <w:num w:numId="2" w16cid:durableId="2054495687">
    <w:abstractNumId w:val="4"/>
  </w:num>
  <w:num w:numId="3" w16cid:durableId="1900314133">
    <w:abstractNumId w:val="6"/>
  </w:num>
  <w:num w:numId="4" w16cid:durableId="1603032411">
    <w:abstractNumId w:val="3"/>
  </w:num>
  <w:num w:numId="5" w16cid:durableId="639195482">
    <w:abstractNumId w:val="0"/>
  </w:num>
  <w:num w:numId="6" w16cid:durableId="2113814151">
    <w:abstractNumId w:val="2"/>
  </w:num>
  <w:num w:numId="7" w16cid:durableId="17579026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314F"/>
    <w:rsid w:val="003D4B98"/>
    <w:rsid w:val="003D574E"/>
    <w:rsid w:val="003E1DD6"/>
    <w:rsid w:val="003E28E7"/>
    <w:rsid w:val="003F066C"/>
    <w:rsid w:val="00421DBA"/>
    <w:rsid w:val="00425D00"/>
    <w:rsid w:val="004260CF"/>
    <w:rsid w:val="004341B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54445"/>
    <w:rsid w:val="00856060"/>
    <w:rsid w:val="00862CC3"/>
    <w:rsid w:val="00863342"/>
    <w:rsid w:val="008639FA"/>
    <w:rsid w:val="00863BC8"/>
    <w:rsid w:val="008757A6"/>
    <w:rsid w:val="00877DE3"/>
    <w:rsid w:val="00881864"/>
    <w:rsid w:val="0088294C"/>
    <w:rsid w:val="00884655"/>
    <w:rsid w:val="00887198"/>
    <w:rsid w:val="008942B0"/>
    <w:rsid w:val="0089435C"/>
    <w:rsid w:val="008A0CA9"/>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59</Pages>
  <Words>12241</Words>
  <Characters>69775</Characters>
  <Application>Microsoft Office Word</Application>
  <DocSecurity>0</DocSecurity>
  <Lines>581</Lines>
  <Paragraphs>163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19</cp:revision>
  <dcterms:created xsi:type="dcterms:W3CDTF">2022-10-14T07:54:00Z</dcterms:created>
  <dcterms:modified xsi:type="dcterms:W3CDTF">2022-10-20T10:34:00Z</dcterms:modified>
</cp:coreProperties>
</file>