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65EE28C7"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62FE25A4"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 xml:space="preserve">to the main view of obtaining disutility from work, thereby making income associated with work the only factor when choosing to go into employment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490AD0D5"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D058B9">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239E50C2"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proofErr w:type="gramStart"/>
      <w:r w:rsidR="005423B4" w:rsidRPr="00AB3D2F">
        <w:rPr>
          <w:sz w:val="24"/>
          <w:szCs w:val="24"/>
        </w:rPr>
        <w:t>changes</w:t>
      </w:r>
      <w:proofErr w:type="gramEnd"/>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56052FDA"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0BC4E2FB"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if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in the start of the unemployment period</w:t>
      </w:r>
      <w:r>
        <w:rPr>
          <w:sz w:val="24"/>
          <w:szCs w:val="24"/>
        </w:rPr>
        <w:t xml:space="preserve"> as argued by </w:t>
      </w:r>
      <w:r>
        <w:rPr>
          <w:sz w:val="24"/>
          <w:szCs w:val="24"/>
        </w:rPr>
        <w:fldChar w:fldCharType="begin" w:fldLock="1"/>
      </w:r>
      <w:r>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8"/>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8"/>
      <w:r w:rsidR="00F30E7B" w:rsidRPr="00AB3D2F">
        <w:rPr>
          <w:rStyle w:val="Kommentarhenvisning"/>
          <w:sz w:val="24"/>
          <w:szCs w:val="24"/>
        </w:rPr>
        <w:commentReference w:id="8"/>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4F7E8361" w:rsidR="003205F7" w:rsidRPr="00AB3D2F" w:rsidRDefault="003205F7" w:rsidP="006342B2">
      <w:pPr>
        <w:spacing w:line="360" w:lineRule="auto"/>
        <w:rPr>
          <w:rFonts w:cstheme="minorHAnsi"/>
          <w:sz w:val="24"/>
          <w:szCs w:val="24"/>
        </w:rPr>
      </w:pPr>
      <w:commentRangeStart w:id="10"/>
      <w:commentRangeStart w:id="11"/>
      <w:commentRangeStart w:id="12"/>
      <w:commentRangeStart w:id="13"/>
      <w:r w:rsidRPr="00AB3D2F">
        <w:rPr>
          <w:rFonts w:cstheme="minorHAnsi"/>
          <w:sz w:val="24"/>
          <w:szCs w:val="24"/>
        </w:rPr>
        <w:t xml:space="preserve">One of the central aspects of this paper is to find the effect of income insurance on unemployment, </w:t>
      </w:r>
      <w:r w:rsidR="00933BEF">
        <w:rPr>
          <w:rFonts w:cstheme="minorHAnsi"/>
          <w:sz w:val="24"/>
          <w:szCs w:val="24"/>
        </w:rPr>
        <w:t>in the model</w:t>
      </w:r>
      <w:r w:rsidRPr="00AB3D2F">
        <w:rPr>
          <w:rFonts w:cstheme="minorHAnsi"/>
          <w:sz w:val="24"/>
          <w:szCs w:val="24"/>
        </w:rPr>
        <w:t xml:space="preserve"> unemployment </w:t>
      </w:r>
      <w:r w:rsidR="00933BEF">
        <w:rPr>
          <w:rFonts w:cstheme="minorHAnsi"/>
          <w:sz w:val="24"/>
          <w:szCs w:val="24"/>
        </w:rPr>
        <w:t>is defined as</w:t>
      </w:r>
      <w:r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79BE8D1"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6A97242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lastRenderedPageBreak/>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BB0046">
      <w:pPr>
        <w:spacing w:line="360" w:lineRule="auto"/>
        <w:rPr>
          <w:rFonts w:cstheme="minorHAnsi"/>
          <w:sz w:val="24"/>
          <w:szCs w:val="24"/>
        </w:rPr>
      </w:pPr>
      <w:r w:rsidRPr="00AB3D2F">
        <w:rPr>
          <w:rFonts w:cstheme="minorHAnsi"/>
          <w:sz w:val="24"/>
          <w:szCs w:val="24"/>
        </w:rPr>
        <w:t xml:space="preserve">In appendix we have included a </w:t>
      </w:r>
      <w:commentRangeStart w:id="14"/>
      <w:r w:rsidRPr="00AB3D2F">
        <w:rPr>
          <w:rFonts w:cstheme="minorHAnsi"/>
          <w:sz w:val="24"/>
          <w:szCs w:val="24"/>
        </w:rPr>
        <w:t xml:space="preserve">DAG </w:t>
      </w:r>
      <w:commentRangeEnd w:id="14"/>
      <w:r w:rsidR="00BB0046">
        <w:rPr>
          <w:rStyle w:val="Kommentarhenvisning"/>
        </w:rPr>
        <w:commentReference w:id="14"/>
      </w:r>
      <w:r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10"/>
      <w:r w:rsidR="00044DFB" w:rsidRPr="00AB3D2F">
        <w:rPr>
          <w:rStyle w:val="Kommentarhenvisning"/>
          <w:rFonts w:cstheme="minorHAnsi"/>
          <w:sz w:val="24"/>
          <w:szCs w:val="24"/>
        </w:rPr>
        <w:commentReference w:id="10"/>
      </w:r>
      <w:commentRangeEnd w:id="11"/>
      <w:r w:rsidR="00251655">
        <w:rPr>
          <w:rStyle w:val="Kommentarhenvisning"/>
        </w:rPr>
        <w:commentReference w:id="11"/>
      </w:r>
      <w:commentRangeEnd w:id="12"/>
      <w:r w:rsidR="00933BEF">
        <w:rPr>
          <w:rStyle w:val="Kommentarhenvisning"/>
        </w:rPr>
        <w:commentReference w:id="12"/>
      </w:r>
      <w:commentRangeEnd w:id="13"/>
      <w:r w:rsidR="00904699">
        <w:rPr>
          <w:rStyle w:val="Kommentarhenvisning"/>
        </w:rPr>
        <w:commentReference w:id="13"/>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5"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5"/>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w:t>
      </w:r>
      <w:r w:rsidRPr="00AB3D2F">
        <w:rPr>
          <w:rFonts w:cstheme="minorHAnsi"/>
          <w:sz w:val="24"/>
          <w:szCs w:val="24"/>
        </w:rPr>
        <w:lastRenderedPageBreak/>
        <w:t xml:space="preserve">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6"/>
      <w:r w:rsidRPr="00AB3D2F">
        <w:rPr>
          <w:rFonts w:cstheme="minorHAnsi"/>
          <w:sz w:val="24"/>
          <w:szCs w:val="24"/>
        </w:rPr>
        <w:t>less</w:t>
      </w:r>
      <w:commentRangeEnd w:id="16"/>
      <w:r w:rsidRPr="00AB3D2F">
        <w:rPr>
          <w:rStyle w:val="Kommentarhenvisning"/>
          <w:rFonts w:cstheme="minorHAnsi"/>
          <w:sz w:val="24"/>
          <w:szCs w:val="24"/>
        </w:rPr>
        <w:commentReference w:id="16"/>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7"/>
      <w:r w:rsidRPr="00AB3D2F">
        <w:rPr>
          <w:rFonts w:cstheme="minorHAnsi"/>
          <w:sz w:val="24"/>
          <w:szCs w:val="24"/>
        </w:rPr>
        <w:t>insurance rate</w:t>
      </w:r>
      <w:r w:rsidR="007A68BD" w:rsidRPr="00AB3D2F">
        <w:rPr>
          <w:rFonts w:cstheme="minorHAnsi"/>
          <w:sz w:val="24"/>
          <w:szCs w:val="24"/>
        </w:rPr>
        <w:t xml:space="preserve"> </w:t>
      </w:r>
      <w:commentRangeEnd w:id="17"/>
      <w:r w:rsidR="007A68BD" w:rsidRPr="00AB3D2F">
        <w:rPr>
          <w:rStyle w:val="Kommentarhenvisning"/>
          <w:rFonts w:cstheme="minorHAnsi"/>
          <w:sz w:val="24"/>
          <w:szCs w:val="24"/>
        </w:rPr>
        <w:commentReference w:id="17"/>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xml:space="preserve">, this summarizes the demand channel created in the </w:t>
      </w:r>
      <w:r w:rsidR="000C24CF" w:rsidRPr="00AB3D2F">
        <w:rPr>
          <w:rFonts w:cstheme="minorHAnsi"/>
          <w:sz w:val="24"/>
          <w:szCs w:val="24"/>
        </w:rPr>
        <w:lastRenderedPageBreak/>
        <w:t>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8"/>
      <w:r w:rsidRPr="00AB3D2F">
        <w:rPr>
          <w:rFonts w:cstheme="minorHAnsi"/>
          <w:sz w:val="24"/>
          <w:szCs w:val="24"/>
        </w:rPr>
        <w:t xml:space="preserve">government net lending. </w:t>
      </w:r>
      <w:commentRangeEnd w:id="18"/>
      <w:r w:rsidR="00C57F78" w:rsidRPr="00AB3D2F">
        <w:rPr>
          <w:rStyle w:val="Kommentarhenvisning"/>
          <w:rFonts w:cstheme="minorHAnsi"/>
          <w:sz w:val="24"/>
          <w:szCs w:val="24"/>
        </w:rPr>
        <w:commentReference w:id="18"/>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9"/>
      <w:r w:rsidR="007D0CB8" w:rsidRPr="00AC0541">
        <w:rPr>
          <w:sz w:val="24"/>
          <w:szCs w:val="24"/>
        </w:rPr>
        <w:t>insurance</w:t>
      </w:r>
      <w:commentRangeEnd w:id="19"/>
      <w:r w:rsidR="00172AD0" w:rsidRPr="00AC0541">
        <w:rPr>
          <w:rStyle w:val="Kommentarhenvisning"/>
          <w:sz w:val="24"/>
          <w:szCs w:val="24"/>
        </w:rPr>
        <w:commentReference w:id="19"/>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20"/>
      <w:commentRangeStart w:id="21"/>
      <w:r w:rsidR="00410595" w:rsidRPr="00AC0541">
        <w:rPr>
          <w:sz w:val="24"/>
          <w:szCs w:val="24"/>
        </w:rPr>
        <w:t xml:space="preserve">appendix </w:t>
      </w:r>
      <w:commentRangeEnd w:id="20"/>
      <w:r w:rsidR="00410595" w:rsidRPr="00AC0541">
        <w:rPr>
          <w:rStyle w:val="Kommentarhenvisning"/>
          <w:sz w:val="24"/>
          <w:szCs w:val="24"/>
        </w:rPr>
        <w:commentReference w:id="20"/>
      </w:r>
      <w:commentRangeEnd w:id="21"/>
      <w:r w:rsidR="00C04157" w:rsidRPr="00AC0541">
        <w:rPr>
          <w:rStyle w:val="Kommentarhenvisning"/>
          <w:sz w:val="24"/>
          <w:szCs w:val="24"/>
        </w:rPr>
        <w:commentReference w:id="2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22"/>
      <w:r w:rsidR="001A7BAE" w:rsidRPr="00AC0541">
        <w:rPr>
          <w:sz w:val="24"/>
          <w:szCs w:val="24"/>
        </w:rPr>
        <w:t>wages</w:t>
      </w:r>
      <w:commentRangeEnd w:id="22"/>
      <w:r w:rsidR="00BF11E0" w:rsidRPr="00AC0541">
        <w:rPr>
          <w:rStyle w:val="Kommentarhenvisning"/>
          <w:sz w:val="24"/>
          <w:szCs w:val="24"/>
        </w:rPr>
        <w:commentReference w:id="2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23"/>
      <w:commentRangeStart w:id="2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23"/>
      <w:r w:rsidR="00D74D8E" w:rsidRPr="00AC0541">
        <w:rPr>
          <w:rStyle w:val="Kommentarhenvisning"/>
          <w:sz w:val="24"/>
          <w:szCs w:val="24"/>
        </w:rPr>
        <w:commentReference w:id="23"/>
      </w:r>
      <w:commentRangeEnd w:id="24"/>
      <w:r w:rsidR="009705F4" w:rsidRPr="00AC0541">
        <w:rPr>
          <w:rStyle w:val="Kommentarhenvisning"/>
          <w:sz w:val="24"/>
          <w:szCs w:val="24"/>
        </w:rPr>
        <w:commentReference w:id="24"/>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5"/>
      <w:commentRangeStart w:id="2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5"/>
      <w:commentRangeEnd w:id="26"/>
      <w:r w:rsidR="00D74D8E" w:rsidRPr="00AC0541">
        <w:rPr>
          <w:rStyle w:val="Kommentarhenvisning"/>
          <w:sz w:val="24"/>
          <w:szCs w:val="24"/>
        </w:rPr>
        <w:lastRenderedPageBreak/>
        <w:commentReference w:id="25"/>
      </w:r>
      <w:r w:rsidR="0075087B" w:rsidRPr="00AC0541">
        <w:rPr>
          <w:rStyle w:val="Kommentarhenvisning"/>
          <w:sz w:val="24"/>
          <w:szCs w:val="24"/>
        </w:rPr>
        <w:commentReference w:id="2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7"/>
      <w:r w:rsidR="003856B0" w:rsidRPr="00AC0541">
        <w:rPr>
          <w:sz w:val="24"/>
          <w:szCs w:val="24"/>
        </w:rPr>
        <w:t>2020</w:t>
      </w:r>
      <w:r w:rsidR="008E3678">
        <w:rPr>
          <w:sz w:val="24"/>
          <w:szCs w:val="24"/>
        </w:rPr>
        <w:t xml:space="preserve">. </w:t>
      </w:r>
      <w:commentRangeEnd w:id="27"/>
      <w:r w:rsidR="008E3678">
        <w:rPr>
          <w:rStyle w:val="Kommentarhenvisning"/>
        </w:rPr>
        <w:commentReference w:id="27"/>
      </w:r>
      <w:r w:rsidR="008E3678">
        <w:rPr>
          <w:sz w:val="24"/>
          <w:szCs w:val="24"/>
        </w:rPr>
        <w:t xml:space="preserve"> </w:t>
      </w:r>
      <w:commentRangeStart w:id="28"/>
      <w:commentRangeStart w:id="29"/>
      <w:commentRangeStart w:id="3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8"/>
      <w:r w:rsidR="00D74D8E" w:rsidRPr="00AC0541">
        <w:rPr>
          <w:rStyle w:val="Kommentarhenvisning"/>
          <w:sz w:val="24"/>
          <w:szCs w:val="24"/>
        </w:rPr>
        <w:commentReference w:id="28"/>
      </w:r>
      <w:commentRangeEnd w:id="29"/>
      <w:r w:rsidR="008E3678">
        <w:rPr>
          <w:rStyle w:val="Kommentarhenvisning"/>
        </w:rPr>
        <w:commentReference w:id="29"/>
      </w:r>
      <w:commentRangeEnd w:id="30"/>
      <w:r w:rsidR="00904699">
        <w:rPr>
          <w:rStyle w:val="Kommentarhenvisning"/>
        </w:rPr>
        <w:commentReference w:id="3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31"/>
      <w:r w:rsidRPr="00AC0541">
        <w:rPr>
          <w:sz w:val="24"/>
          <w:szCs w:val="24"/>
        </w:rPr>
        <w:t>program</w:t>
      </w:r>
      <w:commentRangeEnd w:id="31"/>
      <w:r w:rsidR="00A63068" w:rsidRPr="00AC0541">
        <w:rPr>
          <w:rStyle w:val="Kommentarhenvisning"/>
          <w:sz w:val="24"/>
          <w:szCs w:val="24"/>
        </w:rPr>
        <w:commentReference w:id="3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32"/>
      <w:r w:rsidR="00DC2C78" w:rsidRPr="00AC0541">
        <w:rPr>
          <w:sz w:val="24"/>
          <w:szCs w:val="24"/>
        </w:rPr>
        <w:t xml:space="preserve">unemployed. </w:t>
      </w:r>
      <w:commentRangeEnd w:id="32"/>
      <w:r w:rsidR="00F5378C" w:rsidRPr="00AC0541">
        <w:rPr>
          <w:rStyle w:val="Kommentarhenvisning"/>
          <w:sz w:val="24"/>
          <w:szCs w:val="24"/>
        </w:rPr>
        <w:commentReference w:id="3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3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33"/>
      <w:r w:rsidR="00EB209C" w:rsidRPr="00AC0541">
        <w:rPr>
          <w:rStyle w:val="Kommentarhenvisning"/>
          <w:sz w:val="24"/>
          <w:szCs w:val="24"/>
        </w:rPr>
        <w:commentReference w:id="3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4"/>
      <w:commentRangeStart w:id="35"/>
      <w:commentRangeStart w:id="36"/>
      <w:commentRangeStart w:id="37"/>
      <w:r w:rsidRPr="00AC0541">
        <w:rPr>
          <w:sz w:val="24"/>
          <w:szCs w:val="24"/>
        </w:rPr>
        <w:t xml:space="preserve">approximately 150 </w:t>
      </w:r>
      <w:commentRangeEnd w:id="34"/>
      <w:r w:rsidR="00A36179" w:rsidRPr="00AC0541">
        <w:rPr>
          <w:rStyle w:val="Kommentarhenvisning"/>
          <w:sz w:val="24"/>
          <w:szCs w:val="24"/>
        </w:rPr>
        <w:commentReference w:id="34"/>
      </w:r>
      <w:commentRangeEnd w:id="35"/>
      <w:r w:rsidR="00617DDD">
        <w:rPr>
          <w:rStyle w:val="Kommentarhenvisning"/>
        </w:rPr>
        <w:commentReference w:id="35"/>
      </w:r>
      <w:commentRangeEnd w:id="36"/>
      <w:r w:rsidR="00724E4C">
        <w:rPr>
          <w:rStyle w:val="Kommentarhenvisning"/>
        </w:rPr>
        <w:commentReference w:id="36"/>
      </w:r>
      <w:commentRangeEnd w:id="37"/>
      <w:r w:rsidR="009042A8">
        <w:rPr>
          <w:rStyle w:val="Kommentarhenvisning"/>
        </w:rPr>
        <w:commentReference w:id="37"/>
      </w:r>
      <w:r w:rsidRPr="00AC0541">
        <w:rPr>
          <w:sz w:val="24"/>
          <w:szCs w:val="24"/>
        </w:rPr>
        <w:t xml:space="preserve">people in this scenario.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8"/>
      <w:r w:rsidRPr="00AC0541">
        <w:rPr>
          <w:sz w:val="24"/>
          <w:szCs w:val="24"/>
        </w:rPr>
        <w:t xml:space="preserve">s.  </w:t>
      </w:r>
      <w:commentRangeEnd w:id="38"/>
      <w:r w:rsidR="00C63AC0" w:rsidRPr="00AC0541">
        <w:rPr>
          <w:rStyle w:val="Kommentarhenvisning"/>
          <w:sz w:val="24"/>
          <w:szCs w:val="24"/>
        </w:rPr>
        <w:commentReference w:id="38"/>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A7671E2"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E65BE3">
        <w:rPr>
          <w:sz w:val="24"/>
          <w:szCs w:val="24"/>
        </w:rPr>
        <w:t>, as stated in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w:t>
      </w:r>
      <w:commentRangeStart w:id="39"/>
      <w:commentRangeStart w:id="40"/>
      <w:commentRangeStart w:id="41"/>
      <w:commentRangeStart w:id="42"/>
      <w:r w:rsidR="006B378A" w:rsidRPr="00AC0541">
        <w:rPr>
          <w:sz w:val="24"/>
          <w:szCs w:val="24"/>
        </w:rPr>
        <w:t>employment</w:t>
      </w:r>
      <w:commentRangeEnd w:id="39"/>
      <w:r w:rsidR="00B9751B" w:rsidRPr="00AC0541">
        <w:rPr>
          <w:rStyle w:val="Kommentarhenvisning"/>
          <w:sz w:val="24"/>
          <w:szCs w:val="24"/>
        </w:rPr>
        <w:commentReference w:id="39"/>
      </w:r>
      <w:commentRangeEnd w:id="40"/>
      <w:r w:rsidR="00C3353B" w:rsidRPr="00AC0541">
        <w:rPr>
          <w:rStyle w:val="Kommentarhenvisning"/>
          <w:sz w:val="24"/>
          <w:szCs w:val="24"/>
        </w:rPr>
        <w:commentReference w:id="40"/>
      </w:r>
      <w:commentRangeEnd w:id="41"/>
      <w:r w:rsidR="00AD4320" w:rsidRPr="00AC0541">
        <w:rPr>
          <w:rStyle w:val="Kommentarhenvisning"/>
          <w:sz w:val="24"/>
          <w:szCs w:val="24"/>
        </w:rPr>
        <w:commentReference w:id="41"/>
      </w:r>
      <w:commentRangeEnd w:id="42"/>
      <w:r w:rsidR="00724E4C">
        <w:rPr>
          <w:rStyle w:val="Kommentarhenvisning"/>
        </w:rPr>
        <w:commentReference w:id="42"/>
      </w:r>
      <w:r w:rsidR="006B378A" w:rsidRPr="00AC0541">
        <w:rPr>
          <w:sz w:val="24"/>
          <w:szCs w:val="24"/>
        </w:rPr>
        <w:t xml:space="preserve">.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43"/>
      <w:r w:rsidR="006B51E7" w:rsidRPr="00A32739">
        <w:rPr>
          <w:sz w:val="24"/>
          <w:szCs w:val="24"/>
        </w:rPr>
        <w:t>23.000</w:t>
      </w:r>
      <w:commentRangeEnd w:id="43"/>
      <w:r w:rsidR="00A32739" w:rsidRPr="00A32739">
        <w:rPr>
          <w:rStyle w:val="Kommentarhenvisning"/>
          <w:sz w:val="24"/>
          <w:szCs w:val="24"/>
        </w:rPr>
        <w:commentReference w:id="43"/>
      </w:r>
      <w:r w:rsidR="00A32739" w:rsidRPr="00A32739">
        <w:rPr>
          <w:sz w:val="24"/>
          <w:szCs w:val="24"/>
        </w:rPr>
        <w:t xml:space="preserve">, </w:t>
      </w:r>
      <w:commentRangeStart w:id="44"/>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44"/>
      <w:r w:rsidR="00A32739" w:rsidRPr="00A32739">
        <w:rPr>
          <w:rStyle w:val="Kommentarhenvisning"/>
          <w:sz w:val="24"/>
          <w:szCs w:val="24"/>
        </w:rPr>
        <w:commentReference w:id="44"/>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5"/>
      <w:commentRangeStart w:id="46"/>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5"/>
      <w:r w:rsidR="00F73F7D">
        <w:rPr>
          <w:rStyle w:val="Kommentarhenvisning"/>
        </w:rPr>
        <w:commentReference w:id="45"/>
      </w:r>
      <w:commentRangeEnd w:id="46"/>
      <w:r w:rsidR="00A54F38">
        <w:rPr>
          <w:rStyle w:val="Kommentarhenvisning"/>
        </w:rPr>
        <w:commentReference w:id="46"/>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47"/>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47"/>
      <w:r w:rsidR="00812DCC">
        <w:rPr>
          <w:rStyle w:val="Kommentarhenvisning"/>
        </w:rPr>
        <w:commentReference w:id="47"/>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695030C3"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The</w:t>
      </w:r>
      <w:r w:rsidR="00812DCC">
        <w:rPr>
          <w:sz w:val="24"/>
          <w:szCs w:val="24"/>
        </w:rPr>
        <w:t xml:space="preserve">y </w:t>
      </w:r>
      <w:r w:rsidR="00812DCC">
        <w:rPr>
          <w:sz w:val="24"/>
          <w:szCs w:val="24"/>
        </w:rPr>
        <w:lastRenderedPageBreak/>
        <w:t>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commentRangeStart w:id="48"/>
      <w:r>
        <w:rPr>
          <w:sz w:val="24"/>
          <w:szCs w:val="24"/>
        </w:rPr>
        <w:t>Comparing</w:t>
      </w:r>
      <w:commentRangeEnd w:id="48"/>
      <w:r w:rsidR="008417CA">
        <w:rPr>
          <w:rStyle w:val="Kommentarhenvisning"/>
        </w:rPr>
        <w:commentReference w:id="48"/>
      </w:r>
      <w:r>
        <w:rPr>
          <w:sz w:val="24"/>
          <w:szCs w:val="24"/>
        </w:rPr>
        <w:t xml:space="preserve">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49"/>
      <w:r w:rsidR="009705F4">
        <w:rPr>
          <w:sz w:val="24"/>
          <w:szCs w:val="24"/>
        </w:rPr>
        <w:t>0.3</w:t>
      </w:r>
      <w:commentRangeEnd w:id="49"/>
      <w:r w:rsidR="009705F4">
        <w:rPr>
          <w:rStyle w:val="Kommentarhenvisning"/>
        </w:rPr>
        <w:commentReference w:id="49"/>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which is also the case in our model</w:t>
      </w:r>
      <w:r w:rsidR="005A1A86" w:rsidRPr="003642BF">
        <w:rPr>
          <w:sz w:val="24"/>
          <w:szCs w:val="24"/>
        </w:rPr>
        <w:t xml:space="preserve">. </w:t>
      </w:r>
    </w:p>
    <w:p w14:paraId="65DA70AA" w14:textId="68F2162C"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 xml:space="preserve">. </w:t>
      </w:r>
      <w:commentRangeStart w:id="50"/>
      <w:commentRangeStart w:id="51"/>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50"/>
      <w:r w:rsidR="008417CA">
        <w:rPr>
          <w:rStyle w:val="Kommentarhenvisning"/>
        </w:rPr>
        <w:commentReference w:id="50"/>
      </w:r>
      <w:commentRangeEnd w:id="51"/>
      <w:r w:rsidR="00C053D9">
        <w:rPr>
          <w:rStyle w:val="Kommentarhenvisning"/>
        </w:rPr>
        <w:commentReference w:id="51"/>
      </w:r>
      <w:r w:rsidR="005A1A86">
        <w:rPr>
          <w:sz w:val="24"/>
          <w:szCs w:val="24"/>
        </w:rPr>
        <w:t xml:space="preserve">. </w:t>
      </w:r>
      <w:commentRangeStart w:id="52"/>
      <w:commentRangeStart w:id="53"/>
      <w:commentRangeStart w:id="54"/>
      <w:r w:rsidR="00EB0F0A">
        <w:rPr>
          <w:sz w:val="24"/>
          <w:szCs w:val="24"/>
        </w:rPr>
        <w:t xml:space="preserve">In </w:t>
      </w:r>
      <w:r w:rsidR="00082FF3">
        <w:rPr>
          <w:sz w:val="24"/>
          <w:szCs w:val="24"/>
        </w:rPr>
        <w:t xml:space="preserve">the </w:t>
      </w:r>
      <w:r w:rsidR="00EB0F0A">
        <w:rPr>
          <w:sz w:val="24"/>
          <w:szCs w:val="24"/>
        </w:rPr>
        <w:t>appendix we perform a se</w:t>
      </w:r>
      <w:r w:rsidR="00082FF3">
        <w:rPr>
          <w:sz w:val="24"/>
          <w:szCs w:val="24"/>
        </w:rPr>
        <w:t xml:space="preserve">nsitivity analysis finding that we should see very large changes to the important estimates in the consumption, investment, export and import functions to change the conclusion of Denmark being profit-led. </w:t>
      </w:r>
      <w:commentRangeEnd w:id="52"/>
      <w:r w:rsidR="00082FF3">
        <w:rPr>
          <w:rStyle w:val="Kommentarhenvisning"/>
        </w:rPr>
        <w:commentReference w:id="52"/>
      </w:r>
      <w:commentRangeEnd w:id="53"/>
      <w:r w:rsidR="00D00185">
        <w:rPr>
          <w:rStyle w:val="Kommentarhenvisning"/>
        </w:rPr>
        <w:commentReference w:id="53"/>
      </w:r>
      <w:commentRangeEnd w:id="54"/>
      <w:r w:rsidR="006C3F78">
        <w:rPr>
          <w:rStyle w:val="Kommentarhenvisning"/>
        </w:rPr>
        <w:commentReference w:id="54"/>
      </w:r>
    </w:p>
    <w:p w14:paraId="771C16CC" w14:textId="4820D47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w:t>
      </w:r>
      <w:r w:rsidR="00BB0FA4" w:rsidRPr="00847BCD">
        <w:rPr>
          <w:sz w:val="24"/>
          <w:szCs w:val="24"/>
        </w:rPr>
        <w:lastRenderedPageBreak/>
        <w:t xml:space="preserve">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19AC8EDB" w:rsidR="00F34ED7" w:rsidRDefault="00F34ED7" w:rsidP="00847BCD">
      <w:pPr>
        <w:spacing w:line="360" w:lineRule="auto"/>
        <w:rPr>
          <w:sz w:val="24"/>
          <w:szCs w:val="24"/>
        </w:rPr>
      </w:pPr>
      <w:r>
        <w:rPr>
          <w:sz w:val="24"/>
          <w:szCs w:val="24"/>
        </w:rPr>
        <w:t>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w:t>
      </w:r>
      <w:r w:rsidR="008417CA">
        <w:rPr>
          <w:sz w:val="24"/>
          <w:szCs w:val="24"/>
        </w:rPr>
        <w:t xml:space="preserve"> (estimated below)</w:t>
      </w:r>
      <w:r>
        <w:rPr>
          <w:sz w:val="24"/>
          <w:szCs w:val="24"/>
        </w:rPr>
        <w:t xml:space="preserv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55"/>
      <w:commentRangeStart w:id="56"/>
      <w:commentRangeStart w:id="57"/>
      <w:r w:rsidR="00FE593F">
        <w:rPr>
          <w:sz w:val="24"/>
          <w:szCs w:val="24"/>
        </w:rPr>
        <w:t>channel</w:t>
      </w:r>
      <w:r>
        <w:rPr>
          <w:sz w:val="24"/>
          <w:szCs w:val="24"/>
        </w:rPr>
        <w:t xml:space="preserve">.  </w:t>
      </w:r>
      <w:commentRangeEnd w:id="55"/>
      <w:r w:rsidR="00FE593F">
        <w:rPr>
          <w:rStyle w:val="Kommentarhenvisning"/>
        </w:rPr>
        <w:commentReference w:id="55"/>
      </w:r>
      <w:commentRangeEnd w:id="56"/>
      <w:r w:rsidR="006C3F78">
        <w:rPr>
          <w:rStyle w:val="Kommentarhenvisning"/>
        </w:rPr>
        <w:commentReference w:id="56"/>
      </w:r>
      <w:commentRangeEnd w:id="57"/>
      <w:r w:rsidR="00533E84">
        <w:rPr>
          <w:rStyle w:val="Kommentarhenvisning"/>
        </w:rPr>
        <w:commentReference w:id="57"/>
      </w:r>
    </w:p>
    <w:p w14:paraId="122AAF47" w14:textId="4FDC099C" w:rsidR="002A3975" w:rsidRPr="00C44380" w:rsidRDefault="002A3975" w:rsidP="00847BCD">
      <w:pPr>
        <w:spacing w:line="360" w:lineRule="auto"/>
        <w:rPr>
          <w:sz w:val="24"/>
          <w:szCs w:val="24"/>
        </w:rPr>
      </w:pPr>
      <w:r w:rsidRPr="00C44380">
        <w:rPr>
          <w:sz w:val="24"/>
          <w:szCs w:val="24"/>
        </w:rPr>
        <w:t>The micro elasticity for Denmark is estimated using</w:t>
      </w:r>
      <w:r w:rsidR="00D00185">
        <w:rPr>
          <w:sz w:val="24"/>
          <w:szCs w:val="24"/>
        </w:rPr>
        <w:t xml:space="preserve"> calculations done by the ministry of employment who use</w:t>
      </w:r>
      <w:r w:rsidRPr="00C44380">
        <w:rPr>
          <w:sz w:val="24"/>
          <w:szCs w:val="24"/>
        </w:rPr>
        <w:t xml:space="preserve"> the </w:t>
      </w:r>
      <w:r w:rsidR="00D00185">
        <w:rPr>
          <w:sz w:val="24"/>
          <w:szCs w:val="24"/>
        </w:rPr>
        <w:t>income insurance model</w:t>
      </w:r>
      <w:r w:rsidRPr="00C44380">
        <w:rPr>
          <w:sz w:val="24"/>
          <w:szCs w:val="24"/>
        </w:rPr>
        <w:t>,</w:t>
      </w:r>
      <w:r w:rsidR="00D00185">
        <w:rPr>
          <w:sz w:val="24"/>
          <w:szCs w:val="24"/>
        </w:rPr>
        <w:t xml:space="preserve"> in 2020</w:t>
      </w:r>
      <w:r w:rsidRPr="00C44380">
        <w:rPr>
          <w:sz w:val="24"/>
          <w:szCs w:val="24"/>
        </w:rPr>
        <w:t xml:space="preserve"> the ministry received a question for calculating the effects of removing the suppressing of the rate regulation rate in the period of </w:t>
      </w:r>
      <w:commentRangeStart w:id="58"/>
      <w:r w:rsidRPr="00C44380">
        <w:rPr>
          <w:sz w:val="24"/>
          <w:szCs w:val="24"/>
        </w:rPr>
        <w:t>2021-2023</w:t>
      </w:r>
      <w:commentRangeEnd w:id="58"/>
      <w:r w:rsidR="009111C1">
        <w:rPr>
          <w:rStyle w:val="Kommentarhenvisning"/>
        </w:rPr>
        <w:commentReference w:id="58"/>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9"/>
      <w:r w:rsidRPr="00C44380">
        <w:rPr>
          <w:sz w:val="24"/>
          <w:szCs w:val="24"/>
        </w:rPr>
        <w:t>people</w:t>
      </w:r>
      <w:commentRangeEnd w:id="59"/>
      <w:r w:rsidR="00FE593F">
        <w:rPr>
          <w:rStyle w:val="Kommentarhenvisning"/>
        </w:rPr>
        <w:commentReference w:id="59"/>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60"/>
      <w:r w:rsidR="00196AC9">
        <w:rPr>
          <w:sz w:val="24"/>
          <w:szCs w:val="24"/>
        </w:rPr>
        <w:t>nsurance</w:t>
      </w:r>
      <w:commentRangeEnd w:id="60"/>
      <w:r w:rsidR="00196AC9">
        <w:rPr>
          <w:rStyle w:val="Kommentarhenvisning"/>
        </w:rPr>
        <w:commentReference w:id="60"/>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lastRenderedPageBreak/>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61"/>
      <w:commentRangeStart w:id="62"/>
      <w:r w:rsidR="00305EB0" w:rsidRPr="00C44380">
        <w:rPr>
          <w:sz w:val="24"/>
          <w:szCs w:val="24"/>
        </w:rPr>
        <w:t>0.</w:t>
      </w:r>
      <w:r w:rsidR="00E334EE">
        <w:rPr>
          <w:sz w:val="24"/>
          <w:szCs w:val="24"/>
        </w:rPr>
        <w:t>3</w:t>
      </w:r>
      <w:r w:rsidR="00305EB0" w:rsidRPr="00C44380">
        <w:rPr>
          <w:sz w:val="24"/>
          <w:szCs w:val="24"/>
        </w:rPr>
        <w:t>5-0.</w:t>
      </w:r>
      <w:commentRangeEnd w:id="61"/>
      <w:r w:rsidR="00E334EE">
        <w:rPr>
          <w:sz w:val="24"/>
          <w:szCs w:val="24"/>
        </w:rPr>
        <w:t>4</w:t>
      </w:r>
      <w:r w:rsidR="00BF3FA4" w:rsidRPr="00C44380">
        <w:rPr>
          <w:rStyle w:val="Kommentarhenvisning"/>
        </w:rPr>
        <w:commentReference w:id="61"/>
      </w:r>
      <w:commentRangeEnd w:id="62"/>
      <w:r w:rsidR="00BF3FA4" w:rsidRPr="00C44380">
        <w:rPr>
          <w:rStyle w:val="Kommentarhenvisning"/>
        </w:rPr>
        <w:commentReference w:id="62"/>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34DC90FA"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63"/>
      <w:r w:rsidR="0086586A" w:rsidRPr="009111C1">
        <w:rPr>
          <w:rFonts w:cstheme="minorHAnsi"/>
          <w:sz w:val="24"/>
          <w:szCs w:val="24"/>
        </w:rPr>
        <w:t xml:space="preserve">unemployment </w:t>
      </w:r>
      <w:commentRangeEnd w:id="63"/>
      <w:r w:rsidR="0086586A" w:rsidRPr="009111C1">
        <w:rPr>
          <w:rStyle w:val="Kommentarhenvisning"/>
          <w:rFonts w:cstheme="minorHAnsi"/>
          <w:sz w:val="24"/>
          <w:szCs w:val="24"/>
        </w:rPr>
        <w:commentReference w:id="63"/>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2454B78F"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 xml:space="preserve">uses this formular in the case of Denmark, </w:t>
      </w:r>
      <w:commentRangeStart w:id="64"/>
      <w:commentRangeStart w:id="65"/>
      <w:r w:rsidR="00AB5675" w:rsidRPr="004C5315">
        <w:rPr>
          <w:rFonts w:eastAsiaTheme="minorEastAsia" w:cstheme="minorHAnsi"/>
          <w:sz w:val="24"/>
          <w:szCs w:val="24"/>
        </w:rPr>
        <w:t>using the compensation rate as a proxy for the change in income</w:t>
      </w:r>
      <w:commentRangeEnd w:id="64"/>
      <w:r w:rsidR="001F1527">
        <w:rPr>
          <w:rStyle w:val="Kommentarhenvisning"/>
        </w:rPr>
        <w:commentReference w:id="64"/>
      </w:r>
      <w:commentRangeEnd w:id="65"/>
      <w:r w:rsidR="006C3F78">
        <w:rPr>
          <w:rStyle w:val="Kommentarhenvisning"/>
        </w:rPr>
        <w:commentReference w:id="65"/>
      </w:r>
      <w:r w:rsidR="00AB5675" w:rsidRPr="004C5315">
        <w:rPr>
          <w:rFonts w:eastAsiaTheme="minorEastAsia" w:cstheme="minorHAnsi"/>
          <w:sz w:val="24"/>
          <w:szCs w:val="24"/>
        </w:rPr>
        <w:t>.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 outside Denmark</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w:t>
      </w:r>
      <w:r w:rsidR="00B02941">
        <w:rPr>
          <w:rFonts w:eastAsiaTheme="minorEastAsia" w:cstheme="minorHAnsi"/>
          <w:sz w:val="24"/>
          <w:szCs w:val="24"/>
        </w:rPr>
        <w:lastRenderedPageBreak/>
        <w:t xml:space="preserve">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2A2A627C" w14:textId="79DF382C" w:rsidR="00AB5675" w:rsidRPr="009111C1" w:rsidRDefault="009111C1" w:rsidP="00BF3FA4">
      <w:pPr>
        <w:spacing w:line="360" w:lineRule="auto"/>
        <w:rPr>
          <w:rFonts w:eastAsiaTheme="minorEastAsia" w:cstheme="minorHAnsi"/>
          <w:sz w:val="24"/>
          <w:szCs w:val="24"/>
        </w:rPr>
      </w:pPr>
      <w:commentRangeStart w:id="66"/>
      <w:commentRangeStart w:id="67"/>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B47F20">
        <w:rPr>
          <w:rFonts w:eastAsiaTheme="minorEastAsia" w:cstheme="minorHAnsi"/>
          <w:sz w:val="24"/>
          <w:szCs w:val="24"/>
        </w:rPr>
        <w:t xml:space="preserve"> from section 4</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commentRangeEnd w:id="66"/>
      <w:r w:rsidR="00B47F20">
        <w:rPr>
          <w:rStyle w:val="Kommentarhenvisning"/>
        </w:rPr>
        <w:commentReference w:id="66"/>
      </w:r>
      <w:commentRangeEnd w:id="67"/>
      <w:r w:rsidR="00473604">
        <w:rPr>
          <w:rStyle w:val="Kommentarhenvisning"/>
        </w:rPr>
        <w:commentReference w:id="67"/>
      </w:r>
    </w:p>
    <w:p w14:paraId="4291F1E9" w14:textId="736B6D13"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also argues that the size of the elasticity can depend on the type of shock performed, as we use a counter factual scenario for estimating the macro elasticity, we should get the elasticity associated with precisely this political initiative. 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68026079" w14:textId="416E3C23" w:rsidR="00B1293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 xml:space="preserve">we use the compensation rate calculated by the income insurance commission also using </w:t>
      </w:r>
      <w:r w:rsidR="006503D9">
        <w:rPr>
          <w:rFonts w:eastAsiaTheme="minorEastAsia" w:cstheme="minorHAnsi"/>
          <w:sz w:val="24"/>
          <w:szCs w:val="24"/>
        </w:rPr>
        <w:lastRenderedPageBreak/>
        <w:t>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68"/>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68"/>
      <w:r w:rsidR="005C21DA">
        <w:rPr>
          <w:rStyle w:val="Kommentarhenvisning"/>
        </w:rPr>
        <w:commentReference w:id="68"/>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028039A0"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 xml:space="preserve">we observe an overall increase in the </w:t>
      </w:r>
      <w:commentRangeStart w:id="69"/>
      <w:r>
        <w:rPr>
          <w:rFonts w:eastAsiaTheme="minorEastAsia" w:cstheme="minorHAnsi"/>
          <w:sz w:val="24"/>
          <w:szCs w:val="24"/>
        </w:rPr>
        <w:t>marginal costs</w:t>
      </w:r>
      <w:r w:rsidR="00B1293A">
        <w:rPr>
          <w:rFonts w:eastAsiaTheme="minorEastAsia" w:cstheme="minorHAnsi"/>
          <w:sz w:val="24"/>
          <w:szCs w:val="24"/>
        </w:rPr>
        <w:t xml:space="preserve">. </w:t>
      </w:r>
      <w:commentRangeEnd w:id="69"/>
      <w:r w:rsidR="00473604">
        <w:rPr>
          <w:rStyle w:val="Kommentarhenvisning"/>
        </w:rPr>
        <w:commentReference w:id="69"/>
      </w:r>
    </w:p>
    <w:p w14:paraId="0C2F6F7E" w14:textId="12D4E961" w:rsidR="00533E84" w:rsidRDefault="00533E84" w:rsidP="00D67ABC">
      <w:pPr>
        <w:spacing w:line="360" w:lineRule="auto"/>
        <w:rPr>
          <w:rFonts w:eastAsiaTheme="minorEastAsia" w:cstheme="minorHAnsi"/>
          <w:sz w:val="24"/>
          <w:szCs w:val="24"/>
        </w:rPr>
      </w:pPr>
    </w:p>
    <w:p w14:paraId="0D09E5FB" w14:textId="29B16BEB" w:rsidR="00533E84" w:rsidRDefault="00072C21" w:rsidP="00D67ABC">
      <w:pPr>
        <w:spacing w:line="360" w:lineRule="auto"/>
        <w:rPr>
          <w:rFonts w:eastAsiaTheme="minorEastAsia" w:cstheme="minorHAnsi"/>
          <w:sz w:val="24"/>
          <w:szCs w:val="24"/>
        </w:rPr>
      </w:pPr>
      <w:proofErr w:type="spellStart"/>
      <w:r>
        <w:rPr>
          <w:rFonts w:eastAsiaTheme="minorEastAsia" w:cstheme="minorHAnsi"/>
          <w:sz w:val="24"/>
          <w:szCs w:val="24"/>
        </w:rPr>
        <w:t>Diskuter</w:t>
      </w:r>
      <w:proofErr w:type="spellEnd"/>
      <w:r>
        <w:rPr>
          <w:rFonts w:eastAsiaTheme="minorEastAsia" w:cstheme="minorHAnsi"/>
          <w:sz w:val="24"/>
          <w:szCs w:val="24"/>
        </w:rPr>
        <w:t xml:space="preserve"> </w:t>
      </w:r>
      <w:proofErr w:type="spellStart"/>
      <w:r>
        <w:rPr>
          <w:rFonts w:eastAsiaTheme="minorEastAsia" w:cstheme="minorHAnsi"/>
          <w:sz w:val="24"/>
          <w:szCs w:val="24"/>
        </w:rPr>
        <w:t>kort</w:t>
      </w:r>
      <w:proofErr w:type="spellEnd"/>
      <w:r>
        <w:rPr>
          <w:rFonts w:eastAsiaTheme="minorEastAsia" w:cstheme="minorHAnsi"/>
          <w:sz w:val="24"/>
          <w:szCs w:val="24"/>
        </w:rPr>
        <w:t xml:space="preserve"> </w:t>
      </w:r>
      <w:proofErr w:type="spellStart"/>
      <w:r>
        <w:rPr>
          <w:rFonts w:eastAsiaTheme="minorEastAsia" w:cstheme="minorHAnsi"/>
          <w:sz w:val="24"/>
          <w:szCs w:val="24"/>
        </w:rPr>
        <w:t>resultaterne</w:t>
      </w:r>
      <w:proofErr w:type="spellEnd"/>
      <w:r>
        <w:rPr>
          <w:rFonts w:eastAsiaTheme="minorEastAsia" w:cstheme="minorHAnsi"/>
          <w:sz w:val="24"/>
          <w:szCs w:val="24"/>
        </w:rPr>
        <w:t xml:space="preserve"> </w:t>
      </w:r>
      <w:proofErr w:type="spellStart"/>
      <w:r>
        <w:rPr>
          <w:rFonts w:eastAsiaTheme="minorEastAsia" w:cstheme="minorHAnsi"/>
          <w:sz w:val="24"/>
          <w:szCs w:val="24"/>
        </w:rPr>
        <w:t>fra</w:t>
      </w:r>
      <w:proofErr w:type="spellEnd"/>
      <w:r>
        <w:rPr>
          <w:rFonts w:eastAsiaTheme="minorEastAsia" w:cstheme="minorHAnsi"/>
          <w:sz w:val="24"/>
          <w:szCs w:val="24"/>
        </w:rPr>
        <w:t xml:space="preserve"> min model (</w:t>
      </w:r>
      <w:proofErr w:type="spellStart"/>
      <w:r>
        <w:rPr>
          <w:rFonts w:eastAsiaTheme="minorEastAsia" w:cstheme="minorHAnsi"/>
          <w:sz w:val="24"/>
          <w:szCs w:val="24"/>
        </w:rPr>
        <w:t>kun</w:t>
      </w:r>
      <w:proofErr w:type="spellEnd"/>
      <w:r>
        <w:rPr>
          <w:rFonts w:eastAsiaTheme="minorEastAsia" w:cstheme="minorHAnsi"/>
          <w:sz w:val="24"/>
          <w:szCs w:val="24"/>
        </w:rPr>
        <w:t xml:space="preserve"> demand </w:t>
      </w:r>
      <w:proofErr w:type="spellStart"/>
      <w:r>
        <w:rPr>
          <w:rFonts w:eastAsiaTheme="minorEastAsia" w:cstheme="minorHAnsi"/>
          <w:sz w:val="24"/>
          <w:szCs w:val="24"/>
        </w:rPr>
        <w:t>kannal</w:t>
      </w:r>
      <w:proofErr w:type="spellEnd"/>
      <w:r>
        <w:rPr>
          <w:rFonts w:eastAsiaTheme="minorEastAsia" w:cstheme="minorHAnsi"/>
          <w:sz w:val="24"/>
          <w:szCs w:val="24"/>
        </w:rPr>
        <w:t xml:space="preserve"> </w:t>
      </w:r>
      <w:proofErr w:type="spellStart"/>
      <w:r>
        <w:rPr>
          <w:rFonts w:eastAsiaTheme="minorEastAsia" w:cstheme="minorHAnsi"/>
          <w:sz w:val="24"/>
          <w:szCs w:val="24"/>
        </w:rPr>
        <w:t>osv</w:t>
      </w:r>
      <w:proofErr w:type="spellEnd"/>
      <w:r>
        <w:rPr>
          <w:rFonts w:eastAsiaTheme="minorEastAsia" w:cstheme="minorHAnsi"/>
          <w:sz w:val="24"/>
          <w:szCs w:val="24"/>
        </w:rPr>
        <w:t>.)</w:t>
      </w:r>
    </w:p>
    <w:p w14:paraId="6F383A9B" w14:textId="5B2D5161" w:rsidR="00533E84" w:rsidRDefault="00533E84" w:rsidP="00D67ABC">
      <w:pPr>
        <w:spacing w:line="360" w:lineRule="auto"/>
        <w:rPr>
          <w:rFonts w:eastAsiaTheme="minorEastAsia" w:cstheme="minorHAnsi"/>
          <w:sz w:val="24"/>
          <w:szCs w:val="24"/>
        </w:rPr>
      </w:pPr>
    </w:p>
    <w:p w14:paraId="7497E6DA" w14:textId="77777777" w:rsidR="00533E84" w:rsidRPr="009111C1" w:rsidRDefault="00533E84" w:rsidP="00D67ABC">
      <w:pPr>
        <w:spacing w:line="360" w:lineRule="auto"/>
        <w:rPr>
          <w:rFonts w:eastAsiaTheme="minorEastAsia" w:cstheme="minorHAnsi"/>
          <w:sz w:val="24"/>
          <w:szCs w:val="24"/>
        </w:rPr>
      </w:pP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70" w:author="Simon Thomsen" w:date="2022-11-09T11:41:00Z"/>
        </w:rPr>
      </w:pPr>
    </w:p>
    <w:p w14:paraId="74ABB717" w14:textId="7589233E" w:rsidR="00CD17D9" w:rsidRDefault="00CD17D9" w:rsidP="00CD17D9">
      <w:pPr>
        <w:pStyle w:val="Overskrift1"/>
        <w:rPr>
          <w:ins w:id="71" w:author="Simon Thomsen" w:date="2022-11-09T11:42:00Z"/>
        </w:rPr>
      </w:pPr>
      <w:ins w:id="72" w:author="Simon Thomsen" w:date="2022-11-09T11:42:00Z">
        <w:r>
          <w:t xml:space="preserve">Reference list </w:t>
        </w:r>
      </w:ins>
    </w:p>
    <w:p w14:paraId="2919FEF5" w14:textId="7D0416A6" w:rsidR="00CD17D9" w:rsidRDefault="00CD17D9" w:rsidP="00CD17D9">
      <w:pPr>
        <w:rPr>
          <w:ins w:id="73" w:author="Simon Thomsen" w:date="2022-11-09T11:42:00Z"/>
        </w:rPr>
      </w:pPr>
    </w:p>
    <w:p w14:paraId="74BB3E1E" w14:textId="64AA395B" w:rsidR="002569C7" w:rsidRPr="002569C7" w:rsidRDefault="00333B3D" w:rsidP="002569C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569C7" w:rsidRPr="002569C7">
        <w:rPr>
          <w:rFonts w:ascii="Calibri" w:hAnsi="Calibri" w:cs="Calibri"/>
          <w:noProof/>
          <w:szCs w:val="24"/>
        </w:rPr>
        <w:t xml:space="preserve">Aastrup, M. (2018). </w:t>
      </w:r>
      <w:r w:rsidR="002569C7" w:rsidRPr="002569C7">
        <w:rPr>
          <w:rFonts w:ascii="Calibri" w:hAnsi="Calibri" w:cs="Calibri"/>
          <w:i/>
          <w:iCs/>
          <w:noProof/>
          <w:szCs w:val="24"/>
        </w:rPr>
        <w:t>30 Års dagpengeforringelser</w:t>
      </w:r>
      <w:r w:rsidR="002569C7" w:rsidRPr="002569C7">
        <w:rPr>
          <w:rFonts w:ascii="Calibri" w:hAnsi="Calibri" w:cs="Calibri"/>
          <w:noProof/>
          <w:szCs w:val="24"/>
        </w:rPr>
        <w:t xml:space="preserve">. </w:t>
      </w:r>
      <w:r w:rsidR="002569C7" w:rsidRPr="002569C7">
        <w:rPr>
          <w:rFonts w:ascii="Calibri" w:hAnsi="Calibri" w:cs="Calibri"/>
          <w:i/>
          <w:iCs/>
          <w:noProof/>
          <w:szCs w:val="24"/>
        </w:rPr>
        <w:t>September 2018</w:t>
      </w:r>
      <w:r w:rsidR="002569C7" w:rsidRPr="002569C7">
        <w:rPr>
          <w:rFonts w:ascii="Calibri" w:hAnsi="Calibri" w:cs="Calibri"/>
          <w:noProof/>
          <w:szCs w:val="24"/>
        </w:rPr>
        <w:t>.</w:t>
      </w:r>
    </w:p>
    <w:p w14:paraId="4E4B0420"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Andersen, T. M., &amp; Svarer, M. (2006). Flexicurity: The Danish Labour-Market Model. </w:t>
      </w:r>
      <w:r w:rsidRPr="002569C7">
        <w:rPr>
          <w:rFonts w:ascii="Calibri" w:hAnsi="Calibri" w:cs="Calibri"/>
          <w:i/>
          <w:iCs/>
          <w:noProof/>
          <w:szCs w:val="24"/>
        </w:rPr>
        <w:t>Ekonomisk Debatt</w:t>
      </w:r>
      <w:r w:rsidRPr="002569C7">
        <w:rPr>
          <w:rFonts w:ascii="Calibri" w:hAnsi="Calibri" w:cs="Calibri"/>
          <w:noProof/>
          <w:szCs w:val="24"/>
        </w:rPr>
        <w:t xml:space="preserve">, </w:t>
      </w:r>
      <w:r w:rsidRPr="002569C7">
        <w:rPr>
          <w:rFonts w:ascii="Calibri" w:hAnsi="Calibri" w:cs="Calibri"/>
          <w:i/>
          <w:iCs/>
          <w:noProof/>
          <w:szCs w:val="24"/>
        </w:rPr>
        <w:t>1</w:t>
      </w:r>
      <w:r w:rsidRPr="002569C7">
        <w:rPr>
          <w:rFonts w:ascii="Calibri" w:hAnsi="Calibri" w:cs="Calibri"/>
          <w:noProof/>
          <w:szCs w:val="24"/>
        </w:rPr>
        <w:t>(April), 17–29.</w:t>
      </w:r>
    </w:p>
    <w:p w14:paraId="2EEA29F3"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Andersen, T. M., Svarer, M., &amp; Vejlin, R. M. (2015). Litteraturreview af effekter af indretning af arbejdsunderstøttelsen. </w:t>
      </w:r>
      <w:r w:rsidRPr="002569C7">
        <w:rPr>
          <w:rFonts w:ascii="Calibri" w:hAnsi="Calibri" w:cs="Calibri"/>
          <w:i/>
          <w:iCs/>
          <w:noProof/>
          <w:szCs w:val="24"/>
        </w:rPr>
        <w:t>Beskæftigelsesministeriet</w:t>
      </w:r>
      <w:r w:rsidRPr="002569C7">
        <w:rPr>
          <w:rFonts w:ascii="Calibri" w:hAnsi="Calibri" w:cs="Calibri"/>
          <w:noProof/>
          <w:szCs w:val="24"/>
        </w:rPr>
        <w:t>, 1–99.</w:t>
      </w:r>
    </w:p>
    <w:p w14:paraId="68581F73"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Boone, C., Dube, A., Goodman, L., &amp; Kaplan, E. (2021). Unemployment Insurance Generosity and Aggregate Employment. </w:t>
      </w:r>
      <w:r w:rsidRPr="002569C7">
        <w:rPr>
          <w:rFonts w:ascii="Calibri" w:hAnsi="Calibri" w:cs="Calibri"/>
          <w:i/>
          <w:iCs/>
          <w:noProof/>
          <w:szCs w:val="24"/>
        </w:rPr>
        <w:t>American Economic Journal: Economic Policy</w:t>
      </w:r>
      <w:r w:rsidRPr="002569C7">
        <w:rPr>
          <w:rFonts w:ascii="Calibri" w:hAnsi="Calibri" w:cs="Calibri"/>
          <w:noProof/>
          <w:szCs w:val="24"/>
        </w:rPr>
        <w:t xml:space="preserve">, </w:t>
      </w:r>
      <w:r w:rsidRPr="002569C7">
        <w:rPr>
          <w:rFonts w:ascii="Calibri" w:hAnsi="Calibri" w:cs="Calibri"/>
          <w:i/>
          <w:iCs/>
          <w:noProof/>
          <w:szCs w:val="24"/>
        </w:rPr>
        <w:t>13</w:t>
      </w:r>
      <w:r w:rsidRPr="002569C7">
        <w:rPr>
          <w:rFonts w:ascii="Calibri" w:hAnsi="Calibri" w:cs="Calibri"/>
          <w:noProof/>
          <w:szCs w:val="24"/>
        </w:rPr>
        <w:t>(2), 58–99. https://doi.org/10.1257/pol.20160613</w:t>
      </w:r>
    </w:p>
    <w:p w14:paraId="17BB6642"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Byrialsen, M. R., &amp; Raza, H. (2018). Macroeconomic effects of unemployment benefits in small open economies: A stock–flow consistent approach. </w:t>
      </w:r>
      <w:r w:rsidRPr="002569C7">
        <w:rPr>
          <w:rFonts w:ascii="Calibri" w:hAnsi="Calibri" w:cs="Calibri"/>
          <w:i/>
          <w:iCs/>
          <w:noProof/>
          <w:szCs w:val="24"/>
        </w:rPr>
        <w:t>European Journal of Economics and Economic Policies: Intervention</w:t>
      </w:r>
      <w:r w:rsidRPr="002569C7">
        <w:rPr>
          <w:rFonts w:ascii="Calibri" w:hAnsi="Calibri" w:cs="Calibri"/>
          <w:noProof/>
          <w:szCs w:val="24"/>
        </w:rPr>
        <w:t xml:space="preserve">, </w:t>
      </w:r>
      <w:r w:rsidRPr="002569C7">
        <w:rPr>
          <w:rFonts w:ascii="Calibri" w:hAnsi="Calibri" w:cs="Calibri"/>
          <w:i/>
          <w:iCs/>
          <w:noProof/>
          <w:szCs w:val="24"/>
        </w:rPr>
        <w:t>15</w:t>
      </w:r>
      <w:r w:rsidRPr="002569C7">
        <w:rPr>
          <w:rFonts w:ascii="Calibri" w:hAnsi="Calibri" w:cs="Calibri"/>
          <w:noProof/>
          <w:szCs w:val="24"/>
        </w:rPr>
        <w:t>(3), 335–363. https://doi.org/10.4337/ejeep.2018.0032</w:t>
      </w:r>
    </w:p>
    <w:p w14:paraId="0B4E9F89"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Byrialsen, M. R., Raza, H., &amp; Valdecantos, S. (2022). </w:t>
      </w:r>
      <w:r w:rsidRPr="002569C7">
        <w:rPr>
          <w:rFonts w:ascii="Calibri" w:hAnsi="Calibri" w:cs="Calibri"/>
          <w:i/>
          <w:iCs/>
          <w:noProof/>
          <w:szCs w:val="24"/>
        </w:rPr>
        <w:t>QMDE : A QUARTERLY EMPIRICAL MODEL FOR THE DANISH ECONOMY : A STOCK-FLOW CONSISTENT APPROACH</w:t>
      </w:r>
      <w:r w:rsidRPr="002569C7">
        <w:rPr>
          <w:rFonts w:ascii="Calibri" w:hAnsi="Calibri" w:cs="Calibri"/>
          <w:noProof/>
          <w:szCs w:val="24"/>
        </w:rPr>
        <w:t xml:space="preserve">. </w:t>
      </w:r>
      <w:r w:rsidRPr="002569C7">
        <w:rPr>
          <w:rFonts w:ascii="Calibri" w:hAnsi="Calibri" w:cs="Calibri"/>
          <w:i/>
          <w:iCs/>
          <w:noProof/>
          <w:szCs w:val="24"/>
        </w:rPr>
        <w:t>79</w:t>
      </w:r>
      <w:r w:rsidRPr="002569C7">
        <w:rPr>
          <w:rFonts w:ascii="Calibri" w:hAnsi="Calibri" w:cs="Calibri"/>
          <w:noProof/>
          <w:szCs w:val="24"/>
        </w:rPr>
        <w:t>.</w:t>
      </w:r>
    </w:p>
    <w:p w14:paraId="624B0F07"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Chetty, R. (2006). A general formula for the optimal level of social insurance. </w:t>
      </w:r>
      <w:r w:rsidRPr="002569C7">
        <w:rPr>
          <w:rFonts w:ascii="Calibri" w:hAnsi="Calibri" w:cs="Calibri"/>
          <w:i/>
          <w:iCs/>
          <w:noProof/>
          <w:szCs w:val="24"/>
        </w:rPr>
        <w:t>Journal of Public Economics</w:t>
      </w:r>
      <w:r w:rsidRPr="002569C7">
        <w:rPr>
          <w:rFonts w:ascii="Calibri" w:hAnsi="Calibri" w:cs="Calibri"/>
          <w:noProof/>
          <w:szCs w:val="24"/>
        </w:rPr>
        <w:t xml:space="preserve">, </w:t>
      </w:r>
      <w:r w:rsidRPr="002569C7">
        <w:rPr>
          <w:rFonts w:ascii="Calibri" w:hAnsi="Calibri" w:cs="Calibri"/>
          <w:i/>
          <w:iCs/>
          <w:noProof/>
          <w:szCs w:val="24"/>
        </w:rPr>
        <w:t>90</w:t>
      </w:r>
      <w:r w:rsidRPr="002569C7">
        <w:rPr>
          <w:rFonts w:ascii="Calibri" w:hAnsi="Calibri" w:cs="Calibri"/>
          <w:noProof/>
          <w:szCs w:val="24"/>
        </w:rPr>
        <w:t>(10–11), 1879–1901. https://doi.org/10.1016/j.jpubeco.2006.01.004</w:t>
      </w:r>
    </w:p>
    <w:p w14:paraId="748C6B96"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Chetty, R. (2008). Moral hazard versus liquidity and optimal unemployment insurance. </w:t>
      </w:r>
      <w:r w:rsidRPr="002569C7">
        <w:rPr>
          <w:rFonts w:ascii="Calibri" w:hAnsi="Calibri" w:cs="Calibri"/>
          <w:i/>
          <w:iCs/>
          <w:noProof/>
          <w:szCs w:val="24"/>
        </w:rPr>
        <w:t>Journal of Political Economy</w:t>
      </w:r>
      <w:r w:rsidRPr="002569C7">
        <w:rPr>
          <w:rFonts w:ascii="Calibri" w:hAnsi="Calibri" w:cs="Calibri"/>
          <w:noProof/>
          <w:szCs w:val="24"/>
        </w:rPr>
        <w:t xml:space="preserve">, </w:t>
      </w:r>
      <w:r w:rsidRPr="002569C7">
        <w:rPr>
          <w:rFonts w:ascii="Calibri" w:hAnsi="Calibri" w:cs="Calibri"/>
          <w:i/>
          <w:iCs/>
          <w:noProof/>
          <w:szCs w:val="24"/>
        </w:rPr>
        <w:t>116</w:t>
      </w:r>
      <w:r w:rsidRPr="002569C7">
        <w:rPr>
          <w:rFonts w:ascii="Calibri" w:hAnsi="Calibri" w:cs="Calibri"/>
          <w:noProof/>
          <w:szCs w:val="24"/>
        </w:rPr>
        <w:t>(2), 173–234. https://doi.org/10.1086/588585</w:t>
      </w:r>
    </w:p>
    <w:p w14:paraId="4A0856D9"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Dagpengekommissionen. (2015). </w:t>
      </w:r>
      <w:r w:rsidRPr="002569C7">
        <w:rPr>
          <w:rFonts w:ascii="Calibri" w:hAnsi="Calibri" w:cs="Calibri"/>
          <w:i/>
          <w:iCs/>
          <w:noProof/>
          <w:szCs w:val="24"/>
        </w:rPr>
        <w:t>Kompensationsgraden i dagpengesystemet</w:t>
      </w:r>
      <w:r w:rsidRPr="002569C7">
        <w:rPr>
          <w:rFonts w:ascii="Calibri" w:hAnsi="Calibri" w:cs="Calibri"/>
          <w:noProof/>
          <w:szCs w:val="24"/>
        </w:rPr>
        <w:t>. 41.</w:t>
      </w:r>
    </w:p>
    <w:p w14:paraId="3CF89853"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Dagpengekommissionens sekretariat. (2015). Dagpengemodellen teknisk analyserapport. </w:t>
      </w:r>
      <w:r w:rsidRPr="002569C7">
        <w:rPr>
          <w:rFonts w:ascii="Calibri" w:hAnsi="Calibri" w:cs="Calibri"/>
          <w:i/>
          <w:iCs/>
          <w:noProof/>
          <w:szCs w:val="24"/>
        </w:rPr>
        <w:t>Beskæftigelsesmi</w:t>
      </w:r>
      <w:r w:rsidRPr="002569C7">
        <w:rPr>
          <w:rFonts w:ascii="Calibri" w:hAnsi="Calibri" w:cs="Calibri"/>
          <w:noProof/>
          <w:szCs w:val="24"/>
        </w:rPr>
        <w:t>.</w:t>
      </w:r>
    </w:p>
    <w:p w14:paraId="27F88BA9"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Danmarks Statistik. (2012). ADAM - En Model Af Dansk Økonomi. In </w:t>
      </w:r>
      <w:r w:rsidRPr="002569C7">
        <w:rPr>
          <w:rFonts w:ascii="Calibri" w:hAnsi="Calibri" w:cs="Calibri"/>
          <w:i/>
          <w:iCs/>
          <w:noProof/>
          <w:szCs w:val="24"/>
        </w:rPr>
        <w:t>Danmarks Statistik</w:t>
      </w:r>
      <w:r w:rsidRPr="002569C7">
        <w:rPr>
          <w:rFonts w:ascii="Calibri" w:hAnsi="Calibri" w:cs="Calibri"/>
          <w:noProof/>
          <w:szCs w:val="24"/>
        </w:rPr>
        <w:t>. Danmarks Statistik. https://www.dst.dk/da/Statistik/Publikationer/VisPub?cid=17987</w:t>
      </w:r>
    </w:p>
    <w:p w14:paraId="05128E44"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De Økonomiske Råd. (2022). </w:t>
      </w:r>
      <w:r w:rsidRPr="002569C7">
        <w:rPr>
          <w:rFonts w:ascii="Calibri" w:hAnsi="Calibri" w:cs="Calibri"/>
          <w:i/>
          <w:iCs/>
          <w:noProof/>
          <w:szCs w:val="24"/>
        </w:rPr>
        <w:t>RAPPORT FRA FORMANDSKABET DANSK ØKONOMI FORÅR 2022</w:t>
      </w:r>
      <w:r w:rsidRPr="002569C7">
        <w:rPr>
          <w:rFonts w:ascii="Calibri" w:hAnsi="Calibri" w:cs="Calibri"/>
          <w:noProof/>
          <w:szCs w:val="24"/>
        </w:rPr>
        <w:t>. https://dors.dk/raad-vismaend/loven.</w:t>
      </w:r>
    </w:p>
    <w:p w14:paraId="33E87F33"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2569C7">
        <w:rPr>
          <w:rFonts w:ascii="Calibri" w:hAnsi="Calibri" w:cs="Calibri"/>
          <w:i/>
          <w:iCs/>
          <w:noProof/>
          <w:szCs w:val="24"/>
        </w:rPr>
        <w:t>SSRN Electronic Journal</w:t>
      </w:r>
      <w:r w:rsidRPr="002569C7">
        <w:rPr>
          <w:rFonts w:ascii="Calibri" w:hAnsi="Calibri" w:cs="Calibri"/>
          <w:noProof/>
          <w:szCs w:val="24"/>
        </w:rPr>
        <w:t xml:space="preserve">, </w:t>
      </w:r>
      <w:r w:rsidRPr="002569C7">
        <w:rPr>
          <w:rFonts w:ascii="Calibri" w:hAnsi="Calibri" w:cs="Calibri"/>
          <w:i/>
          <w:iCs/>
          <w:noProof/>
          <w:szCs w:val="24"/>
        </w:rPr>
        <w:t>11496</w:t>
      </w:r>
      <w:r w:rsidRPr="002569C7">
        <w:rPr>
          <w:rFonts w:ascii="Calibri" w:hAnsi="Calibri" w:cs="Calibri"/>
          <w:noProof/>
          <w:szCs w:val="24"/>
        </w:rPr>
        <w:t>. https://doi.org/10.2139/ssrn.3177370</w:t>
      </w:r>
    </w:p>
    <w:p w14:paraId="79649FB7"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Dray, M., &amp; Thirlwall, A. P. (2011). The endogeneity of the natural rate of growth for a selection of Asian countries. </w:t>
      </w:r>
      <w:r w:rsidRPr="002569C7">
        <w:rPr>
          <w:rFonts w:ascii="Calibri" w:hAnsi="Calibri" w:cs="Calibri"/>
          <w:i/>
          <w:iCs/>
          <w:noProof/>
          <w:szCs w:val="24"/>
        </w:rPr>
        <w:t>Journal of Post Keynesian Economics</w:t>
      </w:r>
      <w:r w:rsidRPr="002569C7">
        <w:rPr>
          <w:rFonts w:ascii="Calibri" w:hAnsi="Calibri" w:cs="Calibri"/>
          <w:noProof/>
          <w:szCs w:val="24"/>
        </w:rPr>
        <w:t xml:space="preserve">, </w:t>
      </w:r>
      <w:r w:rsidRPr="002569C7">
        <w:rPr>
          <w:rFonts w:ascii="Calibri" w:hAnsi="Calibri" w:cs="Calibri"/>
          <w:i/>
          <w:iCs/>
          <w:noProof/>
          <w:szCs w:val="24"/>
        </w:rPr>
        <w:t>33</w:t>
      </w:r>
      <w:r w:rsidRPr="002569C7">
        <w:rPr>
          <w:rFonts w:ascii="Calibri" w:hAnsi="Calibri" w:cs="Calibri"/>
          <w:noProof/>
          <w:szCs w:val="24"/>
        </w:rPr>
        <w:t>(3), 451–468. https://doi.org/10.2753/PKE0160-3477330303</w:t>
      </w:r>
    </w:p>
    <w:p w14:paraId="245027AB"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DREAM. (2013). </w:t>
      </w:r>
      <w:r w:rsidRPr="002569C7">
        <w:rPr>
          <w:rFonts w:ascii="Calibri" w:hAnsi="Calibri" w:cs="Calibri"/>
          <w:i/>
          <w:iCs/>
          <w:noProof/>
          <w:szCs w:val="24"/>
        </w:rPr>
        <w:t>Langsigtet økonomisk fremskrivning 2013</w:t>
      </w:r>
      <w:r w:rsidRPr="002569C7">
        <w:rPr>
          <w:rFonts w:ascii="Calibri" w:hAnsi="Calibri" w:cs="Calibri"/>
          <w:noProof/>
          <w:szCs w:val="24"/>
        </w:rPr>
        <w:t xml:space="preserve">. </w:t>
      </w:r>
      <w:r w:rsidRPr="002569C7">
        <w:rPr>
          <w:rFonts w:ascii="Calibri" w:hAnsi="Calibri" w:cs="Calibri"/>
          <w:i/>
          <w:iCs/>
          <w:noProof/>
          <w:szCs w:val="24"/>
        </w:rPr>
        <w:t>August</w:t>
      </w:r>
      <w:r w:rsidRPr="002569C7">
        <w:rPr>
          <w:rFonts w:ascii="Calibri" w:hAnsi="Calibri" w:cs="Calibri"/>
          <w:noProof/>
          <w:szCs w:val="24"/>
        </w:rPr>
        <w:t>.</w:t>
      </w:r>
    </w:p>
    <w:p w14:paraId="320E8C16"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lastRenderedPageBreak/>
        <w:t xml:space="preserve">Fagbevægelsens Hovedorganisation. (2021). </w:t>
      </w:r>
      <w:r w:rsidRPr="002569C7">
        <w:rPr>
          <w:rFonts w:ascii="Calibri" w:hAnsi="Calibri" w:cs="Calibri"/>
          <w:i/>
          <w:iCs/>
          <w:noProof/>
          <w:szCs w:val="24"/>
        </w:rPr>
        <w:t>Mere tryghed til lønmodtagerne</w:t>
      </w:r>
      <w:r w:rsidRPr="002569C7">
        <w:rPr>
          <w:rFonts w:ascii="Calibri" w:hAnsi="Calibri" w:cs="Calibri"/>
          <w:noProof/>
          <w:szCs w:val="24"/>
        </w:rPr>
        <w:t>.</w:t>
      </w:r>
    </w:p>
    <w:p w14:paraId="7320EDF9"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Falch, N. S. (2015). </w:t>
      </w:r>
      <w:r w:rsidRPr="002569C7">
        <w:rPr>
          <w:rFonts w:ascii="Calibri" w:hAnsi="Calibri" w:cs="Calibri"/>
          <w:i/>
          <w:iCs/>
          <w:noProof/>
          <w:szCs w:val="24"/>
        </w:rPr>
        <w:t>Three essays on unemployment insurance</w:t>
      </w:r>
      <w:r w:rsidRPr="002569C7">
        <w:rPr>
          <w:rFonts w:ascii="Calibri" w:hAnsi="Calibri" w:cs="Calibri"/>
          <w:noProof/>
          <w:szCs w:val="24"/>
        </w:rPr>
        <w:t xml:space="preserve">. </w:t>
      </w:r>
      <w:r w:rsidRPr="002569C7">
        <w:rPr>
          <w:rFonts w:ascii="Calibri" w:hAnsi="Calibri" w:cs="Calibri"/>
          <w:i/>
          <w:iCs/>
          <w:noProof/>
          <w:szCs w:val="24"/>
        </w:rPr>
        <w:t>April</w:t>
      </w:r>
      <w:r w:rsidRPr="002569C7">
        <w:rPr>
          <w:rFonts w:ascii="Calibri" w:hAnsi="Calibri" w:cs="Calibri"/>
          <w:noProof/>
          <w:szCs w:val="24"/>
        </w:rPr>
        <w:t>.</w:t>
      </w:r>
    </w:p>
    <w:p w14:paraId="51565C52"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Fazzari, S. M., Ferri, P., &amp; Variato, A. M. (2020). Demand-led growth and accommodating supply. </w:t>
      </w:r>
      <w:r w:rsidRPr="002569C7">
        <w:rPr>
          <w:rFonts w:ascii="Calibri" w:hAnsi="Calibri" w:cs="Calibri"/>
          <w:i/>
          <w:iCs/>
          <w:noProof/>
          <w:szCs w:val="24"/>
        </w:rPr>
        <w:t>Cambridge Journal of Economics</w:t>
      </w:r>
      <w:r w:rsidRPr="002569C7">
        <w:rPr>
          <w:rFonts w:ascii="Calibri" w:hAnsi="Calibri" w:cs="Calibri"/>
          <w:noProof/>
          <w:szCs w:val="24"/>
        </w:rPr>
        <w:t xml:space="preserve">, </w:t>
      </w:r>
      <w:r w:rsidRPr="002569C7">
        <w:rPr>
          <w:rFonts w:ascii="Calibri" w:hAnsi="Calibri" w:cs="Calibri"/>
          <w:i/>
          <w:iCs/>
          <w:noProof/>
          <w:szCs w:val="24"/>
        </w:rPr>
        <w:t>44</w:t>
      </w:r>
      <w:r w:rsidRPr="002569C7">
        <w:rPr>
          <w:rFonts w:ascii="Calibri" w:hAnsi="Calibri" w:cs="Calibri"/>
          <w:noProof/>
          <w:szCs w:val="24"/>
        </w:rPr>
        <w:t>(3), 583–605. https://doi.org/10.1093/cje/bez055</w:t>
      </w:r>
    </w:p>
    <w:p w14:paraId="7920A128"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Finansministeriet. (2017). </w:t>
      </w:r>
      <w:r w:rsidRPr="002569C7">
        <w:rPr>
          <w:rFonts w:ascii="Calibri" w:hAnsi="Calibri" w:cs="Calibri"/>
          <w:i/>
          <w:iCs/>
          <w:noProof/>
          <w:szCs w:val="24"/>
        </w:rPr>
        <w:t>Det danske pensionssystem nu og i fremtiden</w:t>
      </w:r>
      <w:r w:rsidRPr="002569C7">
        <w:rPr>
          <w:rFonts w:ascii="Calibri" w:hAnsi="Calibri" w:cs="Calibri"/>
          <w:noProof/>
          <w:szCs w:val="24"/>
        </w:rPr>
        <w:t>.</w:t>
      </w:r>
    </w:p>
    <w:p w14:paraId="73D386E5"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Finkelstein, A., &amp; Chetty, R. (2012). </w:t>
      </w:r>
      <w:r w:rsidRPr="002569C7">
        <w:rPr>
          <w:rFonts w:ascii="Calibri" w:hAnsi="Calibri" w:cs="Calibri"/>
          <w:i/>
          <w:iCs/>
          <w:noProof/>
          <w:szCs w:val="24"/>
        </w:rPr>
        <w:t>SOCIAL INSURANCE: CONNECTING THEORY TO DATA</w:t>
      </w:r>
      <w:r w:rsidRPr="002569C7">
        <w:rPr>
          <w:rFonts w:ascii="Calibri" w:hAnsi="Calibri" w:cs="Calibri"/>
          <w:noProof/>
          <w:szCs w:val="24"/>
        </w:rPr>
        <w:t>.</w:t>
      </w:r>
    </w:p>
    <w:p w14:paraId="14EAF9B4"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Fredriksson, P., &amp; Söderström, M. (2020). The equilibrium impact of unemployment insurance on unemployment: Evidence from a non-linear policy rule. </w:t>
      </w:r>
      <w:r w:rsidRPr="002569C7">
        <w:rPr>
          <w:rFonts w:ascii="Calibri" w:hAnsi="Calibri" w:cs="Calibri"/>
          <w:i/>
          <w:iCs/>
          <w:noProof/>
          <w:szCs w:val="24"/>
        </w:rPr>
        <w:t>Journal of Public Economics</w:t>
      </w:r>
      <w:r w:rsidRPr="002569C7">
        <w:rPr>
          <w:rFonts w:ascii="Calibri" w:hAnsi="Calibri" w:cs="Calibri"/>
          <w:noProof/>
          <w:szCs w:val="24"/>
        </w:rPr>
        <w:t xml:space="preserve">, </w:t>
      </w:r>
      <w:r w:rsidRPr="002569C7">
        <w:rPr>
          <w:rFonts w:ascii="Calibri" w:hAnsi="Calibri" w:cs="Calibri"/>
          <w:i/>
          <w:iCs/>
          <w:noProof/>
          <w:szCs w:val="24"/>
        </w:rPr>
        <w:t>187</w:t>
      </w:r>
      <w:r w:rsidRPr="002569C7">
        <w:rPr>
          <w:rFonts w:ascii="Calibri" w:hAnsi="Calibri" w:cs="Calibri"/>
          <w:noProof/>
          <w:szCs w:val="24"/>
        </w:rPr>
        <w:t>, 104199. https://doi.org/10.1016/j.jpubeco.2020.104199</w:t>
      </w:r>
    </w:p>
    <w:p w14:paraId="157A2145"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Gutierrez, I. A. (2016). Job insecurity, unemployment insurance and on-the-job search. Evidence from older American workers. </w:t>
      </w:r>
      <w:r w:rsidRPr="002569C7">
        <w:rPr>
          <w:rFonts w:ascii="Calibri" w:hAnsi="Calibri" w:cs="Calibri"/>
          <w:i/>
          <w:iCs/>
          <w:noProof/>
          <w:szCs w:val="24"/>
        </w:rPr>
        <w:t>Labour Economics</w:t>
      </w:r>
      <w:r w:rsidRPr="002569C7">
        <w:rPr>
          <w:rFonts w:ascii="Calibri" w:hAnsi="Calibri" w:cs="Calibri"/>
          <w:noProof/>
          <w:szCs w:val="24"/>
        </w:rPr>
        <w:t xml:space="preserve">, </w:t>
      </w:r>
      <w:r w:rsidRPr="002569C7">
        <w:rPr>
          <w:rFonts w:ascii="Calibri" w:hAnsi="Calibri" w:cs="Calibri"/>
          <w:i/>
          <w:iCs/>
          <w:noProof/>
          <w:szCs w:val="24"/>
        </w:rPr>
        <w:t>41</w:t>
      </w:r>
      <w:r w:rsidRPr="002569C7">
        <w:rPr>
          <w:rFonts w:ascii="Calibri" w:hAnsi="Calibri" w:cs="Calibri"/>
          <w:noProof/>
          <w:szCs w:val="24"/>
        </w:rPr>
        <w:t>, 228–245. https://doi.org/10.1016/j.labeco.2016.05.011</w:t>
      </w:r>
    </w:p>
    <w:p w14:paraId="095B145C"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Hagedorn, M., Karahan, F., Manovskii, I., &amp; Mitman, K. (2013). Unemployment Benefits and Unemployment in the Great Recession: The Role of Macro Effects. </w:t>
      </w:r>
      <w:r w:rsidRPr="002569C7">
        <w:rPr>
          <w:rFonts w:ascii="Calibri" w:hAnsi="Calibri" w:cs="Calibri"/>
          <w:i/>
          <w:iCs/>
          <w:noProof/>
          <w:szCs w:val="24"/>
        </w:rPr>
        <w:t>SSRN Electronic Journal</w:t>
      </w:r>
      <w:r w:rsidRPr="002569C7">
        <w:rPr>
          <w:rFonts w:ascii="Calibri" w:hAnsi="Calibri" w:cs="Calibri"/>
          <w:noProof/>
          <w:szCs w:val="24"/>
        </w:rPr>
        <w:t>. https://doi.org/10.2139/ssrn.2340678</w:t>
      </w:r>
    </w:p>
    <w:p w14:paraId="0628BB0F"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Hagedorn, M., Manovskii, I., &amp; Mitman, K. (2016). Interpreting Recent Quasi-Experimental Evidence on the Effects of Unemployment Benefit Extensions. </w:t>
      </w:r>
      <w:r w:rsidRPr="002569C7">
        <w:rPr>
          <w:rFonts w:ascii="Calibri" w:hAnsi="Calibri" w:cs="Calibri"/>
          <w:i/>
          <w:iCs/>
          <w:noProof/>
          <w:szCs w:val="24"/>
        </w:rPr>
        <w:t>NBER Working Paper Series</w:t>
      </w:r>
      <w:r w:rsidRPr="002569C7">
        <w:rPr>
          <w:rFonts w:ascii="Calibri" w:hAnsi="Calibri" w:cs="Calibri"/>
          <w:noProof/>
          <w:szCs w:val="24"/>
        </w:rPr>
        <w:t>, 24. http://www.nber.org/papers/w22280</w:t>
      </w:r>
    </w:p>
    <w:p w14:paraId="639CD350"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Hopenhayn, H. A., &amp; Nicolini, J. P. (2009). Optimal unemployment insurance and employment history. </w:t>
      </w:r>
      <w:r w:rsidRPr="002569C7">
        <w:rPr>
          <w:rFonts w:ascii="Calibri" w:hAnsi="Calibri" w:cs="Calibri"/>
          <w:i/>
          <w:iCs/>
          <w:noProof/>
          <w:szCs w:val="24"/>
        </w:rPr>
        <w:t>Review of Economic Studies</w:t>
      </w:r>
      <w:r w:rsidRPr="002569C7">
        <w:rPr>
          <w:rFonts w:ascii="Calibri" w:hAnsi="Calibri" w:cs="Calibri"/>
          <w:noProof/>
          <w:szCs w:val="24"/>
        </w:rPr>
        <w:t xml:space="preserve">, </w:t>
      </w:r>
      <w:r w:rsidRPr="002569C7">
        <w:rPr>
          <w:rFonts w:ascii="Calibri" w:hAnsi="Calibri" w:cs="Calibri"/>
          <w:i/>
          <w:iCs/>
          <w:noProof/>
          <w:szCs w:val="24"/>
        </w:rPr>
        <w:t>76</w:t>
      </w:r>
      <w:r w:rsidRPr="002569C7">
        <w:rPr>
          <w:rFonts w:ascii="Calibri" w:hAnsi="Calibri" w:cs="Calibri"/>
          <w:noProof/>
          <w:szCs w:val="24"/>
        </w:rPr>
        <w:t>(3), 1049–1070. https://doi.org/10.1111/j.1467-937X.2009.00555.x</w:t>
      </w:r>
    </w:p>
    <w:p w14:paraId="12638BFE"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Hopenhayn, H. A., &amp; Wang, C. (1996). Unemployment insurance with moral hazard in a dynamic economy A comment. </w:t>
      </w:r>
      <w:r w:rsidRPr="002569C7">
        <w:rPr>
          <w:rFonts w:ascii="Calibri" w:hAnsi="Calibri" w:cs="Calibri"/>
          <w:i/>
          <w:iCs/>
          <w:noProof/>
          <w:szCs w:val="24"/>
        </w:rPr>
        <w:t>Carnegie-Rochester Conference Series on Public Policy</w:t>
      </w:r>
      <w:r w:rsidRPr="002569C7">
        <w:rPr>
          <w:rFonts w:ascii="Calibri" w:hAnsi="Calibri" w:cs="Calibri"/>
          <w:noProof/>
          <w:szCs w:val="24"/>
        </w:rPr>
        <w:t xml:space="preserve">, </w:t>
      </w:r>
      <w:r w:rsidRPr="002569C7">
        <w:rPr>
          <w:rFonts w:ascii="Calibri" w:hAnsi="Calibri" w:cs="Calibri"/>
          <w:i/>
          <w:iCs/>
          <w:noProof/>
          <w:szCs w:val="24"/>
        </w:rPr>
        <w:t>44</w:t>
      </w:r>
      <w:r w:rsidRPr="002569C7">
        <w:rPr>
          <w:rFonts w:ascii="Calibri" w:hAnsi="Calibri" w:cs="Calibri"/>
          <w:noProof/>
          <w:szCs w:val="24"/>
        </w:rPr>
        <w:t>, 43–46. https://doi.org/10.1016/s0167-2231(96)90003-2</w:t>
      </w:r>
    </w:p>
    <w:p w14:paraId="0FFE4048"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Howell, D., &amp; Azizoglu, B. (2011). Unemployment Benefits and Work Incentives: The U.S. Labor Market in the Great Recession. </w:t>
      </w:r>
      <w:r w:rsidRPr="002569C7">
        <w:rPr>
          <w:rFonts w:ascii="Calibri" w:hAnsi="Calibri" w:cs="Calibri"/>
          <w:i/>
          <w:iCs/>
          <w:noProof/>
          <w:szCs w:val="24"/>
        </w:rPr>
        <w:t>Political Economy Research Institute</w:t>
      </w:r>
      <w:r w:rsidRPr="002569C7">
        <w:rPr>
          <w:rFonts w:ascii="Calibri" w:hAnsi="Calibri" w:cs="Calibri"/>
          <w:noProof/>
          <w:szCs w:val="24"/>
        </w:rPr>
        <w:t xml:space="preserve">, </w:t>
      </w:r>
      <w:r w:rsidRPr="002569C7">
        <w:rPr>
          <w:rFonts w:ascii="Calibri" w:hAnsi="Calibri" w:cs="Calibri"/>
          <w:i/>
          <w:iCs/>
          <w:noProof/>
          <w:szCs w:val="24"/>
        </w:rPr>
        <w:t>257</w:t>
      </w:r>
      <w:r w:rsidRPr="002569C7">
        <w:rPr>
          <w:rFonts w:ascii="Calibri" w:hAnsi="Calibri" w:cs="Calibri"/>
          <w:noProof/>
          <w:szCs w:val="24"/>
        </w:rPr>
        <w:t>, 151–162. https://doi.org/10.4324/9781315143842</w:t>
      </w:r>
    </w:p>
    <w:p w14:paraId="27F4B5B1"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Hummelgaard, P. (2021). </w:t>
      </w:r>
      <w:r w:rsidRPr="002569C7">
        <w:rPr>
          <w:rFonts w:ascii="Calibri" w:hAnsi="Calibri" w:cs="Calibri"/>
          <w:i/>
          <w:iCs/>
          <w:noProof/>
          <w:szCs w:val="24"/>
        </w:rPr>
        <w:t>Spørgsmål nr:270</w:t>
      </w:r>
      <w:r w:rsidRPr="002569C7">
        <w:rPr>
          <w:rFonts w:ascii="Calibri" w:hAnsi="Calibri" w:cs="Calibri"/>
          <w:noProof/>
          <w:szCs w:val="24"/>
        </w:rPr>
        <w:t>. Beskæftigelses Ministeriet. https://www.ft.dk/samling/20201/almdel/beu/spm/270/svar/1776624/2384360/index.htm</w:t>
      </w:r>
    </w:p>
    <w:p w14:paraId="71EB0F3B"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Jensen, M. T. (2021). </w:t>
      </w:r>
      <w:r w:rsidRPr="002569C7">
        <w:rPr>
          <w:rFonts w:ascii="Calibri" w:hAnsi="Calibri" w:cs="Calibri"/>
          <w:i/>
          <w:iCs/>
          <w:noProof/>
          <w:szCs w:val="24"/>
        </w:rPr>
        <w:t>Prisen for at løfte dagpengene overdrives</w:t>
      </w:r>
      <w:r w:rsidRPr="002569C7">
        <w:rPr>
          <w:rFonts w:ascii="Calibri" w:hAnsi="Calibri" w:cs="Calibri"/>
          <w:noProof/>
          <w:szCs w:val="24"/>
        </w:rPr>
        <w:t>. 1–10.</w:t>
      </w:r>
    </w:p>
    <w:p w14:paraId="61B432A8"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Jurajda, Š. (2002). Estimating the effect of unemployment insurance compensation on the labor market histories of displaced workers. </w:t>
      </w:r>
      <w:r w:rsidRPr="002569C7">
        <w:rPr>
          <w:rFonts w:ascii="Calibri" w:hAnsi="Calibri" w:cs="Calibri"/>
          <w:i/>
          <w:iCs/>
          <w:noProof/>
          <w:szCs w:val="24"/>
        </w:rPr>
        <w:t>Journal of Econometrics</w:t>
      </w:r>
      <w:r w:rsidRPr="002569C7">
        <w:rPr>
          <w:rFonts w:ascii="Calibri" w:hAnsi="Calibri" w:cs="Calibri"/>
          <w:noProof/>
          <w:szCs w:val="24"/>
        </w:rPr>
        <w:t xml:space="preserve">, </w:t>
      </w:r>
      <w:r w:rsidRPr="002569C7">
        <w:rPr>
          <w:rFonts w:ascii="Calibri" w:hAnsi="Calibri" w:cs="Calibri"/>
          <w:i/>
          <w:iCs/>
          <w:noProof/>
          <w:szCs w:val="24"/>
        </w:rPr>
        <w:t>108</w:t>
      </w:r>
      <w:r w:rsidRPr="002569C7">
        <w:rPr>
          <w:rFonts w:ascii="Calibri" w:hAnsi="Calibri" w:cs="Calibri"/>
          <w:noProof/>
          <w:szCs w:val="24"/>
        </w:rPr>
        <w:t>(2), 227–252. https://doi.org/10.1016/S0304-4076(01)00135-X</w:t>
      </w:r>
    </w:p>
    <w:p w14:paraId="59084A58"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Kongshøj, P. (2015). </w:t>
      </w:r>
      <w:r w:rsidRPr="002569C7">
        <w:rPr>
          <w:rFonts w:ascii="Calibri" w:hAnsi="Calibri" w:cs="Calibri"/>
          <w:i/>
          <w:iCs/>
          <w:noProof/>
          <w:szCs w:val="24"/>
        </w:rPr>
        <w:t>Dansk fl exicurity under pres – både indefra og udefra</w:t>
      </w:r>
      <w:r w:rsidRPr="002569C7">
        <w:rPr>
          <w:rFonts w:ascii="Calibri" w:hAnsi="Calibri" w:cs="Calibri"/>
          <w:noProof/>
          <w:szCs w:val="24"/>
        </w:rPr>
        <w:t xml:space="preserve">. </w:t>
      </w:r>
      <w:r w:rsidRPr="002569C7">
        <w:rPr>
          <w:rFonts w:ascii="Calibri" w:hAnsi="Calibri" w:cs="Calibri"/>
          <w:i/>
          <w:iCs/>
          <w:noProof/>
          <w:szCs w:val="24"/>
        </w:rPr>
        <w:t>1</w:t>
      </w:r>
      <w:r w:rsidRPr="002569C7">
        <w:rPr>
          <w:rFonts w:ascii="Calibri" w:hAnsi="Calibri" w:cs="Calibri"/>
          <w:noProof/>
          <w:szCs w:val="24"/>
        </w:rPr>
        <w:t>, 5–10.</w:t>
      </w:r>
    </w:p>
    <w:p w14:paraId="2E1900B7"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Lalive, B. R., Landais, C., &amp; Zweimüller, J. (2015). </w:t>
      </w:r>
      <w:r w:rsidRPr="002569C7">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2569C7">
        <w:rPr>
          <w:rFonts w:ascii="Calibri" w:hAnsi="Calibri" w:cs="Calibri"/>
          <w:noProof/>
          <w:szCs w:val="24"/>
        </w:rPr>
        <w:t xml:space="preserve">. </w:t>
      </w:r>
      <w:r w:rsidRPr="002569C7">
        <w:rPr>
          <w:rFonts w:ascii="Calibri" w:hAnsi="Calibri" w:cs="Calibri"/>
          <w:i/>
          <w:iCs/>
          <w:noProof/>
          <w:szCs w:val="24"/>
        </w:rPr>
        <w:t>105</w:t>
      </w:r>
      <w:r w:rsidRPr="002569C7">
        <w:rPr>
          <w:rFonts w:ascii="Calibri" w:hAnsi="Calibri" w:cs="Calibri"/>
          <w:noProof/>
          <w:szCs w:val="24"/>
        </w:rPr>
        <w:t>(12), 3564–3596.</w:t>
      </w:r>
    </w:p>
    <w:p w14:paraId="103D31CB"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Lavoie, M., &amp; Godley, W. (2012). Monetary Economics - An Integrated Approach to Credit, Money, Income, Production and Wealth. In </w:t>
      </w:r>
      <w:r w:rsidRPr="002569C7">
        <w:rPr>
          <w:rFonts w:ascii="Calibri" w:hAnsi="Calibri" w:cs="Calibri"/>
          <w:i/>
          <w:iCs/>
          <w:noProof/>
          <w:szCs w:val="24"/>
        </w:rPr>
        <w:t>Https://Medium.Com/</w:t>
      </w:r>
      <w:r w:rsidRPr="002569C7">
        <w:rPr>
          <w:rFonts w:ascii="Calibri" w:hAnsi="Calibri" w:cs="Calibri"/>
          <w:noProof/>
          <w:szCs w:val="24"/>
        </w:rPr>
        <w:t>. https://medium.com/@arifwicaksanaa/pengertian-use-case-a7e576e1b6bf</w:t>
      </w:r>
    </w:p>
    <w:p w14:paraId="16ABECE6"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Marinescu, I. (2017). The general equilibrium impacts of unemployment insurance: Evidence from a large </w:t>
      </w:r>
      <w:r w:rsidRPr="002569C7">
        <w:rPr>
          <w:rFonts w:ascii="Calibri" w:hAnsi="Calibri" w:cs="Calibri"/>
          <w:noProof/>
          <w:szCs w:val="24"/>
        </w:rPr>
        <w:lastRenderedPageBreak/>
        <w:t xml:space="preserve">online job board. </w:t>
      </w:r>
      <w:r w:rsidRPr="002569C7">
        <w:rPr>
          <w:rFonts w:ascii="Calibri" w:hAnsi="Calibri" w:cs="Calibri"/>
          <w:i/>
          <w:iCs/>
          <w:noProof/>
          <w:szCs w:val="24"/>
        </w:rPr>
        <w:t>Journal of Public Economics</w:t>
      </w:r>
      <w:r w:rsidRPr="002569C7">
        <w:rPr>
          <w:rFonts w:ascii="Calibri" w:hAnsi="Calibri" w:cs="Calibri"/>
          <w:noProof/>
          <w:szCs w:val="24"/>
        </w:rPr>
        <w:t xml:space="preserve">, </w:t>
      </w:r>
      <w:r w:rsidRPr="002569C7">
        <w:rPr>
          <w:rFonts w:ascii="Calibri" w:hAnsi="Calibri" w:cs="Calibri"/>
          <w:i/>
          <w:iCs/>
          <w:noProof/>
          <w:szCs w:val="24"/>
        </w:rPr>
        <w:t>150</w:t>
      </w:r>
      <w:r w:rsidRPr="002569C7">
        <w:rPr>
          <w:rFonts w:ascii="Calibri" w:hAnsi="Calibri" w:cs="Calibri"/>
          <w:noProof/>
          <w:szCs w:val="24"/>
        </w:rPr>
        <w:t>, 14–29. https://doi.org/10.1016/j.jpubeco.2017.02.012</w:t>
      </w:r>
    </w:p>
    <w:p w14:paraId="5CABF737"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Mcdonald, I. M., &amp; Solow, R. M. (1981). </w:t>
      </w:r>
      <w:r w:rsidRPr="002569C7">
        <w:rPr>
          <w:rFonts w:ascii="Calibri" w:hAnsi="Calibri" w:cs="Calibri"/>
          <w:i/>
          <w:iCs/>
          <w:noProof/>
          <w:szCs w:val="24"/>
        </w:rPr>
        <w:t>Wage Bargaining and Employment</w:t>
      </w:r>
      <w:r w:rsidRPr="002569C7">
        <w:rPr>
          <w:rFonts w:ascii="Calibri" w:hAnsi="Calibri" w:cs="Calibri"/>
          <w:noProof/>
          <w:szCs w:val="24"/>
        </w:rPr>
        <w:t xml:space="preserve">. </w:t>
      </w:r>
      <w:r w:rsidRPr="002569C7">
        <w:rPr>
          <w:rFonts w:ascii="Calibri" w:hAnsi="Calibri" w:cs="Calibri"/>
          <w:i/>
          <w:iCs/>
          <w:noProof/>
          <w:szCs w:val="24"/>
        </w:rPr>
        <w:t>71</w:t>
      </w:r>
      <w:r w:rsidRPr="002569C7">
        <w:rPr>
          <w:rFonts w:ascii="Calibri" w:hAnsi="Calibri" w:cs="Calibri"/>
          <w:noProof/>
          <w:szCs w:val="24"/>
        </w:rPr>
        <w:t>(5), 896–908.</w:t>
      </w:r>
    </w:p>
    <w:p w14:paraId="4C37D3A5"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Millemaci, E., &amp; Ofria, F. (2014). Kaldor-Verdoorn’s law and increasing returns to scale: A comparison across developed countries. </w:t>
      </w:r>
      <w:r w:rsidRPr="002569C7">
        <w:rPr>
          <w:rFonts w:ascii="Calibri" w:hAnsi="Calibri" w:cs="Calibri"/>
          <w:i/>
          <w:iCs/>
          <w:noProof/>
          <w:szCs w:val="24"/>
        </w:rPr>
        <w:t>Journal of Economic Studies</w:t>
      </w:r>
      <w:r w:rsidRPr="002569C7">
        <w:rPr>
          <w:rFonts w:ascii="Calibri" w:hAnsi="Calibri" w:cs="Calibri"/>
          <w:noProof/>
          <w:szCs w:val="24"/>
        </w:rPr>
        <w:t xml:space="preserve">, </w:t>
      </w:r>
      <w:r w:rsidRPr="002569C7">
        <w:rPr>
          <w:rFonts w:ascii="Calibri" w:hAnsi="Calibri" w:cs="Calibri"/>
          <w:i/>
          <w:iCs/>
          <w:noProof/>
          <w:szCs w:val="24"/>
        </w:rPr>
        <w:t>41</w:t>
      </w:r>
      <w:r w:rsidRPr="002569C7">
        <w:rPr>
          <w:rFonts w:ascii="Calibri" w:hAnsi="Calibri" w:cs="Calibri"/>
          <w:noProof/>
          <w:szCs w:val="24"/>
        </w:rPr>
        <w:t>(1), 140–162. https://doi.org/10.1108/JES-02-2012-0026</w:t>
      </w:r>
    </w:p>
    <w:p w14:paraId="14BF328B"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Nørgaard, T. (1995). </w:t>
      </w:r>
      <w:r w:rsidRPr="002569C7">
        <w:rPr>
          <w:rFonts w:ascii="Calibri" w:hAnsi="Calibri" w:cs="Calibri"/>
          <w:i/>
          <w:iCs/>
          <w:noProof/>
          <w:szCs w:val="24"/>
        </w:rPr>
        <w:t>Bekendtgørelse om fastsættelse og regulering af omregningssats</w:t>
      </w:r>
      <w:r w:rsidRPr="002569C7">
        <w:rPr>
          <w:rFonts w:ascii="Calibri" w:hAnsi="Calibri" w:cs="Calibri"/>
          <w:noProof/>
          <w:szCs w:val="24"/>
        </w:rPr>
        <w:t>. https://www.retsinformation.dk/eli/lta/1995/1154</w:t>
      </w:r>
    </w:p>
    <w:p w14:paraId="0602AA8F"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Økonomiske Råd. Formandskabet. (2014). </w:t>
      </w:r>
      <w:r w:rsidRPr="002569C7">
        <w:rPr>
          <w:rFonts w:ascii="Calibri" w:hAnsi="Calibri" w:cs="Calibri"/>
          <w:i/>
          <w:iCs/>
          <w:noProof/>
          <w:szCs w:val="24"/>
        </w:rPr>
        <w:t>Dansk økonomi. Efterår 2014 : Konjunkturvurdering ; Dagpengesystemet</w:t>
      </w:r>
      <w:r w:rsidRPr="002569C7">
        <w:rPr>
          <w:rFonts w:ascii="Calibri" w:hAnsi="Calibri" w:cs="Calibri"/>
          <w:noProof/>
          <w:szCs w:val="24"/>
        </w:rPr>
        <w:t>.</w:t>
      </w:r>
    </w:p>
    <w:p w14:paraId="2F55DBEF"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Onaran, O., &amp; Galanis, G. (2012). Is aggregate demand wage-led or profit-led? </w:t>
      </w:r>
      <w:r w:rsidRPr="002569C7">
        <w:rPr>
          <w:rFonts w:ascii="Calibri" w:hAnsi="Calibri" w:cs="Calibri"/>
          <w:i/>
          <w:iCs/>
          <w:noProof/>
          <w:szCs w:val="24"/>
        </w:rPr>
        <w:t>Conditions of Work and Employment Series</w:t>
      </w:r>
      <w:r w:rsidRPr="002569C7">
        <w:rPr>
          <w:rFonts w:ascii="Calibri" w:hAnsi="Calibri" w:cs="Calibri"/>
          <w:noProof/>
          <w:szCs w:val="24"/>
        </w:rPr>
        <w:t xml:space="preserve">, </w:t>
      </w:r>
      <w:r w:rsidRPr="002569C7">
        <w:rPr>
          <w:rFonts w:ascii="Calibri" w:hAnsi="Calibri" w:cs="Calibri"/>
          <w:i/>
          <w:iCs/>
          <w:noProof/>
          <w:szCs w:val="24"/>
        </w:rPr>
        <w:t>40</w:t>
      </w:r>
      <w:r w:rsidRPr="002569C7">
        <w:rPr>
          <w:rFonts w:ascii="Calibri" w:hAnsi="Calibri" w:cs="Calibri"/>
          <w:noProof/>
          <w:szCs w:val="24"/>
        </w:rPr>
        <w:t>(40).</w:t>
      </w:r>
    </w:p>
    <w:p w14:paraId="0BE32B35"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Onaran, O., &amp; Obst, T. (2015). </w:t>
      </w:r>
      <w:r w:rsidRPr="002569C7">
        <w:rPr>
          <w:rFonts w:ascii="Calibri" w:hAnsi="Calibri" w:cs="Calibri"/>
          <w:i/>
          <w:iCs/>
          <w:noProof/>
          <w:szCs w:val="24"/>
        </w:rPr>
        <w:t>Wage-led growth in the EU15 Member States: the effects of income distribution on growth, investment, trade balance, and inflation</w:t>
      </w:r>
      <w:r w:rsidRPr="002569C7">
        <w:rPr>
          <w:rFonts w:ascii="Calibri" w:hAnsi="Calibri" w:cs="Calibri"/>
          <w:noProof/>
          <w:szCs w:val="24"/>
        </w:rPr>
        <w:t>. 1–48.</w:t>
      </w:r>
    </w:p>
    <w:p w14:paraId="24FD3964"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Setterfield, M. (2003). Supply and Demand in the Theory of Long-run Growth: Introduction to a symposium on demand-led growth. </w:t>
      </w:r>
      <w:r w:rsidRPr="002569C7">
        <w:rPr>
          <w:rFonts w:ascii="Calibri" w:hAnsi="Calibri" w:cs="Calibri"/>
          <w:i/>
          <w:iCs/>
          <w:noProof/>
          <w:szCs w:val="24"/>
        </w:rPr>
        <w:t>Review of Political Economy</w:t>
      </w:r>
      <w:r w:rsidRPr="002569C7">
        <w:rPr>
          <w:rFonts w:ascii="Calibri" w:hAnsi="Calibri" w:cs="Calibri"/>
          <w:noProof/>
          <w:szCs w:val="24"/>
        </w:rPr>
        <w:t xml:space="preserve">, </w:t>
      </w:r>
      <w:r w:rsidRPr="002569C7">
        <w:rPr>
          <w:rFonts w:ascii="Calibri" w:hAnsi="Calibri" w:cs="Calibri"/>
          <w:i/>
          <w:iCs/>
          <w:noProof/>
          <w:szCs w:val="24"/>
        </w:rPr>
        <w:t>15</w:t>
      </w:r>
      <w:r w:rsidRPr="002569C7">
        <w:rPr>
          <w:rFonts w:ascii="Calibri" w:hAnsi="Calibri" w:cs="Calibri"/>
          <w:noProof/>
          <w:szCs w:val="24"/>
        </w:rPr>
        <w:t>(1), 23–32. https://doi.org/10.1080/09538250308440</w:t>
      </w:r>
    </w:p>
    <w:p w14:paraId="218F8074"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Shapiro, B. C., &amp; Stiglitz, J. E. (1984). American Economic Association Equilibrium Unemployment as a Worker Discipline Device. </w:t>
      </w:r>
      <w:r w:rsidRPr="002569C7">
        <w:rPr>
          <w:rFonts w:ascii="Calibri" w:hAnsi="Calibri" w:cs="Calibri"/>
          <w:i/>
          <w:iCs/>
          <w:noProof/>
          <w:szCs w:val="24"/>
        </w:rPr>
        <w:t>The American Economic Review</w:t>
      </w:r>
      <w:r w:rsidRPr="002569C7">
        <w:rPr>
          <w:rFonts w:ascii="Calibri" w:hAnsi="Calibri" w:cs="Calibri"/>
          <w:noProof/>
          <w:szCs w:val="24"/>
        </w:rPr>
        <w:t xml:space="preserve">, </w:t>
      </w:r>
      <w:r w:rsidRPr="002569C7">
        <w:rPr>
          <w:rFonts w:ascii="Calibri" w:hAnsi="Calibri" w:cs="Calibri"/>
          <w:i/>
          <w:iCs/>
          <w:noProof/>
          <w:szCs w:val="24"/>
        </w:rPr>
        <w:t>74</w:t>
      </w:r>
      <w:r w:rsidRPr="002569C7">
        <w:rPr>
          <w:rFonts w:ascii="Calibri" w:hAnsi="Calibri" w:cs="Calibri"/>
          <w:noProof/>
          <w:szCs w:val="24"/>
        </w:rPr>
        <w:t>(3), 433–444.</w:t>
      </w:r>
    </w:p>
    <w:p w14:paraId="193FB4CA"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Stockhammer, E., &amp; Lavoie, M. (2013). Wage-led Growth. In </w:t>
      </w:r>
      <w:r w:rsidRPr="002569C7">
        <w:rPr>
          <w:rFonts w:ascii="Calibri" w:hAnsi="Calibri" w:cs="Calibri"/>
          <w:i/>
          <w:iCs/>
          <w:noProof/>
          <w:szCs w:val="24"/>
        </w:rPr>
        <w:t>Wage-led Growth</w:t>
      </w:r>
      <w:r w:rsidRPr="002569C7">
        <w:rPr>
          <w:rFonts w:ascii="Calibri" w:hAnsi="Calibri" w:cs="Calibri"/>
          <w:noProof/>
          <w:szCs w:val="24"/>
        </w:rPr>
        <w:t xml:space="preserve"> (Issue February). https://doi.org/10.1057/9781137357939</w:t>
      </w:r>
    </w:p>
    <w:p w14:paraId="3C076A45"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szCs w:val="24"/>
        </w:rPr>
      </w:pPr>
      <w:r w:rsidRPr="002569C7">
        <w:rPr>
          <w:rFonts w:ascii="Calibri" w:hAnsi="Calibri" w:cs="Calibri"/>
          <w:noProof/>
          <w:szCs w:val="24"/>
        </w:rPr>
        <w:t xml:space="preserve">Topel, B. R. H. (1983). </w:t>
      </w:r>
      <w:r w:rsidRPr="002569C7">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2569C7">
        <w:rPr>
          <w:rFonts w:ascii="Calibri" w:hAnsi="Calibri" w:cs="Calibri"/>
          <w:noProof/>
          <w:szCs w:val="24"/>
        </w:rPr>
        <w:t xml:space="preserve">. </w:t>
      </w:r>
      <w:r w:rsidRPr="002569C7">
        <w:rPr>
          <w:rFonts w:ascii="Calibri" w:hAnsi="Calibri" w:cs="Calibri"/>
          <w:i/>
          <w:iCs/>
          <w:noProof/>
          <w:szCs w:val="24"/>
        </w:rPr>
        <w:t>73</w:t>
      </w:r>
      <w:r w:rsidRPr="002569C7">
        <w:rPr>
          <w:rFonts w:ascii="Calibri" w:hAnsi="Calibri" w:cs="Calibri"/>
          <w:noProof/>
          <w:szCs w:val="24"/>
        </w:rPr>
        <w:t>(4), 541–559.</w:t>
      </w:r>
    </w:p>
    <w:p w14:paraId="0384BE73" w14:textId="77777777" w:rsidR="002569C7" w:rsidRPr="002569C7" w:rsidRDefault="002569C7" w:rsidP="002569C7">
      <w:pPr>
        <w:widowControl w:val="0"/>
        <w:autoSpaceDE w:val="0"/>
        <w:autoSpaceDN w:val="0"/>
        <w:adjustRightInd w:val="0"/>
        <w:spacing w:line="240" w:lineRule="auto"/>
        <w:ind w:left="480" w:hanging="480"/>
        <w:rPr>
          <w:rFonts w:ascii="Calibri" w:hAnsi="Calibri" w:cs="Calibri"/>
          <w:noProof/>
        </w:rPr>
      </w:pPr>
      <w:r w:rsidRPr="002569C7">
        <w:rPr>
          <w:rFonts w:ascii="Calibri" w:hAnsi="Calibri" w:cs="Calibri"/>
          <w:noProof/>
          <w:szCs w:val="24"/>
        </w:rPr>
        <w:t xml:space="preserve">Venstre, D. R., Folkeparti, S., Folkeparti, D. K., &amp; Eu-bidrag, D. (2012). </w:t>
      </w:r>
      <w:r w:rsidRPr="002569C7">
        <w:rPr>
          <w:rFonts w:ascii="Calibri" w:hAnsi="Calibri" w:cs="Calibri"/>
          <w:i/>
          <w:iCs/>
          <w:noProof/>
          <w:szCs w:val="24"/>
        </w:rPr>
        <w:t>Aftale om skattereform</w:t>
      </w:r>
      <w:r w:rsidRPr="002569C7">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lastRenderedPageBreak/>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6F443628" w:rsidR="00AB46CB" w:rsidRPr="004A796F"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sectPr w:rsidR="00AB46CB" w:rsidRPr="004A796F" w:rsidSect="003B5240">
      <w:footerReference w:type="default" r:id="rId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0T11:13:00Z" w:initials="ST">
    <w:p w14:paraId="79E15364" w14:textId="30445650" w:rsidR="00A26496" w:rsidRDefault="00F30E7B" w:rsidP="00273B7F">
      <w:pPr>
        <w:pStyle w:val="Kommentartekst"/>
      </w:pPr>
      <w:r>
        <w:rPr>
          <w:rStyle w:val="Kommentarhenvisning"/>
        </w:rPr>
        <w:annotationRef/>
      </w:r>
      <w:r w:rsidR="00A26496">
        <w:t>Husk at nævn jeg ikke får de her effekter med</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4"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0" w:author="Simon Thomsen" w:date="2022-11-13T16:52:00Z" w:initials="ST">
    <w:p w14:paraId="44D35354" w14:textId="372CD017" w:rsidR="00251655" w:rsidRDefault="00044DFB" w:rsidP="00881191">
      <w:pPr>
        <w:pStyle w:val="Kommentartekst"/>
      </w:pPr>
      <w:r>
        <w:rPr>
          <w:rStyle w:val="Kommentarhenvisning"/>
        </w:rPr>
        <w:annotationRef/>
      </w:r>
      <w:r w:rsidR="00251655">
        <w:t xml:space="preserve">(Til Mikael) Er dette fint? Prøvede at gøre det så kort som muligt </w:t>
      </w:r>
    </w:p>
  </w:comment>
  <w:comment w:id="11" w:author="Simon Fløj Thomsen" w:date="2022-11-13T19:39:00Z" w:initials="SFT">
    <w:p w14:paraId="342450A7" w14:textId="77777777" w:rsidR="00251655" w:rsidRDefault="00251655" w:rsidP="00B37D47">
      <w:pPr>
        <w:pStyle w:val="Kommentartekst"/>
      </w:pPr>
      <w:r>
        <w:rPr>
          <w:rStyle w:val="Kommentarhenvisning"/>
        </w:rPr>
        <w:annotationRef/>
      </w:r>
      <w:r>
        <w:t xml:space="preserve">(Til Mikael) DAG er sat ind i appendix, den bliver ret uoverskuelig, jeg kommer til at forsøge at gøre den flottere </w:t>
      </w:r>
    </w:p>
  </w:comment>
  <w:comment w:id="12" w:author="Simon Fløj Thomsen" w:date="2022-11-13T20:39:00Z" w:initials="SFT">
    <w:p w14:paraId="76D37A23" w14:textId="77777777" w:rsidR="00933BEF" w:rsidRDefault="00933BEF" w:rsidP="00D404FE">
      <w:pPr>
        <w:pStyle w:val="Kommentartekst"/>
      </w:pPr>
      <w:r>
        <w:rPr>
          <w:rStyle w:val="Kommentarhenvisning"/>
        </w:rPr>
        <w:annotationRef/>
      </w:r>
      <w:r>
        <w:t xml:space="preserve">(Tror måske det er en anden variable end STR i min model) </w:t>
      </w:r>
    </w:p>
  </w:comment>
  <w:comment w:id="13" w:author="Mikael Randrup Byrialsen" w:date="2022-11-14T16:33:00Z" w:initials="MRB">
    <w:p w14:paraId="48B00431" w14:textId="77777777" w:rsidR="00904699" w:rsidRDefault="00904699" w:rsidP="00C242A9">
      <w:r>
        <w:rPr>
          <w:rStyle w:val="Kommentarhenvisning"/>
        </w:rPr>
        <w:annotationRef/>
      </w:r>
      <w:r>
        <w:rPr>
          <w:sz w:val="20"/>
          <w:szCs w:val="20"/>
        </w:rPr>
        <w:t>Hedder den ikke str?</w:t>
      </w:r>
    </w:p>
  </w:comment>
  <w:comment w:id="16"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7"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8"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2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2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3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3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3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8" w:author="Simon Thomsen" w:date="2022-11-11T09:56:00Z" w:initials="ST">
    <w:p w14:paraId="7A1F065C" w14:textId="4D6DDDBE"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39" w:author="Simon Fløj Thomsen" w:date="2022-11-02T21:30:00Z" w:initials="SFT">
    <w:p w14:paraId="63EF22FD" w14:textId="0CE4FAC1" w:rsidR="00F673EB" w:rsidRDefault="00B9751B" w:rsidP="00673658">
      <w:pPr>
        <w:pStyle w:val="Kommentartekst"/>
      </w:pPr>
      <w:r>
        <w:rPr>
          <w:rStyle w:val="Kommentarhenvisning"/>
        </w:rPr>
        <w:annotationRef/>
      </w:r>
      <w:r w:rsidR="00F673EB">
        <w:t>((Til Mikael) Så employment falder mere end labor force, hvilket undrer mig</w:t>
      </w:r>
    </w:p>
  </w:comment>
  <w:comment w:id="40"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41" w:author="Simon Fløj Thomsen" w:date="2022-11-10T17:37:00Z" w:initials="SFT">
    <w:p w14:paraId="692C0846" w14:textId="77777777" w:rsidR="00617DDD" w:rsidRDefault="00AD4320" w:rsidP="00491587">
      <w:pPr>
        <w:pStyle w:val="Kommentartekst"/>
      </w:pPr>
      <w:r>
        <w:rPr>
          <w:rStyle w:val="Kommentarhenvisning"/>
        </w:rPr>
        <w:annotationRef/>
      </w:r>
      <w:r w:rsidR="00617DDD">
        <w:t>(Til Mikael) Der er et eller andet der for lønninger til at stige meget derved priser til at stige meget som sænker økonomiske aktivitet. Jeg kigger på det igen inden mødet</w:t>
      </w:r>
    </w:p>
  </w:comment>
  <w:comment w:id="42" w:author="Mikael Randrup Byrialsen" w:date="2022-11-14T16:41:00Z" w:initials="MRB">
    <w:p w14:paraId="477488D1" w14:textId="77777777" w:rsidR="00724E4C" w:rsidRDefault="00724E4C" w:rsidP="003C3F0A">
      <w:r>
        <w:rPr>
          <w:rStyle w:val="Kommentarhenvisning"/>
        </w:rPr>
        <w:annotationRef/>
      </w:r>
      <w:r>
        <w:rPr>
          <w:sz w:val="20"/>
          <w:szCs w:val="20"/>
        </w:rPr>
        <w:t>Ok</w:t>
      </w:r>
    </w:p>
  </w:comment>
  <w:comment w:id="43"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44"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45" w:author="Simon Thomsen" w:date="2022-11-05T14:10:00Z" w:initials="ST">
    <w:p w14:paraId="26E5A343" w14:textId="24F20AA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6" w:author="Mikael Randrup Byrialsen" w:date="2022-11-15T08:05:00Z" w:initials="MRB">
    <w:p w14:paraId="63A832A0" w14:textId="77777777" w:rsidR="00A54F38" w:rsidRDefault="00A54F38" w:rsidP="001F7CCB">
      <w:r>
        <w:rPr>
          <w:rStyle w:val="Kommentarhenvisning"/>
        </w:rPr>
        <w:annotationRef/>
      </w:r>
      <w:r>
        <w:rPr>
          <w:sz w:val="20"/>
          <w:szCs w:val="20"/>
        </w:rPr>
        <w:t>?</w:t>
      </w:r>
    </w:p>
  </w:comment>
  <w:comment w:id="47"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48" w:author="Simon Thomsen" w:date="2022-11-14T12:47:00Z" w:initials="ST">
    <w:p w14:paraId="3CD7842B" w14:textId="77777777" w:rsidR="008417CA" w:rsidRDefault="008417CA" w:rsidP="00EE1844">
      <w:pPr>
        <w:pStyle w:val="Kommentartekst"/>
      </w:pPr>
      <w:r>
        <w:rPr>
          <w:rStyle w:val="Kommentarhenvisning"/>
        </w:rPr>
        <w:annotationRef/>
      </w:r>
      <w:r>
        <w:t>(Til Mikael) De næste 2 afsnit her er jeg lidt i tvivl om hvor godt jeg for forklaret.</w:t>
      </w:r>
    </w:p>
  </w:comment>
  <w:comment w:id="49"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50" w:author="Simon Thomsen" w:date="2022-11-14T12:46:00Z" w:initials="ST">
    <w:p w14:paraId="2A49966A" w14:textId="77777777" w:rsidR="008417CA" w:rsidRDefault="008417CA" w:rsidP="00B72B99">
      <w:pPr>
        <w:pStyle w:val="Kommentartekst"/>
      </w:pPr>
      <w:r>
        <w:rPr>
          <w:rStyle w:val="Kommentarhenvisning"/>
        </w:rPr>
        <w:annotationRef/>
      </w:r>
      <w:r>
        <w:t>Måske henvis til andre der finder dette resultat også</w:t>
      </w:r>
    </w:p>
  </w:comment>
  <w:comment w:id="51"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52" w:author="Simon Thomsen" w:date="2022-11-11T11:59:00Z" w:initials="ST">
    <w:p w14:paraId="7A325455" w14:textId="580CDECD" w:rsidR="00082FF3" w:rsidRDefault="00082FF3" w:rsidP="007E5CB5">
      <w:pPr>
        <w:pStyle w:val="Kommentartekst"/>
      </w:pPr>
      <w:r>
        <w:rPr>
          <w:rStyle w:val="Kommentarhenvisning"/>
        </w:rPr>
        <w:annotationRef/>
      </w:r>
      <w:r>
        <w:t>(Til Mikael) Måske bare fodnote? Eller bare slet?</w:t>
      </w:r>
    </w:p>
  </w:comment>
  <w:comment w:id="53" w:author="Simon Fløj Thomsen" w:date="2022-11-13T21:04:00Z" w:initials="SFT">
    <w:p w14:paraId="6D931D34" w14:textId="77777777" w:rsidR="00D00185" w:rsidRDefault="00D00185" w:rsidP="00E04E44">
      <w:pPr>
        <w:pStyle w:val="Kommentartekst"/>
      </w:pPr>
      <w:r>
        <w:rPr>
          <w:rStyle w:val="Kommentarhenvisning"/>
        </w:rPr>
        <w:annotationRef/>
      </w:r>
      <w:r>
        <w:t>Ved heller ik hvilke der er bedst at ændre i, måske consumption da alle andre lande ser ud til at have større effekt på consumption end investment</w:t>
      </w:r>
    </w:p>
  </w:comment>
  <w:comment w:id="54" w:author="Mikael Randrup Byrialsen" w:date="2022-11-15T08:21:00Z" w:initials="MRB">
    <w:p w14:paraId="025AAC5B" w14:textId="77777777" w:rsidR="006C3F78" w:rsidRDefault="006C3F78" w:rsidP="000E70AC">
      <w:r>
        <w:rPr>
          <w:rStyle w:val="Kommentarhenvisning"/>
        </w:rPr>
        <w:annotationRef/>
      </w:r>
      <w:r>
        <w:rPr>
          <w:sz w:val="20"/>
          <w:szCs w:val="20"/>
        </w:rPr>
        <w:t>Fodnote - alternativt, kan du sænke parametre foran profitandel i investeringsfunktionen</w:t>
      </w:r>
    </w:p>
  </w:comment>
  <w:comment w:id="55" w:author="Simon Thomsen" w:date="2022-11-07T10:55:00Z" w:initials="ST">
    <w:p w14:paraId="7707B8CB" w14:textId="39BC8714"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56" w:author="Mikael Randrup Byrialsen" w:date="2022-11-15T08:22:00Z" w:initials="MRB">
    <w:p w14:paraId="1096D319" w14:textId="77777777" w:rsidR="006C3F78" w:rsidRDefault="006C3F78" w:rsidP="008C3B3D">
      <w:r>
        <w:rPr>
          <w:rStyle w:val="Kommentarhenvisning"/>
        </w:rPr>
        <w:annotationRef/>
      </w:r>
      <w:r>
        <w:rPr>
          <w:sz w:val="20"/>
          <w:szCs w:val="20"/>
        </w:rPr>
        <w:t>Ikke helt sikker på, at jeg forstår meningen i dette afsnit</w:t>
      </w:r>
    </w:p>
  </w:comment>
  <w:comment w:id="57" w:author="Simon Thomsen" w:date="2022-11-15T14:50:00Z" w:initials="ST">
    <w:p w14:paraId="0D16919D" w14:textId="77777777" w:rsidR="00533E84" w:rsidRDefault="00533E84" w:rsidP="00B440DF">
      <w:pPr>
        <w:pStyle w:val="Kommentartekst"/>
      </w:pPr>
      <w:r>
        <w:rPr>
          <w:rStyle w:val="Kommentarhenvisning"/>
        </w:rPr>
        <w:annotationRef/>
      </w:r>
      <w:r>
        <w:t>Fodnote</w:t>
      </w:r>
    </w:p>
  </w:comment>
  <w:comment w:id="58"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9"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60"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61"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62"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63"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64" w:author="Simon Thomsen" w:date="2022-11-14T13:00:00Z" w:initials="ST">
    <w:p w14:paraId="269FB0CC" w14:textId="77777777" w:rsidR="001F1527" w:rsidRDefault="001F1527" w:rsidP="002009A8">
      <w:pPr>
        <w:pStyle w:val="Kommentartekst"/>
      </w:pPr>
      <w:r>
        <w:rPr>
          <w:rStyle w:val="Kommentarhenvisning"/>
        </w:rPr>
        <w:annotationRef/>
      </w:r>
      <w:r>
        <w:t xml:space="preserve">(Til Mikael) Forstår stadig ikke de bare kan det… Tror vi snakkede om at henvise dig til hvor de gør det, det er DØRS 2014 (link er i Reference list) side 164. </w:t>
      </w:r>
    </w:p>
  </w:comment>
  <w:comment w:id="65" w:author="Mikael Randrup Byrialsen" w:date="2022-11-15T08:30:00Z" w:initials="MRB">
    <w:p w14:paraId="5F8C8E84" w14:textId="77777777" w:rsidR="006C3F78" w:rsidRDefault="006C3F78" w:rsidP="00910FC4">
      <w:r>
        <w:rPr>
          <w:rStyle w:val="Kommentarhenvisning"/>
        </w:rPr>
        <w:annotationRef/>
      </w:r>
      <w:r>
        <w:rPr>
          <w:sz w:val="20"/>
          <w:szCs w:val="20"/>
        </w:rPr>
        <w:t>Tror de laver en implicit antagelse om konstant forbrugstilbøjelighed</w:t>
      </w:r>
    </w:p>
  </w:comment>
  <w:comment w:id="66" w:author="Simon Thomsen" w:date="2022-11-14T12:53:00Z" w:initials="ST">
    <w:p w14:paraId="037AF031" w14:textId="3F0DE916" w:rsidR="00B47F20" w:rsidRDefault="00B47F20" w:rsidP="00A155D2">
      <w:pPr>
        <w:pStyle w:val="Kommentartekst"/>
      </w:pPr>
      <w:r>
        <w:rPr>
          <w:rStyle w:val="Kommentarhenvisning"/>
        </w:rPr>
        <w:annotationRef/>
      </w:r>
      <w:r>
        <w:t>(Til Mikael) Måske bare slet?</w:t>
      </w:r>
    </w:p>
  </w:comment>
  <w:comment w:id="67" w:author="Mikael Randrup Byrialsen" w:date="2022-11-15T08:30:00Z" w:initials="MRB">
    <w:p w14:paraId="4D57F60C" w14:textId="77777777" w:rsidR="00473604" w:rsidRDefault="00473604" w:rsidP="00603020">
      <w:r>
        <w:rPr>
          <w:rStyle w:val="Kommentarhenvisning"/>
        </w:rPr>
        <w:annotationRef/>
      </w:r>
      <w:r>
        <w:rPr>
          <w:sz w:val="20"/>
          <w:szCs w:val="20"/>
        </w:rPr>
        <w:t>Slet</w:t>
      </w:r>
    </w:p>
  </w:comment>
  <w:comment w:id="68"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 w:id="69" w:author="Mikael Randrup Byrialsen" w:date="2022-11-15T08:32:00Z" w:initials="MRB">
    <w:p w14:paraId="64ED279F" w14:textId="77777777" w:rsidR="00473604" w:rsidRDefault="00473604" w:rsidP="004C346F">
      <w:r>
        <w:rPr>
          <w:rStyle w:val="Kommentarhenvisning"/>
        </w:rPr>
        <w:annotationRef/>
      </w:r>
      <w:r>
        <w:rPr>
          <w:sz w:val="20"/>
          <w:szCs w:val="20"/>
        </w:rPr>
        <w:t>Synes du mangler en afslutning på diskussionen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79E15364" w15:done="0"/>
  <w15:commentEx w15:paraId="45A0D051" w15:done="0"/>
  <w15:commentEx w15:paraId="48F000BE" w15:done="0"/>
  <w15:commentEx w15:paraId="44D35354" w15:done="1"/>
  <w15:commentEx w15:paraId="342450A7" w15:paraIdParent="44D35354" w15:done="1"/>
  <w15:commentEx w15:paraId="76D37A23" w15:paraIdParent="44D35354" w15:done="1"/>
  <w15:commentEx w15:paraId="48B00431" w15:paraIdParent="44D35354" w15:done="1"/>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0"/>
  <w15:commentEx w15:paraId="5C8790A3" w15:paraIdParent="68016E7D" w15:done="0"/>
  <w15:commentEx w15:paraId="1EFBF958" w15:paraIdParent="68016E7D" w15:done="0"/>
  <w15:commentEx w15:paraId="3558BB7D" w15:paraIdParent="68016E7D" w15:done="0"/>
  <w15:commentEx w15:paraId="7A1F065C" w15:done="0"/>
  <w15:commentEx w15:paraId="63EF22FD" w15:done="0"/>
  <w15:commentEx w15:paraId="57E653A4" w15:paraIdParent="63EF22FD" w15:done="0"/>
  <w15:commentEx w15:paraId="692C0846" w15:paraIdParent="63EF22FD" w15:done="0"/>
  <w15:commentEx w15:paraId="477488D1" w15:paraIdParent="63EF22FD" w15:done="0"/>
  <w15:commentEx w15:paraId="3F1597BB" w15:done="0"/>
  <w15:commentEx w15:paraId="4A80E27C" w15:done="0"/>
  <w15:commentEx w15:paraId="26E5A343" w15:done="0"/>
  <w15:commentEx w15:paraId="63A832A0" w15:paraIdParent="26E5A343" w15:done="0"/>
  <w15:commentEx w15:paraId="3865DC29" w15:done="0"/>
  <w15:commentEx w15:paraId="3CD7842B" w15:done="0"/>
  <w15:commentEx w15:paraId="74B2D764" w15:done="0"/>
  <w15:commentEx w15:paraId="2A49966A" w15:done="0"/>
  <w15:commentEx w15:paraId="4C7390F1" w15:paraIdParent="2A49966A" w15:done="0"/>
  <w15:commentEx w15:paraId="7A325455" w15:done="0"/>
  <w15:commentEx w15:paraId="6D931D34" w15:paraIdParent="7A325455" w15:done="0"/>
  <w15:commentEx w15:paraId="025AAC5B" w15:paraIdParent="7A325455" w15:done="0"/>
  <w15:commentEx w15:paraId="7707B8CB" w15:done="0"/>
  <w15:commentEx w15:paraId="1096D319" w15:paraIdParent="7707B8CB" w15:done="0"/>
  <w15:commentEx w15:paraId="0D16919D" w15:paraIdParent="7707B8CB"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269FB0CC" w15:done="0"/>
  <w15:commentEx w15:paraId="5F8C8E84" w15:paraIdParent="269FB0CC" w15:done="0"/>
  <w15:commentEx w15:paraId="037AF031" w15:done="0"/>
  <w15:commentEx w15:paraId="4D57F60C" w15:paraIdParent="037AF031" w15:done="0"/>
  <w15:commentEx w15:paraId="6DF8A367" w15:done="0"/>
  <w15:commentEx w15:paraId="64ED2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175B53" w16cex:dateUtc="2022-11-10T10:13:00Z"/>
  <w16cex:commentExtensible w16cex:durableId="271F2729" w16cex:dateUtc="2022-11-16T08:08:00Z"/>
  <w16cex:commentExtensible w16cex:durableId="271F26FC" w16cex:dateUtc="2022-11-16T08:08:00Z"/>
  <w16cex:commentExtensible w16cex:durableId="271B9F41" w16cex:dateUtc="2022-11-13T15:52:00Z"/>
  <w16cex:commentExtensible w16cex:durableId="271BC668" w16cex:dateUtc="2022-11-13T18:39:00Z"/>
  <w16cex:commentExtensible w16cex:durableId="271BD492" w16cex:dateUtc="2022-11-13T19:39:00Z"/>
  <w16cex:commentExtensible w16cex:durableId="271CEC75" w16cex:dateUtc="2022-11-14T15:33: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89ACA" w16cex:dateUtc="2022-11-11T08:56:00Z"/>
  <w16cex:commentExtensible w16cex:durableId="270D5FF7" w16cex:dateUtc="2022-11-02T20:30:00Z"/>
  <w16cex:commentExtensible w16cex:durableId="2714DC2A" w16cex:dateUtc="2022-11-08T12:46:00Z"/>
  <w16cex:commentExtensible w16cex:durableId="2717B563" w16cex:dateUtc="2022-11-10T16:37:00Z"/>
  <w16cex:commentExtensible w16cex:durableId="271CEE38" w16cex:dateUtc="2022-11-14T15:41: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DC6BF" w16cex:dateUtc="2022-11-15T07:05:00Z"/>
  <w16cex:commentExtensible w16cex:durableId="271BD779" w16cex:dateUtc="2022-11-13T19:52:00Z"/>
  <w16cex:commentExtensible w16cex:durableId="271CB757" w16cex:dateUtc="2022-11-14T11:47:00Z"/>
  <w16cex:commentExtensible w16cex:durableId="27135F64" w16cex:dateUtc="2022-11-07T09:41:00Z"/>
  <w16cex:commentExtensible w16cex:durableId="271CB71E" w16cex:dateUtc="2022-11-14T11:46:00Z"/>
  <w16cex:commentExtensible w16cex:durableId="271DCA33" w16cex:dateUtc="2022-11-15T07:20:00Z"/>
  <w16cex:commentExtensible w16cex:durableId="2718B7A8" w16cex:dateUtc="2022-11-11T10:59:00Z"/>
  <w16cex:commentExtensible w16cex:durableId="271BDA6B" w16cex:dateUtc="2022-11-13T20:04:00Z"/>
  <w16cex:commentExtensible w16cex:durableId="271DCA74" w16cex:dateUtc="2022-11-15T07:21:00Z"/>
  <w16cex:commentExtensible w16cex:durableId="27136295" w16cex:dateUtc="2022-11-07T09:55:00Z"/>
  <w16cex:commentExtensible w16cex:durableId="271DCAC1" w16cex:dateUtc="2022-11-15T07:22:00Z"/>
  <w16cex:commentExtensible w16cex:durableId="271E2599" w16cex:dateUtc="2022-11-15T13:50: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1CBA6F" w16cex:dateUtc="2022-11-14T12:00:00Z"/>
  <w16cex:commentExtensible w16cex:durableId="271DCCAA" w16cex:dateUtc="2022-11-15T07:30:00Z"/>
  <w16cex:commentExtensible w16cex:durableId="271CB8C4" w16cex:dateUtc="2022-11-14T11:53:00Z"/>
  <w16cex:commentExtensible w16cex:durableId="271DCCC3" w16cex:dateUtc="2022-11-15T07:30:00Z"/>
  <w16cex:commentExtensible w16cex:durableId="270F776A" w16cex:dateUtc="2022-11-04T10:35:00Z"/>
  <w16cex:commentExtensible w16cex:durableId="271DCD17" w16cex:dateUtc="2022-11-15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79E15364" w16cid:durableId="27175B53"/>
  <w16cid:commentId w16cid:paraId="45A0D051" w16cid:durableId="271F2729"/>
  <w16cid:commentId w16cid:paraId="48F000BE" w16cid:durableId="271F26FC"/>
  <w16cid:commentId w16cid:paraId="44D35354" w16cid:durableId="271B9F41"/>
  <w16cid:commentId w16cid:paraId="342450A7" w16cid:durableId="271BC668"/>
  <w16cid:commentId w16cid:paraId="76D37A23" w16cid:durableId="271BD492"/>
  <w16cid:commentId w16cid:paraId="48B00431" w16cid:durableId="271CEC75"/>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7A1F065C" w16cid:durableId="27189ACA"/>
  <w16cid:commentId w16cid:paraId="63EF22FD" w16cid:durableId="270D5FF7"/>
  <w16cid:commentId w16cid:paraId="57E653A4" w16cid:durableId="2714DC2A"/>
  <w16cid:commentId w16cid:paraId="692C0846" w16cid:durableId="2717B563"/>
  <w16cid:commentId w16cid:paraId="477488D1" w16cid:durableId="271CEE38"/>
  <w16cid:commentId w16cid:paraId="3F1597BB" w16cid:durableId="2718A476"/>
  <w16cid:commentId w16cid:paraId="4A80E27C" w16cid:durableId="2718A48C"/>
  <w16cid:commentId w16cid:paraId="26E5A343" w16cid:durableId="2710ED66"/>
  <w16cid:commentId w16cid:paraId="63A832A0" w16cid:durableId="271DC6BF"/>
  <w16cid:commentId w16cid:paraId="3865DC29" w16cid:durableId="271BD779"/>
  <w16cid:commentId w16cid:paraId="3CD7842B" w16cid:durableId="271CB757"/>
  <w16cid:commentId w16cid:paraId="74B2D764" w16cid:durableId="27135F64"/>
  <w16cid:commentId w16cid:paraId="2A49966A" w16cid:durableId="271CB71E"/>
  <w16cid:commentId w16cid:paraId="4C7390F1" w16cid:durableId="271DCA33"/>
  <w16cid:commentId w16cid:paraId="7A325455" w16cid:durableId="2718B7A8"/>
  <w16cid:commentId w16cid:paraId="6D931D34" w16cid:durableId="271BDA6B"/>
  <w16cid:commentId w16cid:paraId="025AAC5B" w16cid:durableId="271DCA74"/>
  <w16cid:commentId w16cid:paraId="7707B8CB" w16cid:durableId="27136295"/>
  <w16cid:commentId w16cid:paraId="1096D319" w16cid:durableId="271DCAC1"/>
  <w16cid:commentId w16cid:paraId="0D16919D" w16cid:durableId="271E2599"/>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269FB0CC" w16cid:durableId="271CBA6F"/>
  <w16cid:commentId w16cid:paraId="5F8C8E84" w16cid:durableId="271DCCAA"/>
  <w16cid:commentId w16cid:paraId="037AF031" w16cid:durableId="271CB8C4"/>
  <w16cid:commentId w16cid:paraId="4D57F60C" w16cid:durableId="271DCCC3"/>
  <w16cid:commentId w16cid:paraId="6DF8A367" w16cid:durableId="270F776A"/>
  <w16cid:commentId w16cid:paraId="64ED279F" w16cid:durableId="271DC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04DD" w14:textId="77777777" w:rsidR="00065607" w:rsidRDefault="00065607" w:rsidP="005F6ED0">
      <w:pPr>
        <w:spacing w:after="0" w:line="240" w:lineRule="auto"/>
      </w:pPr>
      <w:r>
        <w:separator/>
      </w:r>
    </w:p>
  </w:endnote>
  <w:endnote w:type="continuationSeparator" w:id="0">
    <w:p w14:paraId="65A2C9C7" w14:textId="77777777" w:rsidR="00065607" w:rsidRDefault="00065607"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9E97" w14:textId="77777777" w:rsidR="00065607" w:rsidRDefault="00065607" w:rsidP="005F6ED0">
      <w:pPr>
        <w:spacing w:after="0" w:line="240" w:lineRule="auto"/>
      </w:pPr>
      <w:r>
        <w:separator/>
      </w:r>
    </w:p>
  </w:footnote>
  <w:footnote w:type="continuationSeparator" w:id="0">
    <w:p w14:paraId="0762CDAC" w14:textId="77777777" w:rsidR="00065607" w:rsidRDefault="00065607"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65607"/>
    <w:rsid w:val="0007004A"/>
    <w:rsid w:val="00072C21"/>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6093"/>
    <w:rsid w:val="000B0204"/>
    <w:rsid w:val="000B3321"/>
    <w:rsid w:val="000B6CD9"/>
    <w:rsid w:val="000C24CF"/>
    <w:rsid w:val="000C2886"/>
    <w:rsid w:val="000C36D7"/>
    <w:rsid w:val="000C3E5C"/>
    <w:rsid w:val="000C6735"/>
    <w:rsid w:val="000D2FC6"/>
    <w:rsid w:val="000D5AB6"/>
    <w:rsid w:val="000D5EFB"/>
    <w:rsid w:val="000D74F8"/>
    <w:rsid w:val="000D7CF7"/>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3E84"/>
    <w:rsid w:val="00534BD7"/>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17DDD"/>
    <w:rsid w:val="00620D69"/>
    <w:rsid w:val="006220BD"/>
    <w:rsid w:val="00622BF2"/>
    <w:rsid w:val="00623D36"/>
    <w:rsid w:val="00623E6C"/>
    <w:rsid w:val="00624555"/>
    <w:rsid w:val="00626459"/>
    <w:rsid w:val="00630334"/>
    <w:rsid w:val="00631720"/>
    <w:rsid w:val="006319C6"/>
    <w:rsid w:val="006342B2"/>
    <w:rsid w:val="00634972"/>
    <w:rsid w:val="00635057"/>
    <w:rsid w:val="00636A70"/>
    <w:rsid w:val="00637370"/>
    <w:rsid w:val="00637774"/>
    <w:rsid w:val="006409C0"/>
    <w:rsid w:val="00642B69"/>
    <w:rsid w:val="00642F26"/>
    <w:rsid w:val="006503D9"/>
    <w:rsid w:val="00653E38"/>
    <w:rsid w:val="006545D7"/>
    <w:rsid w:val="00656813"/>
    <w:rsid w:val="00661FFD"/>
    <w:rsid w:val="00662931"/>
    <w:rsid w:val="00662F9B"/>
    <w:rsid w:val="00663217"/>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3D50"/>
    <w:rsid w:val="007E5408"/>
    <w:rsid w:val="007E6698"/>
    <w:rsid w:val="007F1377"/>
    <w:rsid w:val="007F2C8D"/>
    <w:rsid w:val="007F31FE"/>
    <w:rsid w:val="008054B1"/>
    <w:rsid w:val="00805A76"/>
    <w:rsid w:val="00807E9E"/>
    <w:rsid w:val="00810B0B"/>
    <w:rsid w:val="00812DCC"/>
    <w:rsid w:val="00816EA0"/>
    <w:rsid w:val="008202D6"/>
    <w:rsid w:val="00821C96"/>
    <w:rsid w:val="0082326F"/>
    <w:rsid w:val="00823363"/>
    <w:rsid w:val="00823A0C"/>
    <w:rsid w:val="00834D3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47F20"/>
    <w:rsid w:val="00B503F9"/>
    <w:rsid w:val="00B51E9A"/>
    <w:rsid w:val="00B562FC"/>
    <w:rsid w:val="00B60855"/>
    <w:rsid w:val="00B64ACD"/>
    <w:rsid w:val="00B65BE8"/>
    <w:rsid w:val="00B70CFA"/>
    <w:rsid w:val="00B73DDB"/>
    <w:rsid w:val="00B813C7"/>
    <w:rsid w:val="00B85C3E"/>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4E01"/>
    <w:rsid w:val="00EF56E5"/>
    <w:rsid w:val="00F010F8"/>
    <w:rsid w:val="00F04E63"/>
    <w:rsid w:val="00F0515C"/>
    <w:rsid w:val="00F064D3"/>
    <w:rsid w:val="00F10544"/>
    <w:rsid w:val="00F13439"/>
    <w:rsid w:val="00F1397C"/>
    <w:rsid w:val="00F1731B"/>
    <w:rsid w:val="00F22808"/>
    <w:rsid w:val="00F228AF"/>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52</Pages>
  <Words>34870</Words>
  <Characters>198760</Characters>
  <Application>Microsoft Office Word</Application>
  <DocSecurity>0</DocSecurity>
  <Lines>1656</Lines>
  <Paragraphs>466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6</cp:revision>
  <dcterms:created xsi:type="dcterms:W3CDTF">2022-11-15T14:32:00Z</dcterms:created>
  <dcterms:modified xsi:type="dcterms:W3CDTF">2022-11-16T09:16:00Z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