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2E509361" w:rsidR="003C249F" w:rsidRDefault="00766C31" w:rsidP="0019115C">
      <w:pPr>
        <w:pStyle w:val="Overskrift1"/>
      </w:pPr>
      <w:r>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6D3B9580"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w:t>
      </w:r>
      <w:r w:rsidR="002B1E0C">
        <w:rPr>
          <w:sz w:val="24"/>
          <w:szCs w:val="24"/>
        </w:rPr>
        <w:t>,</w:t>
      </w:r>
      <w:r w:rsidR="004A21DF" w:rsidRPr="00AB3D2F">
        <w:rPr>
          <w:sz w:val="24"/>
          <w:szCs w:val="24"/>
        </w:rPr>
        <w:t xml:space="preserve">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9F88D4E"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to the</w:t>
      </w:r>
      <w:r w:rsidR="00AE3C66">
        <w:rPr>
          <w:sz w:val="24"/>
          <w:szCs w:val="24"/>
        </w:rPr>
        <w:t xml:space="preserve">se effects </w:t>
      </w:r>
      <w:r w:rsidR="00791AAF">
        <w:rPr>
          <w:sz w:val="24"/>
          <w:szCs w:val="24"/>
        </w:rPr>
        <w:t xml:space="preserve"> </w:t>
      </w:r>
      <w:r w:rsidR="00AE3C66">
        <w:rPr>
          <w:sz w:val="24"/>
          <w:szCs w:val="24"/>
        </w:rPr>
        <w:t>where</w:t>
      </w:r>
      <w:r w:rsidR="00791AAF">
        <w:rPr>
          <w:sz w:val="24"/>
          <w:szCs w:val="24"/>
        </w:rPr>
        <w:t xml:space="preserve"> </w:t>
      </w:r>
      <w:r w:rsidR="00AE3C66">
        <w:rPr>
          <w:sz w:val="24"/>
          <w:szCs w:val="24"/>
        </w:rPr>
        <w:t>income is the</w:t>
      </w:r>
      <w:r w:rsidR="00791AAF">
        <w:rPr>
          <w:sz w:val="24"/>
          <w:szCs w:val="24"/>
        </w:rPr>
        <w:t xml:space="preserve"> only factor when </w:t>
      </w:r>
      <w:r w:rsidR="00AE3C66">
        <w:rPr>
          <w:sz w:val="24"/>
          <w:szCs w:val="24"/>
        </w:rPr>
        <w:t>looking at incentives when switching between</w:t>
      </w:r>
      <w:r w:rsidR="00791AAF">
        <w:rPr>
          <w:sz w:val="24"/>
          <w:szCs w:val="24"/>
        </w:rPr>
        <w:t xml:space="preserve"> employment</w:t>
      </w:r>
      <w:r w:rsidR="00AE3C66">
        <w:rPr>
          <w:sz w:val="24"/>
          <w:szCs w:val="24"/>
        </w:rPr>
        <w:t xml:space="preserve"> and unemployment</w:t>
      </w:r>
      <w:r w:rsidR="00791AA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0F35CA50"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w:t>
      </w:r>
      <w:r w:rsidR="00F25725">
        <w:rPr>
          <w:sz w:val="24"/>
          <w:szCs w:val="24"/>
        </w:rPr>
        <w:t>almost zero</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F25725">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r w:rsidR="00642B69">
        <w:rPr>
          <w:sz w:val="24"/>
          <w:szCs w:val="24"/>
        </w:rPr>
        <w:t>P</w:t>
      </w:r>
      <w:r w:rsidR="00CA2502" w:rsidRPr="00AB3D2F">
        <w:rPr>
          <w:sz w:val="24"/>
          <w:szCs w:val="24"/>
        </w:rPr>
        <w:t xml:space="preserve">ost-Keynesian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3768AF9C"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 xml:space="preserve">concludes that based on new literature the estimate of the approach </w:t>
      </w:r>
      <w:r w:rsidR="006550CF">
        <w:rPr>
          <w:sz w:val="24"/>
          <w:szCs w:val="24"/>
        </w:rPr>
        <w:t>rate</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w:t>
      </w:r>
      <w:r w:rsidR="006550CF">
        <w:rPr>
          <w:sz w:val="24"/>
          <w:szCs w:val="24"/>
        </w:rPr>
        <w:t>rate</w:t>
      </w:r>
      <w:r w:rsidR="00B07814" w:rsidRPr="00AB3D2F">
        <w:rPr>
          <w:sz w:val="24"/>
          <w:szCs w:val="24"/>
        </w:rPr>
        <w:t xml:space="preserve">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w:t>
      </w:r>
      <w:r w:rsidR="006550CF">
        <w:rPr>
          <w:sz w:val="24"/>
          <w:szCs w:val="24"/>
        </w:rPr>
        <w:t>rate</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51A2D7F8"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r w:rsidR="006550CF">
        <w:rPr>
          <w:sz w:val="24"/>
          <w:szCs w:val="24"/>
        </w:rPr>
        <w:t xml:space="preserve">a </w:t>
      </w:r>
      <w:r w:rsidR="006550CF" w:rsidRPr="00AB3D2F">
        <w:rPr>
          <w:sz w:val="24"/>
          <w:szCs w:val="24"/>
        </w:rPr>
        <w:t>change</w:t>
      </w:r>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7C15D46F"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w:t>
      </w:r>
      <w:r w:rsidR="005A47A9">
        <w:rPr>
          <w:sz w:val="24"/>
          <w:szCs w:val="24"/>
        </w:rPr>
        <w:t>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w:t>
      </w:r>
      <w:r w:rsidR="005A47A9">
        <w:rPr>
          <w:sz w:val="24"/>
          <w:szCs w:val="24"/>
        </w:rPr>
        <w:t>un</w:t>
      </w:r>
      <w:r w:rsidR="0099039F" w:rsidRPr="00AB3D2F">
        <w:rPr>
          <w:sz w:val="24"/>
          <w:szCs w:val="24"/>
        </w:rPr>
        <w:t xml:space="preserve">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0F5694DD" w:rsidR="003D4B98" w:rsidRPr="00AB3D2F" w:rsidRDefault="003D4B98" w:rsidP="003C249F">
      <w:pPr>
        <w:pStyle w:val="Listeafsnit"/>
        <w:numPr>
          <w:ilvl w:val="0"/>
          <w:numId w:val="3"/>
        </w:numPr>
        <w:spacing w:line="360" w:lineRule="auto"/>
        <w:rPr>
          <w:sz w:val="24"/>
          <w:szCs w:val="24"/>
        </w:rPr>
      </w:pPr>
      <w:r w:rsidRPr="00AB3D2F">
        <w:rPr>
          <w:sz w:val="24"/>
          <w:szCs w:val="24"/>
        </w:rPr>
        <w:t>The exit rate is the same just before joining the insurance program as right after.</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6F8B13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w:t>
      </w:r>
      <w:r w:rsidR="005A47A9">
        <w:rPr>
          <w:sz w:val="24"/>
          <w:szCs w:val="24"/>
        </w:rPr>
        <w:t>o</w:t>
      </w:r>
      <w:r>
        <w:rPr>
          <w:sz w:val="24"/>
          <w:szCs w:val="24"/>
        </w:rPr>
        <w:t>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w:t>
      </w:r>
      <w:r w:rsidR="005A47A9">
        <w:rPr>
          <w:sz w:val="24"/>
          <w:szCs w:val="24"/>
        </w:rPr>
        <w:t>for</w:t>
      </w:r>
      <w:r w:rsidR="00EF4E01" w:rsidRPr="00AB3D2F">
        <w:rPr>
          <w:sz w:val="24"/>
          <w:szCs w:val="24"/>
        </w:rPr>
        <w:t xml:space="preserve">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741BA35D" w:rsidR="004D12B6" w:rsidRPr="00AB3D2F" w:rsidRDefault="00B40CDF" w:rsidP="004D12B6">
      <w:pPr>
        <w:spacing w:line="360" w:lineRule="auto"/>
        <w:rPr>
          <w:sz w:val="24"/>
          <w:szCs w:val="24"/>
        </w:rPr>
      </w:pPr>
      <w:r w:rsidRPr="00AB3D2F">
        <w:rPr>
          <w:sz w:val="24"/>
          <w:szCs w:val="24"/>
        </w:rPr>
        <w:t xml:space="preserve">In section 2 it was made clear that the approach </w:t>
      </w:r>
      <w:r w:rsidR="005A47A9">
        <w:rPr>
          <w:sz w:val="24"/>
          <w:szCs w:val="24"/>
        </w:rPr>
        <w:t>rate</w:t>
      </w:r>
      <w:r w:rsidRPr="00AB3D2F">
        <w:rPr>
          <w:sz w:val="24"/>
          <w:szCs w:val="24"/>
        </w:rPr>
        <w:t xml:space="preserve">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w:t>
      </w:r>
      <w:r w:rsidR="005A47A9">
        <w:rPr>
          <w:sz w:val="24"/>
          <w:szCs w:val="24"/>
        </w:rPr>
        <w:t>rate</w:t>
      </w:r>
      <w:r w:rsidR="00362B72" w:rsidRPr="00AB3D2F">
        <w:rPr>
          <w:sz w:val="24"/>
          <w:szCs w:val="24"/>
        </w:rPr>
        <w:t xml:space="preserve">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5A47A9">
        <w:rPr>
          <w:sz w:val="24"/>
          <w:szCs w:val="24"/>
        </w:rPr>
        <w:fldChar w:fldCharType="begin" w:fldLock="1"/>
      </w:r>
      <w:r w:rsidR="00127EA8">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5A47A9">
        <w:rPr>
          <w:sz w:val="24"/>
          <w:szCs w:val="24"/>
        </w:rPr>
        <w:fldChar w:fldCharType="separate"/>
      </w:r>
      <w:r w:rsidR="005A47A9" w:rsidRPr="005A47A9">
        <w:rPr>
          <w:noProof/>
          <w:sz w:val="24"/>
          <w:szCs w:val="24"/>
        </w:rPr>
        <w:t>(Andersen et al., 2015)</w:t>
      </w:r>
      <w:r w:rsidR="005A47A9">
        <w:rPr>
          <w:sz w:val="24"/>
          <w:szCs w:val="24"/>
        </w:rPr>
        <w:fldChar w:fldCharType="end"/>
      </w:r>
      <w:r w:rsidR="009F5BDB" w:rsidRPr="00AB3D2F">
        <w:rPr>
          <w:sz w:val="24"/>
          <w:szCs w:val="24"/>
        </w:rPr>
        <w:t xml:space="preserve">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5212AE79"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the literature available at the time the model was built, as well as newer literature. As noted in section 2 newer literature </w:t>
      </w:r>
      <w:r w:rsidR="005A47A9">
        <w:rPr>
          <w:sz w:val="24"/>
          <w:szCs w:val="24"/>
        </w:rPr>
        <w:t>is</w:t>
      </w:r>
      <w:r w:rsidRPr="00AB3D2F">
        <w:rPr>
          <w:sz w:val="24"/>
          <w:szCs w:val="24"/>
        </w:rPr>
        <w:t xml:space="preserv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w:t>
      </w:r>
      <w:commentRangeStart w:id="8"/>
      <w:r w:rsidR="00473312" w:rsidRPr="00AB3D2F">
        <w:rPr>
          <w:sz w:val="24"/>
          <w:szCs w:val="24"/>
        </w:rPr>
        <w:t xml:space="preserve">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commentRangeEnd w:id="8"/>
      <w:r w:rsidR="00127EA8">
        <w:rPr>
          <w:rStyle w:val="Kommentarhenvisning"/>
        </w:rPr>
        <w:commentReference w:id="8"/>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0D561F36" w:rsidR="003205F7" w:rsidRPr="00AB3D2F" w:rsidRDefault="00127EA8" w:rsidP="006342B2">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sidR="00C17E43">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sidR="00C17E43">
        <w:rPr>
          <w:rFonts w:cstheme="minorHAnsi"/>
          <w:sz w:val="24"/>
          <w:szCs w:val="24"/>
        </w:rPr>
        <w:t xml:space="preserve"> as well as the model used for this paper,</w:t>
      </w:r>
      <w:r>
        <w:rPr>
          <w:rFonts w:cstheme="minorHAnsi"/>
          <w:sz w:val="24"/>
          <w:szCs w:val="24"/>
        </w:rPr>
        <w:t xml:space="preserve"> unemployment</w:t>
      </w:r>
      <w:r w:rsidR="003205F7" w:rsidRPr="00AB3D2F">
        <w:rPr>
          <w:rFonts w:cstheme="minorHAnsi"/>
          <w:sz w:val="24"/>
          <w:szCs w:val="24"/>
        </w:rPr>
        <w:t xml:space="preserve"> </w:t>
      </w:r>
      <w:r w:rsidR="00933BEF">
        <w:rPr>
          <w:rFonts w:cstheme="minorHAnsi"/>
          <w:sz w:val="24"/>
          <w:szCs w:val="24"/>
        </w:rPr>
        <w:t>is defined as</w:t>
      </w:r>
      <w:r w:rsidR="003205F7"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003205F7"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2F87DDA"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4364BB69"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w:t>
      </w:r>
      <w:r w:rsidR="00C17E43">
        <w:rPr>
          <w:rFonts w:eastAsiaTheme="minorEastAsia" w:cstheme="minorHAnsi"/>
          <w:sz w:val="24"/>
          <w:szCs w:val="24"/>
        </w:rPr>
        <w:t xml:space="preserve"> in contrast to the model presented by </w:t>
      </w:r>
      <w:r w:rsidR="00C17E43">
        <w:rPr>
          <w:rFonts w:eastAsiaTheme="minorEastAsia" w:cstheme="minorHAnsi"/>
          <w:sz w:val="24"/>
          <w:szCs w:val="24"/>
        </w:rPr>
        <w:fldChar w:fldCharType="begin" w:fldLock="1"/>
      </w:r>
      <w:r w:rsidR="00451A55">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C17E43">
        <w:rPr>
          <w:rFonts w:eastAsiaTheme="minorEastAsia" w:cstheme="minorHAnsi"/>
          <w:sz w:val="24"/>
          <w:szCs w:val="24"/>
        </w:rPr>
        <w:fldChar w:fldCharType="separate"/>
      </w:r>
      <w:r w:rsidR="00C17E43" w:rsidRPr="00C17E43">
        <w:rPr>
          <w:rFonts w:eastAsiaTheme="minorEastAsia" w:cstheme="minorHAnsi"/>
          <w:noProof/>
          <w:sz w:val="24"/>
          <w:szCs w:val="24"/>
        </w:rPr>
        <w:t>(Byrialsen &amp; Raza, 2018)</w:t>
      </w:r>
      <w:r w:rsidR="00C17E43">
        <w:rPr>
          <w:rFonts w:eastAsiaTheme="minorEastAsia" w:cstheme="minorHAnsi"/>
          <w:sz w:val="24"/>
          <w:szCs w:val="24"/>
        </w:rPr>
        <w:fldChar w:fldCharType="end"/>
      </w:r>
      <w:r w:rsidR="00327399" w:rsidRPr="00AB3D2F">
        <w:rPr>
          <w:rFonts w:eastAsiaTheme="minorEastAsia" w:cstheme="minorHAnsi"/>
          <w:sz w:val="24"/>
          <w:szCs w:val="24"/>
        </w:rPr>
        <w:t xml:space="preserve"> </w:t>
      </w:r>
      <w:r w:rsidR="00C17E43">
        <w:rPr>
          <w:rFonts w:eastAsiaTheme="minorEastAsia" w:cstheme="minorHAnsi"/>
          <w:sz w:val="24"/>
          <w:szCs w:val="24"/>
        </w:rPr>
        <w:t>we</w:t>
      </w:r>
      <w:r w:rsidR="00327399" w:rsidRPr="00AB3D2F">
        <w:rPr>
          <w:rFonts w:eastAsiaTheme="minorEastAsia" w:cstheme="minorHAnsi"/>
          <w:sz w:val="24"/>
          <w:szCs w:val="24"/>
        </w:rPr>
        <w:t xml:space="preserve"> split</w:t>
      </w:r>
      <w:r w:rsidR="00C17E43">
        <w:rPr>
          <w:rFonts w:eastAsiaTheme="minorEastAsia" w:cstheme="minorHAnsi"/>
          <w:sz w:val="24"/>
          <w:szCs w:val="24"/>
        </w:rPr>
        <w:t xml:space="preserve"> this</w:t>
      </w:r>
      <w:r w:rsidR="00327399"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w:lastRenderedPageBreak/>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58F4ACAA" w14:textId="63C49490" w:rsidR="00AE3754" w:rsidRPr="00AB3D2F" w:rsidRDefault="00C17E43" w:rsidP="00C17E43">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00094148" w:rsidRPr="00AB3D2F">
        <w:rPr>
          <w:rFonts w:cstheme="minorHAnsi"/>
          <w:sz w:val="24"/>
          <w:szCs w:val="24"/>
        </w:rPr>
        <w:t xml:space="preserve">In appendix we have included a </w:t>
      </w:r>
      <w:commentRangeStart w:id="10"/>
      <w:r w:rsidR="00094148" w:rsidRPr="00AB3D2F">
        <w:rPr>
          <w:rFonts w:cstheme="minorHAnsi"/>
          <w:sz w:val="24"/>
          <w:szCs w:val="24"/>
        </w:rPr>
        <w:t xml:space="preserve">DAG </w:t>
      </w:r>
      <w:commentRangeEnd w:id="10"/>
      <w:r w:rsidR="00BB0046">
        <w:rPr>
          <w:rStyle w:val="Kommentarhenvisning"/>
        </w:rPr>
        <w:commentReference w:id="10"/>
      </w:r>
      <w:r w:rsidR="00094148"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1"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1"/>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lastRenderedPageBreak/>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2"/>
      <w:r w:rsidRPr="00AB3D2F">
        <w:rPr>
          <w:rFonts w:cstheme="minorHAnsi"/>
          <w:sz w:val="24"/>
          <w:szCs w:val="24"/>
        </w:rPr>
        <w:t>less</w:t>
      </w:r>
      <w:commentRangeEnd w:id="12"/>
      <w:r w:rsidRPr="00AB3D2F">
        <w:rPr>
          <w:rStyle w:val="Kommentarhenvisning"/>
          <w:rFonts w:cstheme="minorHAnsi"/>
          <w:sz w:val="24"/>
          <w:szCs w:val="24"/>
        </w:rPr>
        <w:commentReference w:id="12"/>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3"/>
      <w:r w:rsidRPr="00AB3D2F">
        <w:rPr>
          <w:rFonts w:cstheme="minorHAnsi"/>
          <w:sz w:val="24"/>
          <w:szCs w:val="24"/>
        </w:rPr>
        <w:t>insurance rate</w:t>
      </w:r>
      <w:r w:rsidR="007A68BD" w:rsidRPr="00AB3D2F">
        <w:rPr>
          <w:rFonts w:cstheme="minorHAnsi"/>
          <w:sz w:val="24"/>
          <w:szCs w:val="24"/>
        </w:rPr>
        <w:t xml:space="preserve"> </w:t>
      </w:r>
      <w:commentRangeEnd w:id="13"/>
      <w:r w:rsidR="007A68BD" w:rsidRPr="00AB3D2F">
        <w:rPr>
          <w:rStyle w:val="Kommentarhenvisning"/>
          <w:rFonts w:cstheme="minorHAnsi"/>
          <w:sz w:val="24"/>
          <w:szCs w:val="24"/>
        </w:rPr>
        <w:commentReference w:id="13"/>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lastRenderedPageBreak/>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4"/>
      <w:r w:rsidRPr="00AB3D2F">
        <w:rPr>
          <w:rFonts w:cstheme="minorHAnsi"/>
          <w:sz w:val="24"/>
          <w:szCs w:val="24"/>
        </w:rPr>
        <w:t xml:space="preserve">government net lending. </w:t>
      </w:r>
      <w:commentRangeEnd w:id="14"/>
      <w:r w:rsidR="00C57F78" w:rsidRPr="00AB3D2F">
        <w:rPr>
          <w:rStyle w:val="Kommentarhenvisning"/>
          <w:rFonts w:cstheme="minorHAnsi"/>
          <w:sz w:val="24"/>
          <w:szCs w:val="24"/>
        </w:rPr>
        <w:commentReference w:id="14"/>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5"/>
      <w:r w:rsidR="007D0CB8" w:rsidRPr="00AC0541">
        <w:rPr>
          <w:sz w:val="24"/>
          <w:szCs w:val="24"/>
        </w:rPr>
        <w:t>insurance</w:t>
      </w:r>
      <w:commentRangeEnd w:id="15"/>
      <w:r w:rsidR="00172AD0" w:rsidRPr="00AC0541">
        <w:rPr>
          <w:rStyle w:val="Kommentarhenvisning"/>
          <w:sz w:val="24"/>
          <w:szCs w:val="24"/>
        </w:rPr>
        <w:commentReference w:id="15"/>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16"/>
      <w:commentRangeStart w:id="17"/>
      <w:r w:rsidR="00410595" w:rsidRPr="00AC0541">
        <w:rPr>
          <w:sz w:val="24"/>
          <w:szCs w:val="24"/>
        </w:rPr>
        <w:t xml:space="preserve">appendix </w:t>
      </w:r>
      <w:commentRangeEnd w:id="16"/>
      <w:r w:rsidR="00410595" w:rsidRPr="00AC0541">
        <w:rPr>
          <w:rStyle w:val="Kommentarhenvisning"/>
          <w:sz w:val="24"/>
          <w:szCs w:val="24"/>
        </w:rPr>
        <w:commentReference w:id="16"/>
      </w:r>
      <w:commentRangeEnd w:id="17"/>
      <w:r w:rsidR="00C04157" w:rsidRPr="00AC0541">
        <w:rPr>
          <w:rStyle w:val="Kommentarhenvisning"/>
          <w:sz w:val="24"/>
          <w:szCs w:val="24"/>
        </w:rPr>
        <w:commentReference w:id="17"/>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18"/>
      <w:r w:rsidR="001A7BAE" w:rsidRPr="00AC0541">
        <w:rPr>
          <w:sz w:val="24"/>
          <w:szCs w:val="24"/>
        </w:rPr>
        <w:t>wages</w:t>
      </w:r>
      <w:commentRangeEnd w:id="18"/>
      <w:r w:rsidR="00BF11E0" w:rsidRPr="00AC0541">
        <w:rPr>
          <w:rStyle w:val="Kommentarhenvisning"/>
          <w:sz w:val="24"/>
          <w:szCs w:val="24"/>
        </w:rPr>
        <w:commentReference w:id="18"/>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19"/>
      <w:commentRangeStart w:id="20"/>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19"/>
      <w:r w:rsidR="00D74D8E" w:rsidRPr="00AC0541">
        <w:rPr>
          <w:rStyle w:val="Kommentarhenvisning"/>
          <w:sz w:val="24"/>
          <w:szCs w:val="24"/>
        </w:rPr>
        <w:commentReference w:id="19"/>
      </w:r>
      <w:commentRangeEnd w:id="20"/>
      <w:r w:rsidR="009705F4" w:rsidRPr="00AC0541">
        <w:rPr>
          <w:rStyle w:val="Kommentarhenvisning"/>
          <w:sz w:val="24"/>
          <w:szCs w:val="24"/>
        </w:rPr>
        <w:commentReference w:id="20"/>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1"/>
      <w:commentRangeStart w:id="22"/>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1"/>
      <w:commentRangeEnd w:id="22"/>
      <w:r w:rsidR="00D74D8E" w:rsidRPr="00AC0541">
        <w:rPr>
          <w:rStyle w:val="Kommentarhenvisning"/>
          <w:sz w:val="24"/>
          <w:szCs w:val="24"/>
        </w:rPr>
        <w:lastRenderedPageBreak/>
        <w:commentReference w:id="21"/>
      </w:r>
      <w:r w:rsidR="0075087B" w:rsidRPr="00AC0541">
        <w:rPr>
          <w:rStyle w:val="Kommentarhenvisning"/>
          <w:sz w:val="24"/>
          <w:szCs w:val="24"/>
        </w:rPr>
        <w:commentReference w:id="22"/>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3"/>
      <w:r w:rsidR="003856B0" w:rsidRPr="00AC0541">
        <w:rPr>
          <w:sz w:val="24"/>
          <w:szCs w:val="24"/>
        </w:rPr>
        <w:t>2020</w:t>
      </w:r>
      <w:r w:rsidR="008E3678">
        <w:rPr>
          <w:sz w:val="24"/>
          <w:szCs w:val="24"/>
        </w:rPr>
        <w:t xml:space="preserve">. </w:t>
      </w:r>
      <w:commentRangeEnd w:id="23"/>
      <w:r w:rsidR="008E3678">
        <w:rPr>
          <w:rStyle w:val="Kommentarhenvisning"/>
        </w:rPr>
        <w:commentReference w:id="23"/>
      </w:r>
      <w:r w:rsidR="008E3678">
        <w:rPr>
          <w:sz w:val="24"/>
          <w:szCs w:val="24"/>
        </w:rPr>
        <w:t xml:space="preserve"> </w:t>
      </w:r>
      <w:commentRangeStart w:id="24"/>
      <w:commentRangeStart w:id="25"/>
      <w:commentRangeStart w:id="26"/>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4"/>
      <w:r w:rsidR="00D74D8E" w:rsidRPr="00AC0541">
        <w:rPr>
          <w:rStyle w:val="Kommentarhenvisning"/>
          <w:sz w:val="24"/>
          <w:szCs w:val="24"/>
        </w:rPr>
        <w:commentReference w:id="24"/>
      </w:r>
      <w:commentRangeEnd w:id="25"/>
      <w:r w:rsidR="008E3678">
        <w:rPr>
          <w:rStyle w:val="Kommentarhenvisning"/>
        </w:rPr>
        <w:commentReference w:id="25"/>
      </w:r>
      <w:commentRangeEnd w:id="26"/>
      <w:r w:rsidR="00904699">
        <w:rPr>
          <w:rStyle w:val="Kommentarhenvisning"/>
        </w:rPr>
        <w:commentReference w:id="26"/>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27"/>
      <w:r w:rsidRPr="00AC0541">
        <w:rPr>
          <w:sz w:val="24"/>
          <w:szCs w:val="24"/>
        </w:rPr>
        <w:t>program</w:t>
      </w:r>
      <w:commentRangeEnd w:id="27"/>
      <w:r w:rsidR="00A63068" w:rsidRPr="00AC0541">
        <w:rPr>
          <w:rStyle w:val="Kommentarhenvisning"/>
          <w:sz w:val="24"/>
          <w:szCs w:val="24"/>
        </w:rPr>
        <w:commentReference w:id="27"/>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28"/>
      <w:r w:rsidR="00DC2C78" w:rsidRPr="00AC0541">
        <w:rPr>
          <w:sz w:val="24"/>
          <w:szCs w:val="24"/>
        </w:rPr>
        <w:t xml:space="preserve">unemployed. </w:t>
      </w:r>
      <w:commentRangeEnd w:id="28"/>
      <w:r w:rsidR="00F5378C" w:rsidRPr="00AC0541">
        <w:rPr>
          <w:rStyle w:val="Kommentarhenvisning"/>
          <w:sz w:val="24"/>
          <w:szCs w:val="24"/>
        </w:rPr>
        <w:commentReference w:id="28"/>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29"/>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29"/>
      <w:r w:rsidR="00EB209C" w:rsidRPr="00AC0541">
        <w:rPr>
          <w:rStyle w:val="Kommentarhenvisning"/>
          <w:sz w:val="24"/>
          <w:szCs w:val="24"/>
        </w:rPr>
        <w:commentReference w:id="29"/>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0"/>
      <w:commentRangeStart w:id="31"/>
      <w:commentRangeStart w:id="32"/>
      <w:commentRangeStart w:id="33"/>
      <w:r w:rsidRPr="00AC0541">
        <w:rPr>
          <w:sz w:val="24"/>
          <w:szCs w:val="24"/>
        </w:rPr>
        <w:t xml:space="preserve">approximately 150 </w:t>
      </w:r>
      <w:commentRangeEnd w:id="30"/>
      <w:r w:rsidR="00A36179" w:rsidRPr="00AC0541">
        <w:rPr>
          <w:rStyle w:val="Kommentarhenvisning"/>
          <w:sz w:val="24"/>
          <w:szCs w:val="24"/>
        </w:rPr>
        <w:commentReference w:id="30"/>
      </w:r>
      <w:commentRangeEnd w:id="31"/>
      <w:r w:rsidR="00617DDD">
        <w:rPr>
          <w:rStyle w:val="Kommentarhenvisning"/>
        </w:rPr>
        <w:commentReference w:id="31"/>
      </w:r>
      <w:commentRangeEnd w:id="32"/>
      <w:r w:rsidR="00724E4C">
        <w:rPr>
          <w:rStyle w:val="Kommentarhenvisning"/>
        </w:rPr>
        <w:commentReference w:id="32"/>
      </w:r>
      <w:commentRangeEnd w:id="33"/>
      <w:r w:rsidR="009042A8">
        <w:rPr>
          <w:rStyle w:val="Kommentarhenvisning"/>
        </w:rPr>
        <w:commentReference w:id="33"/>
      </w:r>
      <w:r w:rsidRPr="00AC0541">
        <w:rPr>
          <w:sz w:val="24"/>
          <w:szCs w:val="24"/>
        </w:rPr>
        <w:t xml:space="preserve">people in this </w:t>
      </w:r>
      <w:commentRangeStart w:id="34"/>
      <w:r w:rsidRPr="00AC0541">
        <w:rPr>
          <w:sz w:val="24"/>
          <w:szCs w:val="24"/>
        </w:rPr>
        <w:t>scenario</w:t>
      </w:r>
      <w:commentRangeEnd w:id="34"/>
      <w:r w:rsidR="006A256A">
        <w:rPr>
          <w:rStyle w:val="Kommentarhenvisning"/>
        </w:rPr>
        <w:commentReference w:id="34"/>
      </w:r>
      <w:r w:rsidRPr="00AC0541">
        <w:rPr>
          <w:sz w:val="24"/>
          <w:szCs w:val="24"/>
        </w:rPr>
        <w:t xml:space="preserve">.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44F96970"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w:t>
      </w:r>
      <w:r w:rsidR="005114AE">
        <w:rPr>
          <w:sz w:val="24"/>
          <w:szCs w:val="24"/>
        </w:rPr>
        <w:t>In the model, t</w:t>
      </w:r>
      <w:r w:rsidRPr="00AC0541">
        <w:rPr>
          <w:sz w:val="24"/>
          <w:szCs w:val="24"/>
        </w:rPr>
        <w:t xml:space="preserve">he effect is included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5"/>
      <w:r w:rsidRPr="00AC0541">
        <w:rPr>
          <w:sz w:val="24"/>
          <w:szCs w:val="24"/>
        </w:rPr>
        <w:t xml:space="preserve">s.  </w:t>
      </w:r>
      <w:commentRangeEnd w:id="35"/>
      <w:r w:rsidR="00C63AC0" w:rsidRPr="00AC0541">
        <w:rPr>
          <w:rStyle w:val="Kommentarhenvisning"/>
          <w:sz w:val="24"/>
          <w:szCs w:val="24"/>
        </w:rPr>
        <w:commentReference w:id="35"/>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CD76E8D"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5114AE">
        <w:rPr>
          <w:sz w:val="24"/>
          <w:szCs w:val="24"/>
        </w:rPr>
        <w:t>.</w:t>
      </w:r>
      <w:r w:rsidR="00E65BE3">
        <w:rPr>
          <w:sz w:val="24"/>
          <w:szCs w:val="24"/>
        </w:rPr>
        <w:t xml:space="preserve"> </w:t>
      </w:r>
      <w:r w:rsidR="005114AE">
        <w:rPr>
          <w:sz w:val="24"/>
          <w:szCs w:val="24"/>
        </w:rPr>
        <w:t>I</w:t>
      </w:r>
      <w:r w:rsidR="00E65BE3">
        <w:rPr>
          <w:sz w:val="24"/>
          <w:szCs w:val="24"/>
        </w:rPr>
        <w:t>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27FC05DC"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w:t>
      </w:r>
      <w:r w:rsidR="005114AE">
        <w:rPr>
          <w:sz w:val="24"/>
          <w:szCs w:val="24"/>
        </w:rPr>
        <w:t>pay attention to</w:t>
      </w:r>
      <w:r w:rsidRPr="00AC0541">
        <w:rPr>
          <w:sz w:val="24"/>
          <w:szCs w:val="24"/>
        </w:rPr>
        <w:t xml:space="preserv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36"/>
      <w:r w:rsidR="006B51E7" w:rsidRPr="00A32739">
        <w:rPr>
          <w:sz w:val="24"/>
          <w:szCs w:val="24"/>
        </w:rPr>
        <w:t>23.000</w:t>
      </w:r>
      <w:commentRangeEnd w:id="36"/>
      <w:r w:rsidR="00A32739" w:rsidRPr="00A32739">
        <w:rPr>
          <w:rStyle w:val="Kommentarhenvisning"/>
          <w:sz w:val="24"/>
          <w:szCs w:val="24"/>
        </w:rPr>
        <w:commentReference w:id="36"/>
      </w:r>
      <w:r w:rsidR="00A32739" w:rsidRPr="00A32739">
        <w:rPr>
          <w:sz w:val="24"/>
          <w:szCs w:val="24"/>
        </w:rPr>
        <w:t xml:space="preserve">, </w:t>
      </w:r>
      <w:commentRangeStart w:id="37"/>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37"/>
      <w:r w:rsidR="00A32739" w:rsidRPr="00A32739">
        <w:rPr>
          <w:rStyle w:val="Kommentarhenvisning"/>
          <w:sz w:val="24"/>
          <w:szCs w:val="24"/>
        </w:rPr>
        <w:commentReference w:id="37"/>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38"/>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38"/>
      <w:r w:rsidR="00812DCC">
        <w:rPr>
          <w:rStyle w:val="Kommentarhenvisning"/>
        </w:rPr>
        <w:commentReference w:id="38"/>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56121AFB"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w:t>
      </w:r>
      <w:r w:rsidR="00790385">
        <w:rPr>
          <w:sz w:val="24"/>
          <w:szCs w:val="24"/>
        </w:rPr>
        <w:t>the celling for the maximum level of income insurance (replacement rate)</w:t>
      </w:r>
      <w:r w:rsidRPr="00847BCD">
        <w:rPr>
          <w:sz w:val="24"/>
          <w:szCs w:val="24"/>
        </w:rPr>
        <w:t xml:space="preserve">. </w:t>
      </w:r>
      <w:r w:rsidRPr="00847BCD">
        <w:rPr>
          <w:sz w:val="24"/>
          <w:szCs w:val="24"/>
        </w:rPr>
        <w:lastRenderedPageBreak/>
        <w:t xml:space="preserve">Overall, the elasticity of interest is in the order of 0.2–0.3. </w:t>
      </w:r>
      <w:r w:rsidR="003E1DD6" w:rsidRPr="00082FF3">
        <w:rPr>
          <w:sz w:val="24"/>
          <w:szCs w:val="24"/>
        </w:rPr>
        <w:t>The</w:t>
      </w:r>
      <w:r w:rsidR="00812DCC">
        <w:rPr>
          <w:sz w:val="24"/>
          <w:szCs w:val="24"/>
        </w:rPr>
        <w:t>y 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39"/>
      <w:r w:rsidR="009705F4">
        <w:rPr>
          <w:sz w:val="24"/>
          <w:szCs w:val="24"/>
        </w:rPr>
        <w:t>0.3</w:t>
      </w:r>
      <w:commentRangeEnd w:id="39"/>
      <w:r w:rsidR="009705F4">
        <w:rPr>
          <w:rStyle w:val="Kommentarhenvisning"/>
        </w:rPr>
        <w:commentReference w:id="39"/>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40"/>
      <w:r w:rsidR="00812DCC">
        <w:rPr>
          <w:sz w:val="24"/>
          <w:szCs w:val="24"/>
        </w:rPr>
        <w:t>model</w:t>
      </w:r>
      <w:r w:rsidR="005A1A86" w:rsidRPr="003642BF">
        <w:rPr>
          <w:sz w:val="24"/>
          <w:szCs w:val="24"/>
        </w:rPr>
        <w:t xml:space="preserve">. </w:t>
      </w:r>
      <w:commentRangeEnd w:id="40"/>
      <w:r w:rsidR="00B53960">
        <w:rPr>
          <w:rStyle w:val="Kommentarhenvisning"/>
        </w:rPr>
        <w:commentReference w:id="40"/>
      </w:r>
    </w:p>
    <w:p w14:paraId="65DA70AA" w14:textId="61041894"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w:t>
      </w:r>
      <w:r w:rsidR="00790385">
        <w:rPr>
          <w:sz w:val="24"/>
          <w:szCs w:val="24"/>
        </w:rPr>
        <w:t>Going back to the case of Denmark</w:t>
      </w:r>
      <w:r w:rsidR="007E2722">
        <w:rPr>
          <w:sz w:val="24"/>
          <w:szCs w:val="24"/>
        </w:rPr>
        <w:t xml:space="preserve">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w:t>
      </w:r>
      <w:r w:rsidR="00790385">
        <w:rPr>
          <w:sz w:val="24"/>
          <w:szCs w:val="24"/>
        </w:rPr>
        <w:t>the Danish economy</w:t>
      </w:r>
      <w:r w:rsidR="00B8620A">
        <w:rPr>
          <w:sz w:val="24"/>
          <w:szCs w:val="24"/>
        </w:rPr>
        <w:t xml:space="preserve"> to be weakly wage-led in the postwar period duo to a smaller negative effect of investments on GDP.</w:t>
      </w:r>
      <w:r w:rsidR="00D00185">
        <w:rPr>
          <w:sz w:val="24"/>
          <w:szCs w:val="24"/>
        </w:rPr>
        <w:t xml:space="preserve"> </w:t>
      </w:r>
      <w:commentRangeStart w:id="41"/>
      <w:commentRangeStart w:id="42"/>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41"/>
      <w:r w:rsidR="008417CA">
        <w:rPr>
          <w:rStyle w:val="Kommentarhenvisning"/>
        </w:rPr>
        <w:commentReference w:id="41"/>
      </w:r>
      <w:commentRangeEnd w:id="42"/>
      <w:r w:rsidR="00C053D9">
        <w:rPr>
          <w:rStyle w:val="Kommentarhenvisning"/>
        </w:rPr>
        <w:commentReference w:id="42"/>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lastRenderedPageBreak/>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w:t>
      </w:r>
      <w:commentRangeStart w:id="43"/>
      <w:r w:rsidR="00BB0FA4" w:rsidRPr="00847BCD">
        <w:rPr>
          <w:sz w:val="24"/>
          <w:szCs w:val="24"/>
        </w:rPr>
        <w:t xml:space="preserve">elasticity. </w:t>
      </w:r>
      <w:commentRangeEnd w:id="43"/>
      <w:r w:rsidR="002F4B66">
        <w:rPr>
          <w:rStyle w:val="Kommentarhenvisning"/>
        </w:rPr>
        <w:commentReference w:id="43"/>
      </w:r>
    </w:p>
    <w:p w14:paraId="122AAF47" w14:textId="18FF547E" w:rsidR="002A3975" w:rsidRPr="00C44380" w:rsidRDefault="00790385" w:rsidP="00847BCD">
      <w:pPr>
        <w:spacing w:line="360" w:lineRule="auto"/>
        <w:rPr>
          <w:sz w:val="24"/>
          <w:szCs w:val="24"/>
        </w:rPr>
      </w:pPr>
      <w:r>
        <w:rPr>
          <w:sz w:val="24"/>
          <w:szCs w:val="24"/>
        </w:rPr>
        <w:t>We estimate t</w:t>
      </w:r>
      <w:r w:rsidR="002A3975" w:rsidRPr="00C44380">
        <w:rPr>
          <w:sz w:val="24"/>
          <w:szCs w:val="24"/>
        </w:rPr>
        <w:t>he micro elasticity for Denmark</w:t>
      </w:r>
      <w:r>
        <w:rPr>
          <w:sz w:val="24"/>
          <w:szCs w:val="24"/>
        </w:rPr>
        <w:t xml:space="preserve"> </w:t>
      </w:r>
      <w:r w:rsidR="002A3975" w:rsidRPr="00C44380">
        <w:rPr>
          <w:sz w:val="24"/>
          <w:szCs w:val="24"/>
        </w:rPr>
        <w:t>using</w:t>
      </w:r>
      <w:r w:rsidR="00D00185">
        <w:rPr>
          <w:sz w:val="24"/>
          <w:szCs w:val="24"/>
        </w:rPr>
        <w:t xml:space="preserve"> calculations done by the ministry of employment who use</w:t>
      </w:r>
      <w:r w:rsidR="002A3975" w:rsidRPr="00C44380">
        <w:rPr>
          <w:sz w:val="24"/>
          <w:szCs w:val="24"/>
        </w:rPr>
        <w:t xml:space="preserve"> the </w:t>
      </w:r>
      <w:r w:rsidR="00D00185">
        <w:rPr>
          <w:sz w:val="24"/>
          <w:szCs w:val="24"/>
        </w:rPr>
        <w:t>income insurance model</w:t>
      </w:r>
      <w:r>
        <w:rPr>
          <w:sz w:val="24"/>
          <w:szCs w:val="24"/>
        </w:rPr>
        <w:t>.</w:t>
      </w:r>
      <w:r w:rsidR="00D00185">
        <w:rPr>
          <w:sz w:val="24"/>
          <w:szCs w:val="24"/>
        </w:rPr>
        <w:t xml:space="preserve"> </w:t>
      </w:r>
      <w:r>
        <w:rPr>
          <w:sz w:val="24"/>
          <w:szCs w:val="24"/>
        </w:rPr>
        <w:t>I</w:t>
      </w:r>
      <w:r w:rsidR="00D00185">
        <w:rPr>
          <w:sz w:val="24"/>
          <w:szCs w:val="24"/>
        </w:rPr>
        <w:t>n 2020</w:t>
      </w:r>
      <w:r w:rsidR="002A3975" w:rsidRPr="00C44380">
        <w:rPr>
          <w:sz w:val="24"/>
          <w:szCs w:val="24"/>
        </w:rPr>
        <w:t xml:space="preserve"> the ministry received a question for calculating the effects of removing the suppressing of the rate regulation rate in the period of </w:t>
      </w:r>
      <w:commentRangeStart w:id="44"/>
      <w:r w:rsidR="002A3975" w:rsidRPr="00C44380">
        <w:rPr>
          <w:sz w:val="24"/>
          <w:szCs w:val="24"/>
        </w:rPr>
        <w:t>2021-2023</w:t>
      </w:r>
      <w:commentRangeEnd w:id="44"/>
      <w:r w:rsidR="009111C1">
        <w:rPr>
          <w:rStyle w:val="Kommentarhenvisning"/>
        </w:rPr>
        <w:commentReference w:id="44"/>
      </w:r>
      <w:r w:rsidR="002A3975"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45"/>
      <w:r w:rsidR="002A3975" w:rsidRPr="00C44380">
        <w:rPr>
          <w:sz w:val="24"/>
          <w:szCs w:val="24"/>
        </w:rPr>
        <w:t>people</w:t>
      </w:r>
      <w:commentRangeEnd w:id="45"/>
      <w:r w:rsidR="00FE593F">
        <w:rPr>
          <w:rStyle w:val="Kommentarhenvisning"/>
        </w:rPr>
        <w:commentReference w:id="45"/>
      </w:r>
      <w:r w:rsidR="002A3975"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55E49A94"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790385">
        <w:rPr>
          <w:sz w:val="24"/>
          <w:szCs w:val="24"/>
        </w:rPr>
        <w:t xml:space="preserve">. The </w:t>
      </w:r>
      <w:r w:rsidR="00451A55">
        <w:rPr>
          <w:sz w:val="24"/>
          <w:szCs w:val="24"/>
        </w:rPr>
        <w:t>decision</w:t>
      </w:r>
      <w:r w:rsidR="00790385">
        <w:rPr>
          <w:sz w:val="24"/>
          <w:szCs w:val="24"/>
        </w:rPr>
        <w:t xml:space="preserve"> to look at different level of the approach rate is</w:t>
      </w:r>
      <w:r w:rsidR="00D85753">
        <w:rPr>
          <w:sz w:val="24"/>
          <w:szCs w:val="24"/>
        </w:rPr>
        <w:t xml:space="preserve"> </w:t>
      </w:r>
      <w:r w:rsidR="00196AC9">
        <w:rPr>
          <w:sz w:val="24"/>
          <w:szCs w:val="24"/>
        </w:rPr>
        <w:t xml:space="preserve">also </w:t>
      </w:r>
      <w:r w:rsidR="00451A55">
        <w:rPr>
          <w:sz w:val="24"/>
          <w:szCs w:val="24"/>
        </w:rPr>
        <w:t xml:space="preserve">duo to the </w:t>
      </w:r>
      <w:r w:rsidR="00A0271D" w:rsidRPr="00C44380">
        <w:rPr>
          <w:sz w:val="24"/>
          <w:szCs w:val="24"/>
        </w:rPr>
        <w:t xml:space="preserve">sparse </w:t>
      </w:r>
      <w:r w:rsidR="00451A55">
        <w:rPr>
          <w:sz w:val="24"/>
          <w:szCs w:val="24"/>
        </w:rPr>
        <w:t xml:space="preserve">literature </w:t>
      </w:r>
      <w:r w:rsidR="00A0271D" w:rsidRPr="00C44380">
        <w:rPr>
          <w:sz w:val="24"/>
          <w:szCs w:val="24"/>
        </w:rPr>
        <w:t>regarding th</w:t>
      </w:r>
      <w:r w:rsidR="00196AC9">
        <w:rPr>
          <w:sz w:val="24"/>
          <w:szCs w:val="24"/>
        </w:rPr>
        <w:t>e approach</w:t>
      </w:r>
      <w:r w:rsidR="00A0271D" w:rsidRPr="00C44380">
        <w:rPr>
          <w:sz w:val="24"/>
          <w:szCs w:val="24"/>
        </w:rPr>
        <w:t xml:space="preserve"> </w:t>
      </w:r>
      <w:r w:rsidR="00451A55">
        <w:rPr>
          <w:sz w:val="24"/>
          <w:szCs w:val="24"/>
        </w:rPr>
        <w:t>rate</w:t>
      </w:r>
      <w:r w:rsidR="00196AC9">
        <w:rPr>
          <w:sz w:val="24"/>
          <w:szCs w:val="24"/>
        </w:rPr>
        <w:t xml:space="preserve"> </w:t>
      </w:r>
      <w:r w:rsidR="00D85753">
        <w:rPr>
          <w:sz w:val="24"/>
          <w:szCs w:val="24"/>
        </w:rPr>
        <w:fldChar w:fldCharType="begin" w:fldLock="1"/>
      </w:r>
      <w:r w:rsidR="00156602">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arbejdsunderstøttelsen","type":"article-journal"},"uris":["http://www.mendeley.com/documents/?uuid=ad820520-132a-4f73-93fb-f2b387035f09"]},{"id":"ITEM-2","itemData":{"author":[{"dropping-particle":"","family":"Økonomiske Råd","given":"","non-dropping-particle":"De","parse-names":false,"suffix":""}],"id":"ITEM-2","issued":{"date-parts":[["2022"]]},"title":"RAPPORT FRA FORMANDSKABET DANSK ØKONOMI FORÅR 2022","type":"report"},"uris":["http://www.mendeley.com/documents/?uuid=ba41821c-8687-3dd4-967a-44acd8f66336"]}],"mendeley":{"formattedCitation":"(Andersen et al., 2015; De Økonomiske Råd, 2022)","plainTextFormattedCitation":"(Andersen et al., 2015; De Økonomiske Råd, 2022)","previouslyFormattedCitation":"(Andersen et al., 2015; De Økonomiske Råd, 2022)"},"properties":{"noteIndex":0},"schema":"https://github.com/citation-style-language/schema/raw/master/csl-citation.json"}</w:instrText>
      </w:r>
      <w:r w:rsidR="00D85753">
        <w:rPr>
          <w:sz w:val="24"/>
          <w:szCs w:val="24"/>
        </w:rPr>
        <w:fldChar w:fldCharType="separate"/>
      </w:r>
      <w:r w:rsidR="00451A55" w:rsidRPr="00451A55">
        <w:rPr>
          <w:noProof/>
          <w:sz w:val="24"/>
          <w:szCs w:val="24"/>
        </w:rPr>
        <w:t>(Andersen et al., 2015; De Økonomiske Råd, 2022)</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lastRenderedPageBreak/>
        <w:t xml:space="preserve">We estimate the macro elasticity to be approximately </w:t>
      </w:r>
      <w:commentRangeStart w:id="46"/>
      <w:commentRangeStart w:id="47"/>
      <w:r w:rsidR="00305EB0" w:rsidRPr="00C44380">
        <w:rPr>
          <w:sz w:val="24"/>
          <w:szCs w:val="24"/>
        </w:rPr>
        <w:t>0.</w:t>
      </w:r>
      <w:r w:rsidR="00E334EE">
        <w:rPr>
          <w:sz w:val="24"/>
          <w:szCs w:val="24"/>
        </w:rPr>
        <w:t>3</w:t>
      </w:r>
      <w:r w:rsidR="00305EB0" w:rsidRPr="00C44380">
        <w:rPr>
          <w:sz w:val="24"/>
          <w:szCs w:val="24"/>
        </w:rPr>
        <w:t>5-0.</w:t>
      </w:r>
      <w:commentRangeEnd w:id="46"/>
      <w:r w:rsidR="00E334EE">
        <w:rPr>
          <w:sz w:val="24"/>
          <w:szCs w:val="24"/>
        </w:rPr>
        <w:t>4</w:t>
      </w:r>
      <w:r w:rsidR="00BF3FA4" w:rsidRPr="00C44380">
        <w:rPr>
          <w:rStyle w:val="Kommentarhenvisning"/>
        </w:rPr>
        <w:commentReference w:id="46"/>
      </w:r>
      <w:commentRangeEnd w:id="47"/>
      <w:r w:rsidR="00BF3FA4" w:rsidRPr="00C44380">
        <w:rPr>
          <w:rStyle w:val="Kommentarhenvisning"/>
        </w:rPr>
        <w:commentReference w:id="47"/>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134A94B"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xml:space="preserve">, we find a relationship very close to the one found by </w:t>
      </w:r>
      <w:r w:rsidR="00156602">
        <w:rPr>
          <w:rFonts w:cstheme="minorHAnsi"/>
          <w:sz w:val="24"/>
          <w:szCs w:val="24"/>
        </w:rPr>
        <w:fldChar w:fldCharType="begin" w:fldLock="1"/>
      </w:r>
      <w:r w:rsidR="00156602">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156602">
        <w:rPr>
          <w:rFonts w:cstheme="minorHAnsi"/>
          <w:sz w:val="24"/>
          <w:szCs w:val="24"/>
        </w:rPr>
        <w:fldChar w:fldCharType="separate"/>
      </w:r>
      <w:r w:rsidR="00156602" w:rsidRPr="00156602">
        <w:rPr>
          <w:rFonts w:cstheme="minorHAnsi"/>
          <w:noProof/>
          <w:sz w:val="24"/>
          <w:szCs w:val="24"/>
        </w:rPr>
        <w:t>(Fredriksson &amp; Söderström, 2020)</w:t>
      </w:r>
      <w:r w:rsidR="00156602">
        <w:rPr>
          <w:rFonts w:cstheme="minorHAnsi"/>
          <w:sz w:val="24"/>
          <w:szCs w:val="24"/>
        </w:rPr>
        <w:fldChar w:fldCharType="end"/>
      </w:r>
      <w:r w:rsidR="00156602">
        <w:rPr>
          <w:rFonts w:cstheme="minorHAnsi"/>
          <w:sz w:val="24"/>
          <w:szCs w:val="24"/>
        </w:rPr>
        <w:t xml:space="preserve"> </w:t>
      </w:r>
      <w:r>
        <w:rPr>
          <w:rFonts w:cstheme="minorHAnsi"/>
          <w:sz w:val="24"/>
          <w:szCs w:val="24"/>
        </w:rPr>
        <w:t>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48"/>
      <w:r w:rsidR="0086586A" w:rsidRPr="009111C1">
        <w:rPr>
          <w:rFonts w:cstheme="minorHAnsi"/>
          <w:sz w:val="24"/>
          <w:szCs w:val="24"/>
        </w:rPr>
        <w:t xml:space="preserve">unemployment </w:t>
      </w:r>
      <w:commentRangeEnd w:id="48"/>
      <w:r w:rsidR="0086586A" w:rsidRPr="009111C1">
        <w:rPr>
          <w:rStyle w:val="Kommentarhenvisning"/>
          <w:rFonts w:cstheme="minorHAnsi"/>
          <w:sz w:val="24"/>
          <w:szCs w:val="24"/>
        </w:rPr>
        <w:commentReference w:id="48"/>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w:t>
      </w:r>
      <w:r w:rsidR="00B02941">
        <w:rPr>
          <w:rFonts w:eastAsiaTheme="minorEastAsia" w:cstheme="minorHAnsi"/>
          <w:sz w:val="24"/>
          <w:szCs w:val="24"/>
        </w:rPr>
        <w:lastRenderedPageBreak/>
        <w:t>precisely this political initiative.</w:t>
      </w:r>
      <w:r>
        <w:rPr>
          <w:rFonts w:eastAsiaTheme="minorEastAsia" w:cstheme="minorHAnsi"/>
          <w:sz w:val="24"/>
          <w:szCs w:val="24"/>
        </w:rPr>
        <w:t xml:space="preserve"> Therefore, we will be using the elasticities calculated in this paper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0C248698"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w:t>
      </w:r>
      <w:r w:rsidR="00156602">
        <w:rPr>
          <w:rFonts w:eastAsiaTheme="minorEastAsia" w:cstheme="minorHAnsi"/>
          <w:sz w:val="24"/>
          <w:szCs w:val="24"/>
        </w:rPr>
        <w:t>rate</w:t>
      </w:r>
      <w:r w:rsidRPr="009111C1">
        <w:rPr>
          <w:rFonts w:eastAsiaTheme="minorEastAsia" w:cstheme="minorHAnsi"/>
          <w:sz w:val="24"/>
          <w:szCs w:val="24"/>
        </w:rPr>
        <w:t xml:space="preserve">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605BF1AB" w:rsidR="00625ABA"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156602">
        <w:rPr>
          <w:rFonts w:eastAsiaTheme="minorEastAsia" w:cstheme="minorHAnsi"/>
          <w:sz w:val="24"/>
          <w:szCs w:val="24"/>
        </w:rPr>
        <w:fldChar w:fldCharType="begin" w:fldLock="1"/>
      </w:r>
      <w:r w:rsidR="00156602">
        <w:rPr>
          <w:rFonts w:eastAsiaTheme="minorEastAsia" w:cstheme="minorHAnsi"/>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dagpengeforringelser","type":"article-journal"},"uris":["http://www.mendeley.com/documents/?uuid=f6713169-51f1-434f-9976-a6f0d8693e60"]}],"mendeley":{"formattedCitation":"(Aastrup, 2018)","plainTextFormattedCitation":"(Aastrup, 2018)"},"properties":{"noteIndex":0},"schema":"https://github.com/citation-style-language/schema/raw/master/csl-citation.json"}</w:instrText>
      </w:r>
      <w:r w:rsidR="00156602">
        <w:rPr>
          <w:rFonts w:eastAsiaTheme="minorEastAsia" w:cstheme="minorHAnsi"/>
          <w:sz w:val="24"/>
          <w:szCs w:val="24"/>
        </w:rPr>
        <w:fldChar w:fldCharType="separate"/>
      </w:r>
      <w:r w:rsidR="00156602" w:rsidRPr="00156602">
        <w:rPr>
          <w:rFonts w:eastAsiaTheme="minorEastAsia" w:cstheme="minorHAnsi"/>
          <w:noProof/>
          <w:sz w:val="24"/>
          <w:szCs w:val="24"/>
        </w:rPr>
        <w:t>(Aastrup, 2018)</w:t>
      </w:r>
      <w:r w:rsidR="00156602">
        <w:rPr>
          <w:rFonts w:eastAsiaTheme="minorEastAsia" w:cstheme="minorHAnsi"/>
          <w:sz w:val="24"/>
          <w:szCs w:val="24"/>
        </w:rPr>
        <w:fldChar w:fldCharType="end"/>
      </w:r>
      <w:r w:rsidR="00156602">
        <w:rPr>
          <w:rFonts w:eastAsiaTheme="minorEastAsia" w:cstheme="minorHAnsi"/>
          <w:sz w:val="24"/>
          <w:szCs w:val="24"/>
        </w:rPr>
        <w:t xml:space="preserve">, </w:t>
      </w:r>
      <w:r w:rsidR="004F68F1">
        <w:rPr>
          <w:rFonts w:eastAsiaTheme="minorEastAsia" w:cstheme="minorHAnsi"/>
          <w:sz w:val="24"/>
          <w:szCs w:val="24"/>
        </w:rPr>
        <w:t xml:space="preserve">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49"/>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49"/>
      <w:r w:rsidR="005C21DA">
        <w:rPr>
          <w:rStyle w:val="Kommentarhenvisning"/>
        </w:rPr>
        <w:commentReference w:id="49"/>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42531FEA" w14:textId="09FC1FD7" w:rsidR="00156602" w:rsidRDefault="00156602" w:rsidP="00D67ABC">
      <w:pPr>
        <w:spacing w:line="360" w:lineRule="auto"/>
        <w:rPr>
          <w:rFonts w:eastAsiaTheme="minorEastAsia" w:cstheme="minorHAnsi"/>
          <w:sz w:val="24"/>
          <w:szCs w:val="24"/>
        </w:rPr>
      </w:pPr>
    </w:p>
    <w:p w14:paraId="285E27B1" w14:textId="3F2567B3" w:rsidR="00156602" w:rsidRDefault="00156602" w:rsidP="00D67ABC">
      <w:pPr>
        <w:spacing w:line="360" w:lineRule="auto"/>
        <w:rPr>
          <w:rFonts w:eastAsiaTheme="minorEastAsia" w:cstheme="minorHAnsi"/>
          <w:sz w:val="24"/>
          <w:szCs w:val="24"/>
        </w:rPr>
      </w:pPr>
    </w:p>
    <w:p w14:paraId="190812EC" w14:textId="77777777" w:rsidR="00156602" w:rsidRPr="009111C1" w:rsidRDefault="00156602"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78B9FE0E" w14:textId="65CAB9DB" w:rsidR="00A83A56"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12A697F"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Thereby validating the</w:t>
      </w:r>
      <w:r w:rsidR="00156602">
        <w:rPr>
          <w:rFonts w:eastAsiaTheme="minorEastAsia" w:cstheme="minorHAnsi"/>
          <w:sz w:val="24"/>
          <w:szCs w:val="24"/>
        </w:rPr>
        <w:t xml:space="preserve"> political</w:t>
      </w:r>
      <w:r w:rsidR="00B1293A">
        <w:rPr>
          <w:rFonts w:eastAsiaTheme="minorEastAsia" w:cstheme="minorHAnsi"/>
          <w:sz w:val="24"/>
          <w:szCs w:val="24"/>
        </w:rPr>
        <w:t xml:space="preserv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A4AB4FF"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s the</w:t>
      </w:r>
      <w:r w:rsidR="00156602">
        <w:rPr>
          <w:rFonts w:eastAsiaTheme="minorEastAsia" w:cstheme="minorHAnsi"/>
          <w:sz w:val="24"/>
          <w:szCs w:val="24"/>
        </w:rPr>
        <w:t xml:space="preserve"> magnitude of the positive estimate for the</w:t>
      </w:r>
      <w:r w:rsidR="00B1293A">
        <w:rPr>
          <w:rFonts w:eastAsiaTheme="minorEastAsia" w:cstheme="minorHAnsi"/>
          <w:sz w:val="24"/>
          <w:szCs w:val="24"/>
        </w:rPr>
        <w:t xml:space="preserve"> macro elasticity </w:t>
      </w:r>
      <w:r>
        <w:rPr>
          <w:rFonts w:eastAsiaTheme="minorEastAsia" w:cstheme="minorHAnsi"/>
          <w:sz w:val="24"/>
          <w:szCs w:val="24"/>
        </w:rPr>
        <w:t>is larger than the</w:t>
      </w:r>
      <w:r w:rsidR="00B1293A">
        <w:rPr>
          <w:rFonts w:eastAsiaTheme="minorEastAsia" w:cstheme="minorHAnsi"/>
          <w:sz w:val="24"/>
          <w:szCs w:val="24"/>
        </w:rPr>
        <w:t xml:space="preserve"> reduc</w:t>
      </w:r>
      <w:r>
        <w:rPr>
          <w:rFonts w:eastAsiaTheme="minorEastAsia" w:cstheme="minorHAnsi"/>
          <w:sz w:val="24"/>
          <w:szCs w:val="24"/>
        </w:rPr>
        <w:t>tion</w:t>
      </w:r>
      <w:r w:rsidR="00156602">
        <w:rPr>
          <w:rFonts w:eastAsiaTheme="minorEastAsia" w:cstheme="minorHAnsi"/>
          <w:sz w:val="24"/>
          <w:szCs w:val="24"/>
        </w:rPr>
        <w:t xml:space="preserve"> in the micro elasticity</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B1293A">
        <w:rPr>
          <w:rFonts w:eastAsiaTheme="minorEastAsia" w:cstheme="minorHAnsi"/>
          <w:sz w:val="24"/>
          <w:szCs w:val="24"/>
        </w:rPr>
        <w:t xml:space="preserve">. </w:t>
      </w:r>
    </w:p>
    <w:p w14:paraId="1D68A419" w14:textId="6F0E3EF9" w:rsidR="00A83A56" w:rsidRDefault="007908F3" w:rsidP="00D67ABC">
      <w:pPr>
        <w:spacing w:line="360" w:lineRule="auto"/>
        <w:rPr>
          <w:rFonts w:eastAsiaTheme="minorEastAsia" w:cstheme="minorHAnsi"/>
          <w:sz w:val="24"/>
          <w:szCs w:val="24"/>
        </w:rPr>
      </w:pPr>
      <w:r>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Pr>
          <w:rFonts w:eastAsiaTheme="minorEastAsia" w:cstheme="minorHAnsi"/>
          <w:sz w:val="24"/>
          <w:szCs w:val="24"/>
        </w:rPr>
        <w:t xml:space="preserve"> </w:t>
      </w:r>
    </w:p>
    <w:p w14:paraId="7035CBB6" w14:textId="6057F8A4"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sidR="005A47A9">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making the comparability more complicated</w:t>
      </w:r>
      <w:r w:rsidR="000212EE">
        <w:rPr>
          <w:rFonts w:eastAsiaTheme="minorEastAsia" w:cstheme="minorHAnsi"/>
          <w:sz w:val="24"/>
          <w:szCs w:val="24"/>
        </w:rPr>
        <w:t>, adding to this it is not given that this relationship between income insurance and wages is the same for Denmark as for Sweden</w:t>
      </w:r>
      <w:r w:rsidR="000C5AE2">
        <w:rPr>
          <w:rFonts w:eastAsiaTheme="minorEastAsia" w:cstheme="minorHAnsi"/>
          <w:sz w:val="24"/>
          <w:szCs w:val="24"/>
        </w:rPr>
        <w:t xml:space="preserve">.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r w:rsidR="000212EE">
        <w:rPr>
          <w:rFonts w:eastAsiaTheme="minorEastAsia" w:cstheme="minorHAnsi"/>
          <w:sz w:val="24"/>
          <w:szCs w:val="24"/>
        </w:rPr>
        <w:t xml:space="preserve"> in increasing the level of income insurance</w:t>
      </w:r>
      <w:r w:rsidR="008311CF">
        <w:rPr>
          <w:rFonts w:eastAsiaTheme="minorEastAsia" w:cstheme="minorHAnsi"/>
          <w:sz w:val="24"/>
          <w:szCs w:val="24"/>
        </w:rPr>
        <w:t>.</w:t>
      </w:r>
    </w:p>
    <w:p w14:paraId="6F383A9B" w14:textId="79BF9852"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 xml:space="preserve">validation of whether suppressing the rate regulation rate starting in 2016 seems to rely on two things. First, the </w:t>
      </w:r>
      <w:r w:rsidR="000212EE">
        <w:rPr>
          <w:rFonts w:eastAsiaTheme="minorEastAsia" w:cstheme="minorHAnsi"/>
          <w:sz w:val="24"/>
          <w:szCs w:val="24"/>
        </w:rPr>
        <w:t>ability</w:t>
      </w:r>
      <w:r>
        <w:rPr>
          <w:rFonts w:eastAsiaTheme="minorEastAsia" w:cstheme="minorHAnsi"/>
          <w:sz w:val="24"/>
          <w:szCs w:val="24"/>
        </w:rPr>
        <w:t xml:space="preserve"> of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w:t>
      </w:r>
      <w:r w:rsidR="00397708">
        <w:rPr>
          <w:rFonts w:eastAsiaTheme="minorEastAsia" w:cstheme="minorHAnsi"/>
          <w:sz w:val="24"/>
          <w:szCs w:val="24"/>
        </w:rPr>
        <w:t xml:space="preserve">, and second whether these wage increases affects the Danish economy positively or negatively depending on the demand regime of Denmark. In the next section we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7316529B" w14:textId="2EBA7750" w:rsidR="00766C31" w:rsidRDefault="0020720A" w:rsidP="00780999">
      <w:pPr>
        <w:spacing w:line="360" w:lineRule="auto"/>
      </w:pPr>
      <w:r>
        <w:t xml:space="preserve">The generosity of the Danish income insurance program has been heavily debated over the last decade, especially leading up to the Danish election of 2015. The debate has been driven by the fall in the compensation rate over the last 30 years, and has been accelerated duo to the tax reform of 2012, lowering the rate regulation rate starting from 2016. In 2015 </w:t>
      </w:r>
      <w:r w:rsidR="00780999">
        <w:t>a commission set down presented the income insurance model</w:t>
      </w:r>
      <w:r>
        <w:t>. Th</w:t>
      </w:r>
      <w:r w:rsidR="00780999">
        <w:t>is</w:t>
      </w:r>
      <w:r>
        <w:t xml:space="preserve"> model was build on aggregated micro effects, based on a literature revie</w:t>
      </w:r>
      <w:r w:rsidR="00780999">
        <w:t>w</w:t>
      </w:r>
      <w:r>
        <w:t xml:space="preserve"> made by Andersen (2015). </w:t>
      </w:r>
      <w:r w:rsidR="00367F22">
        <w:t>Andersen (2015)</w:t>
      </w:r>
      <w:r>
        <w:t xml:space="preserve"> present</w:t>
      </w:r>
      <w:r w:rsidR="00367F22">
        <w:t>ed</w:t>
      </w:r>
      <w:r>
        <w:t xml:space="preserve"> empirical evidence of the relationship between the level of income insurance and the exit-rate, </w:t>
      </w:r>
      <w:r w:rsidR="008E5F9F">
        <w:t>indicating</w:t>
      </w:r>
      <w:r>
        <w:t xml:space="preserve"> the rate at which people are going from unemployment towards employment. Weaker, or almost no evidence is found for the </w:t>
      </w:r>
      <w:r w:rsidR="008E5F9F">
        <w:t xml:space="preserve">relationship between the level of income insurance and the </w:t>
      </w:r>
      <w:r>
        <w:t>approach rate</w:t>
      </w:r>
      <w:r w:rsidR="008E5F9F">
        <w:t>, showing the rate at which people go from employment towards unemployment. Both these effects were included in the income insurance model, therefor facing a lot of critics from especially income insurance companies, for incorporating the approach rate in the model. Calculations made by the Danish ministry of employment, shows that 45% of the estimated effect on unemployment if removing the suppressing of the rate regulation rate from 2020-2023 is coming from the approach rate. (</w:t>
      </w:r>
      <w:proofErr w:type="spellStart"/>
      <w:r w:rsidR="008E5F9F">
        <w:t>Dørs</w:t>
      </w:r>
      <w:proofErr w:type="spellEnd"/>
      <w:r w:rsidR="008E5F9F">
        <w:t xml:space="preserve"> 2022) claims that newer literature points towards the approach rate only having half the effect on unemployment. Besides facing critics regarding the approach rate, the income insurance model is facing major critics for not incorporating macroeconomic effects. Both (</w:t>
      </w:r>
      <w:proofErr w:type="spellStart"/>
      <w:r w:rsidR="008E5F9F">
        <w:t>Dørs</w:t>
      </w:r>
      <w:proofErr w:type="spellEnd"/>
      <w:r w:rsidR="008E5F9F">
        <w:t xml:space="preserve">, 2022) and (Andersen 2015) mention that the literature has moved away from the narrow micro effects, towards including macroeconomic effects, and thereby obtaining the macro elasticity of income insurance on unemployment. </w:t>
      </w:r>
      <w:r w:rsidR="000F139B">
        <w:br/>
        <w:t xml:space="preserve">In section 3 we present the macro effects that in the literature in theory suggest is existing, this includes the effects on demand, wages, insurance rate, labor force, and productivity. As the empirical evidence for productivity is mixed, together with radical results of including this channel as found in section 5. We include these scenarios in a stock flow consistent model </w:t>
      </w:r>
    </w:p>
    <w:p w14:paraId="587890B5" w14:textId="776501C6" w:rsidR="00125EBD" w:rsidRDefault="00125EBD" w:rsidP="00780999">
      <w:pPr>
        <w:spacing w:line="360" w:lineRule="auto"/>
      </w:pPr>
      <w:proofErr w:type="spellStart"/>
      <w:r>
        <w:t>Noget</w:t>
      </w:r>
      <w:proofErr w:type="spellEnd"/>
      <w:r>
        <w:t xml:space="preserve"> mere om </w:t>
      </w:r>
      <w:proofErr w:type="spellStart"/>
      <w:r>
        <w:t>ders</w:t>
      </w:r>
      <w:proofErr w:type="spellEnd"/>
      <w:r>
        <w:t xml:space="preserve"> SFC model </w:t>
      </w:r>
      <w:proofErr w:type="spellStart"/>
      <w:r>
        <w:t>inden</w:t>
      </w:r>
      <w:proofErr w:type="spellEnd"/>
      <w:r>
        <w:t xml:space="preserve"> </w:t>
      </w:r>
      <w:proofErr w:type="spellStart"/>
      <w:r>
        <w:t>måske</w:t>
      </w:r>
      <w:proofErr w:type="spellEnd"/>
      <w:r>
        <w:t xml:space="preserve">? </w:t>
      </w:r>
      <w:proofErr w:type="spellStart"/>
      <w:r>
        <w:t>Og</w:t>
      </w:r>
      <w:proofErr w:type="spellEnd"/>
      <w:r>
        <w:t xml:space="preserve"> </w:t>
      </w:r>
      <w:proofErr w:type="spellStart"/>
      <w:r>
        <w:t>hvorfor</w:t>
      </w:r>
      <w:proofErr w:type="spellEnd"/>
      <w:r>
        <w:t xml:space="preserve"> vi burger SFC model. </w:t>
      </w:r>
    </w:p>
    <w:p w14:paraId="79020409" w14:textId="5D61B7E4" w:rsidR="00125EBD" w:rsidRDefault="00125EBD" w:rsidP="004C5315"/>
    <w:p w14:paraId="08D891F4" w14:textId="77777777" w:rsidR="00125EBD" w:rsidRDefault="00125EBD" w:rsidP="004C5315"/>
    <w:p w14:paraId="55D55952" w14:textId="6F32386E" w:rsidR="004C5315" w:rsidRDefault="004C5315" w:rsidP="004C5315">
      <w:pPr>
        <w:rPr>
          <w:ins w:id="50" w:author="Simon Thomsen" w:date="2022-11-09T11:41:00Z"/>
        </w:rPr>
      </w:pPr>
    </w:p>
    <w:p w14:paraId="74ABB717" w14:textId="7589233E" w:rsidR="00CD17D9" w:rsidRDefault="00CD17D9" w:rsidP="00CD17D9">
      <w:pPr>
        <w:pStyle w:val="Overskrift1"/>
        <w:rPr>
          <w:ins w:id="51" w:author="Simon Thomsen" w:date="2022-11-09T11:42:00Z"/>
        </w:rPr>
      </w:pPr>
      <w:ins w:id="52" w:author="Simon Thomsen" w:date="2022-11-09T11:42:00Z">
        <w:r>
          <w:t xml:space="preserve">Reference list </w:t>
        </w:r>
      </w:ins>
    </w:p>
    <w:p w14:paraId="2919FEF5" w14:textId="7D0416A6" w:rsidR="00CD17D9" w:rsidRDefault="00CD17D9" w:rsidP="00CD17D9">
      <w:pPr>
        <w:rPr>
          <w:ins w:id="53" w:author="Simon Thomsen" w:date="2022-11-09T11:42:00Z"/>
        </w:rPr>
      </w:pPr>
    </w:p>
    <w:p w14:paraId="43E4FF0E" w14:textId="0ABEBC60" w:rsidR="00156602" w:rsidRPr="00156602" w:rsidRDefault="00333B3D" w:rsidP="0015660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156602" w:rsidRPr="00156602">
        <w:rPr>
          <w:rFonts w:ascii="Calibri" w:hAnsi="Calibri" w:cs="Calibri"/>
          <w:noProof/>
          <w:szCs w:val="24"/>
        </w:rPr>
        <w:t xml:space="preserve">Aastrup, M. (2018). </w:t>
      </w:r>
      <w:r w:rsidR="00156602" w:rsidRPr="00156602">
        <w:rPr>
          <w:rFonts w:ascii="Calibri" w:hAnsi="Calibri" w:cs="Calibri"/>
          <w:i/>
          <w:iCs/>
          <w:noProof/>
          <w:szCs w:val="24"/>
        </w:rPr>
        <w:t>30 Års dagpengeforringelser</w:t>
      </w:r>
      <w:r w:rsidR="00156602" w:rsidRPr="00156602">
        <w:rPr>
          <w:rFonts w:ascii="Calibri" w:hAnsi="Calibri" w:cs="Calibri"/>
          <w:noProof/>
          <w:szCs w:val="24"/>
        </w:rPr>
        <w:t xml:space="preserve">. </w:t>
      </w:r>
      <w:r w:rsidR="00156602" w:rsidRPr="00156602">
        <w:rPr>
          <w:rFonts w:ascii="Calibri" w:hAnsi="Calibri" w:cs="Calibri"/>
          <w:i/>
          <w:iCs/>
          <w:noProof/>
          <w:szCs w:val="24"/>
        </w:rPr>
        <w:t>September 2018</w:t>
      </w:r>
      <w:r w:rsidR="00156602" w:rsidRPr="00156602">
        <w:rPr>
          <w:rFonts w:ascii="Calibri" w:hAnsi="Calibri" w:cs="Calibri"/>
          <w:noProof/>
          <w:szCs w:val="24"/>
        </w:rPr>
        <w:t>.</w:t>
      </w:r>
    </w:p>
    <w:p w14:paraId="4319865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Andersen, T. M., &amp; Svarer, M. (2006). Flexicurity: The Danish Labour-Market Model. </w:t>
      </w:r>
      <w:r w:rsidRPr="00156602">
        <w:rPr>
          <w:rFonts w:ascii="Calibri" w:hAnsi="Calibri" w:cs="Calibri"/>
          <w:i/>
          <w:iCs/>
          <w:noProof/>
          <w:szCs w:val="24"/>
        </w:rPr>
        <w:t>Ekonomisk Debatt</w:t>
      </w:r>
      <w:r w:rsidRPr="00156602">
        <w:rPr>
          <w:rFonts w:ascii="Calibri" w:hAnsi="Calibri" w:cs="Calibri"/>
          <w:noProof/>
          <w:szCs w:val="24"/>
        </w:rPr>
        <w:t xml:space="preserve">, </w:t>
      </w:r>
      <w:r w:rsidRPr="00156602">
        <w:rPr>
          <w:rFonts w:ascii="Calibri" w:hAnsi="Calibri" w:cs="Calibri"/>
          <w:i/>
          <w:iCs/>
          <w:noProof/>
          <w:szCs w:val="24"/>
        </w:rPr>
        <w:t>1</w:t>
      </w:r>
      <w:r w:rsidRPr="00156602">
        <w:rPr>
          <w:rFonts w:ascii="Calibri" w:hAnsi="Calibri" w:cs="Calibri"/>
          <w:noProof/>
          <w:szCs w:val="24"/>
        </w:rPr>
        <w:t>(April), 17–29.</w:t>
      </w:r>
    </w:p>
    <w:p w14:paraId="454391A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Andersen, T. M., Svarer, M., &amp; Vejlin, R. M. (2015). Litteraturreview af effekter af indretning af arbejdsunderstøttelsen. </w:t>
      </w:r>
      <w:r w:rsidRPr="00156602">
        <w:rPr>
          <w:rFonts w:ascii="Calibri" w:hAnsi="Calibri" w:cs="Calibri"/>
          <w:i/>
          <w:iCs/>
          <w:noProof/>
          <w:szCs w:val="24"/>
        </w:rPr>
        <w:t>Beskæftigelsesministeriet</w:t>
      </w:r>
      <w:r w:rsidRPr="00156602">
        <w:rPr>
          <w:rFonts w:ascii="Calibri" w:hAnsi="Calibri" w:cs="Calibri"/>
          <w:noProof/>
          <w:szCs w:val="24"/>
        </w:rPr>
        <w:t>, 1–99.</w:t>
      </w:r>
    </w:p>
    <w:p w14:paraId="4C3833B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Bengtsson, E., &amp; Stockhammer, E. (2018). Wages, Income Distribution and Economic Growth: Long-Run Perspectives in Scandinavia, 1900–2010.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(4), 725–745. https://doi.org/10.1080/09538259.2020.1860307</w:t>
      </w:r>
    </w:p>
    <w:p w14:paraId="232427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Boone, C., Dube, A., Goodman, L., &amp; Kaplan, E. (2021). Unemployment Insurance Generosity and Aggregate Employment. </w:t>
      </w:r>
      <w:r w:rsidRPr="00156602">
        <w:rPr>
          <w:rFonts w:ascii="Calibri" w:hAnsi="Calibri" w:cs="Calibri"/>
          <w:i/>
          <w:iCs/>
          <w:noProof/>
          <w:szCs w:val="24"/>
        </w:rPr>
        <w:t>American Economic Journal: Economic Policy</w:t>
      </w:r>
      <w:r w:rsidRPr="00156602">
        <w:rPr>
          <w:rFonts w:ascii="Calibri" w:hAnsi="Calibri" w:cs="Calibri"/>
          <w:noProof/>
          <w:szCs w:val="24"/>
        </w:rPr>
        <w:t xml:space="preserve">, </w:t>
      </w:r>
      <w:r w:rsidRPr="00156602">
        <w:rPr>
          <w:rFonts w:ascii="Calibri" w:hAnsi="Calibri" w:cs="Calibri"/>
          <w:i/>
          <w:iCs/>
          <w:noProof/>
          <w:szCs w:val="24"/>
        </w:rPr>
        <w:t>13</w:t>
      </w:r>
      <w:r w:rsidRPr="00156602">
        <w:rPr>
          <w:rFonts w:ascii="Calibri" w:hAnsi="Calibri" w:cs="Calibri"/>
          <w:noProof/>
          <w:szCs w:val="24"/>
        </w:rPr>
        <w:t>(2), 58–99. https://doi.org/10.1257/pol.20160613</w:t>
      </w:r>
    </w:p>
    <w:p w14:paraId="3CFB136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Byrialsen, M. R., &amp; Raza, H. (2018). Macroeconomic effects of unemployment benefits in small open economies: A stock–flow consistent approach. </w:t>
      </w:r>
      <w:r w:rsidRPr="00156602">
        <w:rPr>
          <w:rFonts w:ascii="Calibri" w:hAnsi="Calibri" w:cs="Calibri"/>
          <w:i/>
          <w:iCs/>
          <w:noProof/>
          <w:szCs w:val="24"/>
        </w:rPr>
        <w:t>European Journal of Economics and Economic Policies: Intervention</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(3), 335–363. https://doi.org/10.4337/ejeep.2018.0032</w:t>
      </w:r>
    </w:p>
    <w:p w14:paraId="072570E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Byrialsen, M. R., Raza, H., &amp; Valdecantos, S. (2022). </w:t>
      </w:r>
      <w:r w:rsidRPr="00156602">
        <w:rPr>
          <w:rFonts w:ascii="Calibri" w:hAnsi="Calibri" w:cs="Calibri"/>
          <w:i/>
          <w:iCs/>
          <w:noProof/>
          <w:szCs w:val="24"/>
        </w:rPr>
        <w:t>QMDE : A QUARTERLY EMPIRICAL MODEL FOR THE DANISH ECONOMY : A STOCK-FLOW CONSISTENT APPROACH</w:t>
      </w:r>
      <w:r w:rsidRPr="00156602">
        <w:rPr>
          <w:rFonts w:ascii="Calibri" w:hAnsi="Calibri" w:cs="Calibri"/>
          <w:noProof/>
          <w:szCs w:val="24"/>
        </w:rPr>
        <w:t xml:space="preserve">. </w:t>
      </w:r>
      <w:r w:rsidRPr="00156602">
        <w:rPr>
          <w:rFonts w:ascii="Calibri" w:hAnsi="Calibri" w:cs="Calibri"/>
          <w:i/>
          <w:iCs/>
          <w:noProof/>
          <w:szCs w:val="24"/>
        </w:rPr>
        <w:t>79</w:t>
      </w:r>
      <w:r w:rsidRPr="00156602">
        <w:rPr>
          <w:rFonts w:ascii="Calibri" w:hAnsi="Calibri" w:cs="Calibri"/>
          <w:noProof/>
          <w:szCs w:val="24"/>
        </w:rPr>
        <w:t>.</w:t>
      </w:r>
    </w:p>
    <w:p w14:paraId="42681C4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Chetty, R. (2006). A general formula for the optimal level of social insurance.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90</w:t>
      </w:r>
      <w:r w:rsidRPr="00156602">
        <w:rPr>
          <w:rFonts w:ascii="Calibri" w:hAnsi="Calibri" w:cs="Calibri"/>
          <w:noProof/>
          <w:szCs w:val="24"/>
        </w:rPr>
        <w:t>(10–11), 1879–1901. https://doi.org/10.1016/j.jpubeco.2006.01.004</w:t>
      </w:r>
    </w:p>
    <w:p w14:paraId="2F111CD8"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Chetty, R. (2008). Moral hazard versus liquidity and optimal unemployment insurance. </w:t>
      </w:r>
      <w:r w:rsidRPr="00156602">
        <w:rPr>
          <w:rFonts w:ascii="Calibri" w:hAnsi="Calibri" w:cs="Calibri"/>
          <w:i/>
          <w:iCs/>
          <w:noProof/>
          <w:szCs w:val="24"/>
        </w:rPr>
        <w:t>Journal of Political Economy</w:t>
      </w:r>
      <w:r w:rsidRPr="00156602">
        <w:rPr>
          <w:rFonts w:ascii="Calibri" w:hAnsi="Calibri" w:cs="Calibri"/>
          <w:noProof/>
          <w:szCs w:val="24"/>
        </w:rPr>
        <w:t xml:space="preserve">, </w:t>
      </w:r>
      <w:r w:rsidRPr="00156602">
        <w:rPr>
          <w:rFonts w:ascii="Calibri" w:hAnsi="Calibri" w:cs="Calibri"/>
          <w:i/>
          <w:iCs/>
          <w:noProof/>
          <w:szCs w:val="24"/>
        </w:rPr>
        <w:t>116</w:t>
      </w:r>
      <w:r w:rsidRPr="00156602">
        <w:rPr>
          <w:rFonts w:ascii="Calibri" w:hAnsi="Calibri" w:cs="Calibri"/>
          <w:noProof/>
          <w:szCs w:val="24"/>
        </w:rPr>
        <w:t>(2), 173–234. https://doi.org/10.1086/588585</w:t>
      </w:r>
    </w:p>
    <w:p w14:paraId="3E8C508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Dagpengekommissionen. (2015). </w:t>
      </w:r>
      <w:r w:rsidRPr="00156602">
        <w:rPr>
          <w:rFonts w:ascii="Calibri" w:hAnsi="Calibri" w:cs="Calibri"/>
          <w:i/>
          <w:iCs/>
          <w:noProof/>
          <w:szCs w:val="24"/>
        </w:rPr>
        <w:t>Kompensationsgraden i dagpengesystemet</w:t>
      </w:r>
      <w:r w:rsidRPr="00156602">
        <w:rPr>
          <w:rFonts w:ascii="Calibri" w:hAnsi="Calibri" w:cs="Calibri"/>
          <w:noProof/>
          <w:szCs w:val="24"/>
        </w:rPr>
        <w:t>. 41.</w:t>
      </w:r>
    </w:p>
    <w:p w14:paraId="27FA1E84"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Dagpengekommissionens sekretariat. (2015). Dagpengemodellen teknisk analyserapport. </w:t>
      </w:r>
      <w:r w:rsidRPr="00156602">
        <w:rPr>
          <w:rFonts w:ascii="Calibri" w:hAnsi="Calibri" w:cs="Calibri"/>
          <w:i/>
          <w:iCs/>
          <w:noProof/>
          <w:szCs w:val="24"/>
        </w:rPr>
        <w:t>Beskæftigelsesmi</w:t>
      </w:r>
      <w:r w:rsidRPr="00156602">
        <w:rPr>
          <w:rFonts w:ascii="Calibri" w:hAnsi="Calibri" w:cs="Calibri"/>
          <w:noProof/>
          <w:szCs w:val="24"/>
        </w:rPr>
        <w:t>.</w:t>
      </w:r>
    </w:p>
    <w:p w14:paraId="41716EC4"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Danmarks Statistik. (2012). ADAM - En Model Af Dansk Økonomi. In </w:t>
      </w:r>
      <w:r w:rsidRPr="00156602">
        <w:rPr>
          <w:rFonts w:ascii="Calibri" w:hAnsi="Calibri" w:cs="Calibri"/>
          <w:i/>
          <w:iCs/>
          <w:noProof/>
          <w:szCs w:val="24"/>
        </w:rPr>
        <w:t>Danmarks Statistik</w:t>
      </w:r>
      <w:r w:rsidRPr="00156602">
        <w:rPr>
          <w:rFonts w:ascii="Calibri" w:hAnsi="Calibri" w:cs="Calibri"/>
          <w:noProof/>
          <w:szCs w:val="24"/>
        </w:rPr>
        <w:t>. Danmarks Statistik. https://www.dst.dk/da/Statistik/Publikationer/VisPub?cid=17987</w:t>
      </w:r>
    </w:p>
    <w:p w14:paraId="37B3339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De Økonomiske Råd. (2022). </w:t>
      </w:r>
      <w:r w:rsidRPr="00156602">
        <w:rPr>
          <w:rFonts w:ascii="Calibri" w:hAnsi="Calibri" w:cs="Calibri"/>
          <w:i/>
          <w:iCs/>
          <w:noProof/>
          <w:szCs w:val="24"/>
        </w:rPr>
        <w:t>RAPPORT FRA FORMANDSKABET DANSK ØKONOMI FORÅR 2022</w:t>
      </w:r>
      <w:r w:rsidRPr="00156602">
        <w:rPr>
          <w:rFonts w:ascii="Calibri" w:hAnsi="Calibri" w:cs="Calibri"/>
          <w:noProof/>
          <w:szCs w:val="24"/>
        </w:rPr>
        <w:t>. https://dors.dk/raad-vismaend/loven.</w:t>
      </w:r>
    </w:p>
    <w:p w14:paraId="70CFE2C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156602">
        <w:rPr>
          <w:rFonts w:ascii="Calibri" w:hAnsi="Calibri" w:cs="Calibri"/>
          <w:i/>
          <w:iCs/>
          <w:noProof/>
          <w:szCs w:val="24"/>
        </w:rPr>
        <w:t>SSRN Electronic Journal</w:t>
      </w:r>
      <w:r w:rsidRPr="00156602">
        <w:rPr>
          <w:rFonts w:ascii="Calibri" w:hAnsi="Calibri" w:cs="Calibri"/>
          <w:noProof/>
          <w:szCs w:val="24"/>
        </w:rPr>
        <w:t xml:space="preserve">, </w:t>
      </w:r>
      <w:r w:rsidRPr="00156602">
        <w:rPr>
          <w:rFonts w:ascii="Calibri" w:hAnsi="Calibri" w:cs="Calibri"/>
          <w:i/>
          <w:iCs/>
          <w:noProof/>
          <w:szCs w:val="24"/>
        </w:rPr>
        <w:t>11496</w:t>
      </w:r>
      <w:r w:rsidRPr="00156602">
        <w:rPr>
          <w:rFonts w:ascii="Calibri" w:hAnsi="Calibri" w:cs="Calibri"/>
          <w:noProof/>
          <w:szCs w:val="24"/>
        </w:rPr>
        <w:t>. https://doi.org/10.2139/ssrn.3177370</w:t>
      </w:r>
    </w:p>
    <w:p w14:paraId="723BD6D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Dray, M., &amp; Thirlwall, A. P. (2011). The endogeneity of the natural rate of growth for a selection of Asian countries. </w:t>
      </w:r>
      <w:r w:rsidRPr="00156602">
        <w:rPr>
          <w:rFonts w:ascii="Calibri" w:hAnsi="Calibri" w:cs="Calibri"/>
          <w:i/>
          <w:iCs/>
          <w:noProof/>
          <w:szCs w:val="24"/>
        </w:rPr>
        <w:t>Journal of Post Keynesian Economics</w:t>
      </w:r>
      <w:r w:rsidRPr="00156602">
        <w:rPr>
          <w:rFonts w:ascii="Calibri" w:hAnsi="Calibri" w:cs="Calibri"/>
          <w:noProof/>
          <w:szCs w:val="24"/>
        </w:rPr>
        <w:t xml:space="preserve">, </w:t>
      </w:r>
      <w:r w:rsidRPr="00156602">
        <w:rPr>
          <w:rFonts w:ascii="Calibri" w:hAnsi="Calibri" w:cs="Calibri"/>
          <w:i/>
          <w:iCs/>
          <w:noProof/>
          <w:szCs w:val="24"/>
        </w:rPr>
        <w:t>33</w:t>
      </w:r>
      <w:r w:rsidRPr="00156602">
        <w:rPr>
          <w:rFonts w:ascii="Calibri" w:hAnsi="Calibri" w:cs="Calibri"/>
          <w:noProof/>
          <w:szCs w:val="24"/>
        </w:rPr>
        <w:t>(3), 451–468. https://doi.org/10.2753/PKE0160-3477330303</w:t>
      </w:r>
    </w:p>
    <w:p w14:paraId="7CADDB5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lastRenderedPageBreak/>
        <w:t xml:space="preserve">DREAM. (2013). </w:t>
      </w:r>
      <w:r w:rsidRPr="00156602">
        <w:rPr>
          <w:rFonts w:ascii="Calibri" w:hAnsi="Calibri" w:cs="Calibri"/>
          <w:i/>
          <w:iCs/>
          <w:noProof/>
          <w:szCs w:val="24"/>
        </w:rPr>
        <w:t>Langsigtet økonomisk fremskrivning 2013</w:t>
      </w:r>
      <w:r w:rsidRPr="00156602">
        <w:rPr>
          <w:rFonts w:ascii="Calibri" w:hAnsi="Calibri" w:cs="Calibri"/>
          <w:noProof/>
          <w:szCs w:val="24"/>
        </w:rPr>
        <w:t xml:space="preserve">. </w:t>
      </w:r>
      <w:r w:rsidRPr="00156602">
        <w:rPr>
          <w:rFonts w:ascii="Calibri" w:hAnsi="Calibri" w:cs="Calibri"/>
          <w:i/>
          <w:iCs/>
          <w:noProof/>
          <w:szCs w:val="24"/>
        </w:rPr>
        <w:t>August</w:t>
      </w:r>
      <w:r w:rsidRPr="00156602">
        <w:rPr>
          <w:rFonts w:ascii="Calibri" w:hAnsi="Calibri" w:cs="Calibri"/>
          <w:noProof/>
          <w:szCs w:val="24"/>
        </w:rPr>
        <w:t>.</w:t>
      </w:r>
    </w:p>
    <w:p w14:paraId="34C4350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Fagbevægelsens Hovedorganisation. (2021). </w:t>
      </w:r>
      <w:r w:rsidRPr="00156602">
        <w:rPr>
          <w:rFonts w:ascii="Calibri" w:hAnsi="Calibri" w:cs="Calibri"/>
          <w:i/>
          <w:iCs/>
          <w:noProof/>
          <w:szCs w:val="24"/>
        </w:rPr>
        <w:t>Mere tryghed til lønmodtagerne</w:t>
      </w:r>
      <w:r w:rsidRPr="00156602">
        <w:rPr>
          <w:rFonts w:ascii="Calibri" w:hAnsi="Calibri" w:cs="Calibri"/>
          <w:noProof/>
          <w:szCs w:val="24"/>
        </w:rPr>
        <w:t>.</w:t>
      </w:r>
    </w:p>
    <w:p w14:paraId="66323B3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Falch, N. S. (2015). </w:t>
      </w:r>
      <w:r w:rsidRPr="00156602">
        <w:rPr>
          <w:rFonts w:ascii="Calibri" w:hAnsi="Calibri" w:cs="Calibri"/>
          <w:i/>
          <w:iCs/>
          <w:noProof/>
          <w:szCs w:val="24"/>
        </w:rPr>
        <w:t>Three essays on unemployment insurance</w:t>
      </w:r>
      <w:r w:rsidRPr="00156602">
        <w:rPr>
          <w:rFonts w:ascii="Calibri" w:hAnsi="Calibri" w:cs="Calibri"/>
          <w:noProof/>
          <w:szCs w:val="24"/>
        </w:rPr>
        <w:t xml:space="preserve">. </w:t>
      </w:r>
      <w:r w:rsidRPr="00156602">
        <w:rPr>
          <w:rFonts w:ascii="Calibri" w:hAnsi="Calibri" w:cs="Calibri"/>
          <w:i/>
          <w:iCs/>
          <w:noProof/>
          <w:szCs w:val="24"/>
        </w:rPr>
        <w:t>April</w:t>
      </w:r>
      <w:r w:rsidRPr="00156602">
        <w:rPr>
          <w:rFonts w:ascii="Calibri" w:hAnsi="Calibri" w:cs="Calibri"/>
          <w:noProof/>
          <w:szCs w:val="24"/>
        </w:rPr>
        <w:t>.</w:t>
      </w:r>
    </w:p>
    <w:p w14:paraId="301643E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Fazzari, S. M., Ferri, P., &amp; Variato, A. M. (2020). Demand-led growth and accommodating supply. </w:t>
      </w:r>
      <w:r w:rsidRPr="00156602">
        <w:rPr>
          <w:rFonts w:ascii="Calibri" w:hAnsi="Calibri" w:cs="Calibri"/>
          <w:i/>
          <w:iCs/>
          <w:noProof/>
          <w:szCs w:val="24"/>
        </w:rPr>
        <w:t>Cambridge Journal of Economics</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(3), 583–605. https://doi.org/10.1093/cje/bez055</w:t>
      </w:r>
    </w:p>
    <w:p w14:paraId="61380B72"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Finansministeriet. (2017). </w:t>
      </w:r>
      <w:r w:rsidRPr="00156602">
        <w:rPr>
          <w:rFonts w:ascii="Calibri" w:hAnsi="Calibri" w:cs="Calibri"/>
          <w:i/>
          <w:iCs/>
          <w:noProof/>
          <w:szCs w:val="24"/>
        </w:rPr>
        <w:t>Det danske pensionssystem nu og i fremtiden</w:t>
      </w:r>
      <w:r w:rsidRPr="00156602">
        <w:rPr>
          <w:rFonts w:ascii="Calibri" w:hAnsi="Calibri" w:cs="Calibri"/>
          <w:noProof/>
          <w:szCs w:val="24"/>
        </w:rPr>
        <w:t>.</w:t>
      </w:r>
    </w:p>
    <w:p w14:paraId="3E1C116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Finkelstein, A., &amp; Chetty, R. (2012). </w:t>
      </w:r>
      <w:r w:rsidRPr="00156602">
        <w:rPr>
          <w:rFonts w:ascii="Calibri" w:hAnsi="Calibri" w:cs="Calibri"/>
          <w:i/>
          <w:iCs/>
          <w:noProof/>
          <w:szCs w:val="24"/>
        </w:rPr>
        <w:t>SOCIAL INSURANCE: CONNECTING THEORY TO DATA</w:t>
      </w:r>
      <w:r w:rsidRPr="00156602">
        <w:rPr>
          <w:rFonts w:ascii="Calibri" w:hAnsi="Calibri" w:cs="Calibri"/>
          <w:noProof/>
          <w:szCs w:val="24"/>
        </w:rPr>
        <w:t>.</w:t>
      </w:r>
    </w:p>
    <w:p w14:paraId="55D428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Fredriksson, P., &amp; Söderström, M. (2020). The equilibrium impact of unemployment insurance on unemployment: Evidence from a non-linear policy rule.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187</w:t>
      </w:r>
      <w:r w:rsidRPr="00156602">
        <w:rPr>
          <w:rFonts w:ascii="Calibri" w:hAnsi="Calibri" w:cs="Calibri"/>
          <w:noProof/>
          <w:szCs w:val="24"/>
        </w:rPr>
        <w:t>, 104199. https://doi.org/10.1016/j.jpubeco.2020.104199</w:t>
      </w:r>
    </w:p>
    <w:p w14:paraId="472799A1"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Gutierrez, I. A. (2016). Job insecurity, unemployment insurance and on-the-job search. Evidence from older American workers. </w:t>
      </w:r>
      <w:r w:rsidRPr="00156602">
        <w:rPr>
          <w:rFonts w:ascii="Calibri" w:hAnsi="Calibri" w:cs="Calibri"/>
          <w:i/>
          <w:iCs/>
          <w:noProof/>
          <w:szCs w:val="24"/>
        </w:rPr>
        <w:t>Labour Economics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 228–245. https://doi.org/10.1016/j.labeco.2016.05.011</w:t>
      </w:r>
    </w:p>
    <w:p w14:paraId="553D99F7"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Hagedorn, M., Karahan, F., Manovskii, I., &amp; Mitman, K. (2013). Unemployment Benefits and Unemployment in the Great Recession: The Role of Macro Effects. </w:t>
      </w:r>
      <w:r w:rsidRPr="00156602">
        <w:rPr>
          <w:rFonts w:ascii="Calibri" w:hAnsi="Calibri" w:cs="Calibri"/>
          <w:i/>
          <w:iCs/>
          <w:noProof/>
          <w:szCs w:val="24"/>
        </w:rPr>
        <w:t>SSRN Electronic Journal</w:t>
      </w:r>
      <w:r w:rsidRPr="00156602">
        <w:rPr>
          <w:rFonts w:ascii="Calibri" w:hAnsi="Calibri" w:cs="Calibri"/>
          <w:noProof/>
          <w:szCs w:val="24"/>
        </w:rPr>
        <w:t>. https://doi.org/10.2139/ssrn.2340678</w:t>
      </w:r>
    </w:p>
    <w:p w14:paraId="374888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Hagedorn, M., Manovskii, I., &amp; Mitman, K. (2016). Interpreting Recent Quasi-Experimental Evidence on the Effects of Unemployment Benefit Extensions. </w:t>
      </w:r>
      <w:r w:rsidRPr="00156602">
        <w:rPr>
          <w:rFonts w:ascii="Calibri" w:hAnsi="Calibri" w:cs="Calibri"/>
          <w:i/>
          <w:iCs/>
          <w:noProof/>
          <w:szCs w:val="24"/>
        </w:rPr>
        <w:t>NBER Working Paper Series</w:t>
      </w:r>
      <w:r w:rsidRPr="00156602">
        <w:rPr>
          <w:rFonts w:ascii="Calibri" w:hAnsi="Calibri" w:cs="Calibri"/>
          <w:noProof/>
          <w:szCs w:val="24"/>
        </w:rPr>
        <w:t>, 24. http://www.nber.org/papers/w22280</w:t>
      </w:r>
    </w:p>
    <w:p w14:paraId="74B5D64C"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Nicolini, J. P. (2009). Optimal unemployment insurance and employment history. </w:t>
      </w:r>
      <w:r w:rsidRPr="00156602">
        <w:rPr>
          <w:rFonts w:ascii="Calibri" w:hAnsi="Calibri" w:cs="Calibri"/>
          <w:i/>
          <w:iCs/>
          <w:noProof/>
          <w:szCs w:val="24"/>
        </w:rPr>
        <w:t>Review of Economic Studies</w:t>
      </w:r>
      <w:r w:rsidRPr="00156602">
        <w:rPr>
          <w:rFonts w:ascii="Calibri" w:hAnsi="Calibri" w:cs="Calibri"/>
          <w:noProof/>
          <w:szCs w:val="24"/>
        </w:rPr>
        <w:t xml:space="preserve">, </w:t>
      </w:r>
      <w:r w:rsidRPr="00156602">
        <w:rPr>
          <w:rFonts w:ascii="Calibri" w:hAnsi="Calibri" w:cs="Calibri"/>
          <w:i/>
          <w:iCs/>
          <w:noProof/>
          <w:szCs w:val="24"/>
        </w:rPr>
        <w:t>76</w:t>
      </w:r>
      <w:r w:rsidRPr="00156602">
        <w:rPr>
          <w:rFonts w:ascii="Calibri" w:hAnsi="Calibri" w:cs="Calibri"/>
          <w:noProof/>
          <w:szCs w:val="24"/>
        </w:rPr>
        <w:t>(3), 1049–1070. https://doi.org/10.1111/j.1467-937X.2009.00555.x</w:t>
      </w:r>
    </w:p>
    <w:p w14:paraId="7EEB2508"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Hopenhayn, H. A., &amp; Wang, C. (1996). Unemployment insurance with moral hazard in a dynamic economy A comment. </w:t>
      </w:r>
      <w:r w:rsidRPr="00156602">
        <w:rPr>
          <w:rFonts w:ascii="Calibri" w:hAnsi="Calibri" w:cs="Calibri"/>
          <w:i/>
          <w:iCs/>
          <w:noProof/>
          <w:szCs w:val="24"/>
        </w:rPr>
        <w:t>Carnegie-Rochester Conference Series on Public Policy</w:t>
      </w:r>
      <w:r w:rsidRPr="00156602">
        <w:rPr>
          <w:rFonts w:ascii="Calibri" w:hAnsi="Calibri" w:cs="Calibri"/>
          <w:noProof/>
          <w:szCs w:val="24"/>
        </w:rPr>
        <w:t xml:space="preserve">, </w:t>
      </w:r>
      <w:r w:rsidRPr="00156602">
        <w:rPr>
          <w:rFonts w:ascii="Calibri" w:hAnsi="Calibri" w:cs="Calibri"/>
          <w:i/>
          <w:iCs/>
          <w:noProof/>
          <w:szCs w:val="24"/>
        </w:rPr>
        <w:t>44</w:t>
      </w:r>
      <w:r w:rsidRPr="00156602">
        <w:rPr>
          <w:rFonts w:ascii="Calibri" w:hAnsi="Calibri" w:cs="Calibri"/>
          <w:noProof/>
          <w:szCs w:val="24"/>
        </w:rPr>
        <w:t>, 43–46. https://doi.org/10.1016/s0167-2231(96)90003-2</w:t>
      </w:r>
    </w:p>
    <w:p w14:paraId="1DF894D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Howell, D., &amp; Azizoglu, B. (2011). Unemployment Benefits and Work Incentives: The U.S. Labor Market in the Great Recession. </w:t>
      </w:r>
      <w:r w:rsidRPr="00156602">
        <w:rPr>
          <w:rFonts w:ascii="Calibri" w:hAnsi="Calibri" w:cs="Calibri"/>
          <w:i/>
          <w:iCs/>
          <w:noProof/>
          <w:szCs w:val="24"/>
        </w:rPr>
        <w:t>Political Economy Research Institute</w:t>
      </w:r>
      <w:r w:rsidRPr="00156602">
        <w:rPr>
          <w:rFonts w:ascii="Calibri" w:hAnsi="Calibri" w:cs="Calibri"/>
          <w:noProof/>
          <w:szCs w:val="24"/>
        </w:rPr>
        <w:t xml:space="preserve">, </w:t>
      </w:r>
      <w:r w:rsidRPr="00156602">
        <w:rPr>
          <w:rFonts w:ascii="Calibri" w:hAnsi="Calibri" w:cs="Calibri"/>
          <w:i/>
          <w:iCs/>
          <w:noProof/>
          <w:szCs w:val="24"/>
        </w:rPr>
        <w:t>257</w:t>
      </w:r>
      <w:r w:rsidRPr="00156602">
        <w:rPr>
          <w:rFonts w:ascii="Calibri" w:hAnsi="Calibri" w:cs="Calibri"/>
          <w:noProof/>
          <w:szCs w:val="24"/>
        </w:rPr>
        <w:t>, 151–162. https://doi.org/10.4324/9781315143842</w:t>
      </w:r>
    </w:p>
    <w:p w14:paraId="6472324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Hummelgaard, P. (2021). </w:t>
      </w:r>
      <w:r w:rsidRPr="00156602">
        <w:rPr>
          <w:rFonts w:ascii="Calibri" w:hAnsi="Calibri" w:cs="Calibri"/>
          <w:i/>
          <w:iCs/>
          <w:noProof/>
          <w:szCs w:val="24"/>
        </w:rPr>
        <w:t>Spørgsmål nr:270</w:t>
      </w:r>
      <w:r w:rsidRPr="00156602">
        <w:rPr>
          <w:rFonts w:ascii="Calibri" w:hAnsi="Calibri" w:cs="Calibri"/>
          <w:noProof/>
          <w:szCs w:val="24"/>
        </w:rPr>
        <w:t>. Beskæftigelses Ministeriet. https://www.ft.dk/samling/20201/almdel/beu/spm/270/svar/1776624/2384360/index.htm</w:t>
      </w:r>
    </w:p>
    <w:p w14:paraId="0C00910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Jensen, M. T. (2021). </w:t>
      </w:r>
      <w:r w:rsidRPr="00156602">
        <w:rPr>
          <w:rFonts w:ascii="Calibri" w:hAnsi="Calibri" w:cs="Calibri"/>
          <w:i/>
          <w:iCs/>
          <w:noProof/>
          <w:szCs w:val="24"/>
        </w:rPr>
        <w:t>Prisen for at løfte dagpengene overdrives</w:t>
      </w:r>
      <w:r w:rsidRPr="00156602">
        <w:rPr>
          <w:rFonts w:ascii="Calibri" w:hAnsi="Calibri" w:cs="Calibri"/>
          <w:noProof/>
          <w:szCs w:val="24"/>
        </w:rPr>
        <w:t>. 1–10.</w:t>
      </w:r>
    </w:p>
    <w:p w14:paraId="0CC8D0A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Jurajda, Š. (2002). Estimating the effect of unemployment insurance compensation on the labor market histories of displaced workers. </w:t>
      </w:r>
      <w:r w:rsidRPr="00156602">
        <w:rPr>
          <w:rFonts w:ascii="Calibri" w:hAnsi="Calibri" w:cs="Calibri"/>
          <w:i/>
          <w:iCs/>
          <w:noProof/>
          <w:szCs w:val="24"/>
        </w:rPr>
        <w:t>Journal of Econometrics</w:t>
      </w:r>
      <w:r w:rsidRPr="00156602">
        <w:rPr>
          <w:rFonts w:ascii="Calibri" w:hAnsi="Calibri" w:cs="Calibri"/>
          <w:noProof/>
          <w:szCs w:val="24"/>
        </w:rPr>
        <w:t xml:space="preserve">, </w:t>
      </w:r>
      <w:r w:rsidRPr="00156602">
        <w:rPr>
          <w:rFonts w:ascii="Calibri" w:hAnsi="Calibri" w:cs="Calibri"/>
          <w:i/>
          <w:iCs/>
          <w:noProof/>
          <w:szCs w:val="24"/>
        </w:rPr>
        <w:t>108</w:t>
      </w:r>
      <w:r w:rsidRPr="00156602">
        <w:rPr>
          <w:rFonts w:ascii="Calibri" w:hAnsi="Calibri" w:cs="Calibri"/>
          <w:noProof/>
          <w:szCs w:val="24"/>
        </w:rPr>
        <w:t>(2), 227–252. https://doi.org/10.1016/S0304-4076(01)00135-X</w:t>
      </w:r>
    </w:p>
    <w:p w14:paraId="0EFA3E7D"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Kongshøj, P. (2015). </w:t>
      </w:r>
      <w:r w:rsidRPr="00156602">
        <w:rPr>
          <w:rFonts w:ascii="Calibri" w:hAnsi="Calibri" w:cs="Calibri"/>
          <w:i/>
          <w:iCs/>
          <w:noProof/>
          <w:szCs w:val="24"/>
        </w:rPr>
        <w:t>Dansk fl exicurity under pres – både indefra og udefra</w:t>
      </w:r>
      <w:r w:rsidRPr="00156602">
        <w:rPr>
          <w:rFonts w:ascii="Calibri" w:hAnsi="Calibri" w:cs="Calibri"/>
          <w:noProof/>
          <w:szCs w:val="24"/>
        </w:rPr>
        <w:t xml:space="preserve">. </w:t>
      </w:r>
      <w:r w:rsidRPr="00156602">
        <w:rPr>
          <w:rFonts w:ascii="Calibri" w:hAnsi="Calibri" w:cs="Calibri"/>
          <w:i/>
          <w:iCs/>
          <w:noProof/>
          <w:szCs w:val="24"/>
        </w:rPr>
        <w:t>1</w:t>
      </w:r>
      <w:r w:rsidRPr="00156602">
        <w:rPr>
          <w:rFonts w:ascii="Calibri" w:hAnsi="Calibri" w:cs="Calibri"/>
          <w:noProof/>
          <w:szCs w:val="24"/>
        </w:rPr>
        <w:t>, 5–10.</w:t>
      </w:r>
    </w:p>
    <w:p w14:paraId="313BF962"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Lalive, B. R., Landais, C., &amp; Zweimüller, J. (2015). </w:t>
      </w:r>
      <w:r w:rsidRPr="00156602">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156602">
        <w:rPr>
          <w:rFonts w:ascii="Calibri" w:hAnsi="Calibri" w:cs="Calibri"/>
          <w:noProof/>
          <w:szCs w:val="24"/>
        </w:rPr>
        <w:t xml:space="preserve">. </w:t>
      </w:r>
      <w:r w:rsidRPr="00156602">
        <w:rPr>
          <w:rFonts w:ascii="Calibri" w:hAnsi="Calibri" w:cs="Calibri"/>
          <w:i/>
          <w:iCs/>
          <w:noProof/>
          <w:szCs w:val="24"/>
        </w:rPr>
        <w:t>105</w:t>
      </w:r>
      <w:r w:rsidRPr="00156602">
        <w:rPr>
          <w:rFonts w:ascii="Calibri" w:hAnsi="Calibri" w:cs="Calibri"/>
          <w:noProof/>
          <w:szCs w:val="24"/>
        </w:rPr>
        <w:t>(12), 3564–3596.</w:t>
      </w:r>
    </w:p>
    <w:p w14:paraId="64DAF260"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Lavoie, M., &amp; Godley, W. (2012). Monetary Economics - An Integrated Approach to Credit, Money, Income, Production and Wealth. In </w:t>
      </w:r>
      <w:r w:rsidRPr="00156602">
        <w:rPr>
          <w:rFonts w:ascii="Calibri" w:hAnsi="Calibri" w:cs="Calibri"/>
          <w:i/>
          <w:iCs/>
          <w:noProof/>
          <w:szCs w:val="24"/>
        </w:rPr>
        <w:t>Https://Medium.Com/</w:t>
      </w:r>
      <w:r w:rsidRPr="00156602">
        <w:rPr>
          <w:rFonts w:ascii="Calibri" w:hAnsi="Calibri" w:cs="Calibri"/>
          <w:noProof/>
          <w:szCs w:val="24"/>
        </w:rPr>
        <w:t>. https://medium.com/@arifwicaksanaa/pengertian-use-case-a7e576e1b6bf</w:t>
      </w:r>
    </w:p>
    <w:p w14:paraId="3E913B8B"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lastRenderedPageBreak/>
        <w:t xml:space="preserve">Marinescu, I. (2017). The general equilibrium impacts of unemployment insurance: Evidence from a large online job board. </w:t>
      </w:r>
      <w:r w:rsidRPr="00156602">
        <w:rPr>
          <w:rFonts w:ascii="Calibri" w:hAnsi="Calibri" w:cs="Calibri"/>
          <w:i/>
          <w:iCs/>
          <w:noProof/>
          <w:szCs w:val="24"/>
        </w:rPr>
        <w:t>Journal of Public Economics</w:t>
      </w:r>
      <w:r w:rsidRPr="00156602">
        <w:rPr>
          <w:rFonts w:ascii="Calibri" w:hAnsi="Calibri" w:cs="Calibri"/>
          <w:noProof/>
          <w:szCs w:val="24"/>
        </w:rPr>
        <w:t xml:space="preserve">, </w:t>
      </w:r>
      <w:r w:rsidRPr="00156602">
        <w:rPr>
          <w:rFonts w:ascii="Calibri" w:hAnsi="Calibri" w:cs="Calibri"/>
          <w:i/>
          <w:iCs/>
          <w:noProof/>
          <w:szCs w:val="24"/>
        </w:rPr>
        <w:t>150</w:t>
      </w:r>
      <w:r w:rsidRPr="00156602">
        <w:rPr>
          <w:rFonts w:ascii="Calibri" w:hAnsi="Calibri" w:cs="Calibri"/>
          <w:noProof/>
          <w:szCs w:val="24"/>
        </w:rPr>
        <w:t>, 14–29. https://doi.org/10.1016/j.jpubeco.2017.02.012</w:t>
      </w:r>
    </w:p>
    <w:p w14:paraId="64A62833"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Mcdonald, I. M., &amp; Solow, R. M. (1981). </w:t>
      </w:r>
      <w:r w:rsidRPr="00156602">
        <w:rPr>
          <w:rFonts w:ascii="Calibri" w:hAnsi="Calibri" w:cs="Calibri"/>
          <w:i/>
          <w:iCs/>
          <w:noProof/>
          <w:szCs w:val="24"/>
        </w:rPr>
        <w:t>Wage Bargaining and Employment</w:t>
      </w:r>
      <w:r w:rsidRPr="00156602">
        <w:rPr>
          <w:rFonts w:ascii="Calibri" w:hAnsi="Calibri" w:cs="Calibri"/>
          <w:noProof/>
          <w:szCs w:val="24"/>
        </w:rPr>
        <w:t xml:space="preserve">. </w:t>
      </w:r>
      <w:r w:rsidRPr="00156602">
        <w:rPr>
          <w:rFonts w:ascii="Calibri" w:hAnsi="Calibri" w:cs="Calibri"/>
          <w:i/>
          <w:iCs/>
          <w:noProof/>
          <w:szCs w:val="24"/>
        </w:rPr>
        <w:t>71</w:t>
      </w:r>
      <w:r w:rsidRPr="00156602">
        <w:rPr>
          <w:rFonts w:ascii="Calibri" w:hAnsi="Calibri" w:cs="Calibri"/>
          <w:noProof/>
          <w:szCs w:val="24"/>
        </w:rPr>
        <w:t>(5), 896–908.</w:t>
      </w:r>
    </w:p>
    <w:p w14:paraId="55610B29"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Millemaci, E., &amp; Ofria, F. (2014). Kaldor-Verdoorn’s law and increasing returns to scale: A comparison across developed countries. </w:t>
      </w:r>
      <w:r w:rsidRPr="00156602">
        <w:rPr>
          <w:rFonts w:ascii="Calibri" w:hAnsi="Calibri" w:cs="Calibri"/>
          <w:i/>
          <w:iCs/>
          <w:noProof/>
          <w:szCs w:val="24"/>
        </w:rPr>
        <w:t>Journal of Economic Studies</w:t>
      </w:r>
      <w:r w:rsidRPr="00156602">
        <w:rPr>
          <w:rFonts w:ascii="Calibri" w:hAnsi="Calibri" w:cs="Calibri"/>
          <w:noProof/>
          <w:szCs w:val="24"/>
        </w:rPr>
        <w:t xml:space="preserve">, </w:t>
      </w:r>
      <w:r w:rsidRPr="00156602">
        <w:rPr>
          <w:rFonts w:ascii="Calibri" w:hAnsi="Calibri" w:cs="Calibri"/>
          <w:i/>
          <w:iCs/>
          <w:noProof/>
          <w:szCs w:val="24"/>
        </w:rPr>
        <w:t>41</w:t>
      </w:r>
      <w:r w:rsidRPr="00156602">
        <w:rPr>
          <w:rFonts w:ascii="Calibri" w:hAnsi="Calibri" w:cs="Calibri"/>
          <w:noProof/>
          <w:szCs w:val="24"/>
        </w:rPr>
        <w:t>(1), 140–162. https://doi.org/10.1108/JES-02-2012-0026</w:t>
      </w:r>
    </w:p>
    <w:p w14:paraId="06F60D8C"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Nørgaard, T. (1995). </w:t>
      </w:r>
      <w:r w:rsidRPr="00156602">
        <w:rPr>
          <w:rFonts w:ascii="Calibri" w:hAnsi="Calibri" w:cs="Calibri"/>
          <w:i/>
          <w:iCs/>
          <w:noProof/>
          <w:szCs w:val="24"/>
        </w:rPr>
        <w:t>Bekendtgørelse om fastsættelse og regulering af omregningssats</w:t>
      </w:r>
      <w:r w:rsidRPr="00156602">
        <w:rPr>
          <w:rFonts w:ascii="Calibri" w:hAnsi="Calibri" w:cs="Calibri"/>
          <w:noProof/>
          <w:szCs w:val="24"/>
        </w:rPr>
        <w:t>. https://www.retsinformation.dk/eli/lta/1995/1154</w:t>
      </w:r>
    </w:p>
    <w:p w14:paraId="28726BA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Økonomiske Råd. Formandskabet. (2014). </w:t>
      </w:r>
      <w:r w:rsidRPr="00156602">
        <w:rPr>
          <w:rFonts w:ascii="Calibri" w:hAnsi="Calibri" w:cs="Calibri"/>
          <w:i/>
          <w:iCs/>
          <w:noProof/>
          <w:szCs w:val="24"/>
        </w:rPr>
        <w:t>Dansk økonomi. Efterår 2014 : Konjunkturvurdering ; Dagpengesystemet</w:t>
      </w:r>
      <w:r w:rsidRPr="00156602">
        <w:rPr>
          <w:rFonts w:ascii="Calibri" w:hAnsi="Calibri" w:cs="Calibri"/>
          <w:noProof/>
          <w:szCs w:val="24"/>
        </w:rPr>
        <w:t>.</w:t>
      </w:r>
    </w:p>
    <w:p w14:paraId="4899D86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Onaran, O., &amp; Galanis, G. (2012). Is aggregate demand wage-led or profit-led? </w:t>
      </w:r>
      <w:r w:rsidRPr="00156602">
        <w:rPr>
          <w:rFonts w:ascii="Calibri" w:hAnsi="Calibri" w:cs="Calibri"/>
          <w:i/>
          <w:iCs/>
          <w:noProof/>
          <w:szCs w:val="24"/>
        </w:rPr>
        <w:t>Conditions of Work and Employment Series</w:t>
      </w:r>
      <w:r w:rsidRPr="00156602">
        <w:rPr>
          <w:rFonts w:ascii="Calibri" w:hAnsi="Calibri" w:cs="Calibri"/>
          <w:noProof/>
          <w:szCs w:val="24"/>
        </w:rPr>
        <w:t xml:space="preserve">, </w:t>
      </w:r>
      <w:r w:rsidRPr="00156602">
        <w:rPr>
          <w:rFonts w:ascii="Calibri" w:hAnsi="Calibri" w:cs="Calibri"/>
          <w:i/>
          <w:iCs/>
          <w:noProof/>
          <w:szCs w:val="24"/>
        </w:rPr>
        <w:t>40</w:t>
      </w:r>
      <w:r w:rsidRPr="00156602">
        <w:rPr>
          <w:rFonts w:ascii="Calibri" w:hAnsi="Calibri" w:cs="Calibri"/>
          <w:noProof/>
          <w:szCs w:val="24"/>
        </w:rPr>
        <w:t>(40).</w:t>
      </w:r>
    </w:p>
    <w:p w14:paraId="51102B0E"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Onaran, O., &amp; Obst, T. (2015). </w:t>
      </w:r>
      <w:r w:rsidRPr="00156602">
        <w:rPr>
          <w:rFonts w:ascii="Calibri" w:hAnsi="Calibri" w:cs="Calibri"/>
          <w:i/>
          <w:iCs/>
          <w:noProof/>
          <w:szCs w:val="24"/>
        </w:rPr>
        <w:t>Wage-led growth in the EU15 Member States: the effects of income distribution on growth, investment, trade balance, and inflation</w:t>
      </w:r>
      <w:r w:rsidRPr="00156602">
        <w:rPr>
          <w:rFonts w:ascii="Calibri" w:hAnsi="Calibri" w:cs="Calibri"/>
          <w:noProof/>
          <w:szCs w:val="24"/>
        </w:rPr>
        <w:t>. 1–48.</w:t>
      </w:r>
    </w:p>
    <w:p w14:paraId="74509C0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Setterfield, M. (2003). Supply and Demand in the Theory of Long-run Growth: Introduction to a symposium on demand-led growth. </w:t>
      </w:r>
      <w:r w:rsidRPr="00156602">
        <w:rPr>
          <w:rFonts w:ascii="Calibri" w:hAnsi="Calibri" w:cs="Calibri"/>
          <w:i/>
          <w:iCs/>
          <w:noProof/>
          <w:szCs w:val="24"/>
        </w:rPr>
        <w:t>Review of Political Economy</w:t>
      </w:r>
      <w:r w:rsidRPr="00156602">
        <w:rPr>
          <w:rFonts w:ascii="Calibri" w:hAnsi="Calibri" w:cs="Calibri"/>
          <w:noProof/>
          <w:szCs w:val="24"/>
        </w:rPr>
        <w:t xml:space="preserve">, </w:t>
      </w:r>
      <w:r w:rsidRPr="00156602">
        <w:rPr>
          <w:rFonts w:ascii="Calibri" w:hAnsi="Calibri" w:cs="Calibri"/>
          <w:i/>
          <w:iCs/>
          <w:noProof/>
          <w:szCs w:val="24"/>
        </w:rPr>
        <w:t>15</w:t>
      </w:r>
      <w:r w:rsidRPr="00156602">
        <w:rPr>
          <w:rFonts w:ascii="Calibri" w:hAnsi="Calibri" w:cs="Calibri"/>
          <w:noProof/>
          <w:szCs w:val="24"/>
        </w:rPr>
        <w:t>(1), 23–32. https://doi.org/10.1080/09538250308440</w:t>
      </w:r>
    </w:p>
    <w:p w14:paraId="537F114F"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Shapiro, B. C., &amp; Stiglitz, J. E. (1984). American Economic Association Equilibrium Unemployment as a Worker Discipline Device. </w:t>
      </w:r>
      <w:r w:rsidRPr="00156602">
        <w:rPr>
          <w:rFonts w:ascii="Calibri" w:hAnsi="Calibri" w:cs="Calibri"/>
          <w:i/>
          <w:iCs/>
          <w:noProof/>
          <w:szCs w:val="24"/>
        </w:rPr>
        <w:t>The American Economic Review</w:t>
      </w:r>
      <w:r w:rsidRPr="00156602">
        <w:rPr>
          <w:rFonts w:ascii="Calibri" w:hAnsi="Calibri" w:cs="Calibri"/>
          <w:noProof/>
          <w:szCs w:val="24"/>
        </w:rPr>
        <w:t xml:space="preserve">, </w:t>
      </w:r>
      <w:r w:rsidRPr="00156602">
        <w:rPr>
          <w:rFonts w:ascii="Calibri" w:hAnsi="Calibri" w:cs="Calibri"/>
          <w:i/>
          <w:iCs/>
          <w:noProof/>
          <w:szCs w:val="24"/>
        </w:rPr>
        <w:t>74</w:t>
      </w:r>
      <w:r w:rsidRPr="00156602">
        <w:rPr>
          <w:rFonts w:ascii="Calibri" w:hAnsi="Calibri" w:cs="Calibri"/>
          <w:noProof/>
          <w:szCs w:val="24"/>
        </w:rPr>
        <w:t>(3), 433–444.</w:t>
      </w:r>
    </w:p>
    <w:p w14:paraId="4CC7F045"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Stockhammer, E., &amp; Lavoie, M. (2013). Wage-led Growth. In </w:t>
      </w:r>
      <w:r w:rsidRPr="00156602">
        <w:rPr>
          <w:rFonts w:ascii="Calibri" w:hAnsi="Calibri" w:cs="Calibri"/>
          <w:i/>
          <w:iCs/>
          <w:noProof/>
          <w:szCs w:val="24"/>
        </w:rPr>
        <w:t>Wage-led Growth</w:t>
      </w:r>
      <w:r w:rsidRPr="00156602">
        <w:rPr>
          <w:rFonts w:ascii="Calibri" w:hAnsi="Calibri" w:cs="Calibri"/>
          <w:noProof/>
          <w:szCs w:val="24"/>
        </w:rPr>
        <w:t xml:space="preserve"> (Issue February). https://doi.org/10.1057/9781137357939</w:t>
      </w:r>
    </w:p>
    <w:p w14:paraId="2D59687A"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szCs w:val="24"/>
        </w:rPr>
      </w:pPr>
      <w:r w:rsidRPr="00156602">
        <w:rPr>
          <w:rFonts w:ascii="Calibri" w:hAnsi="Calibri" w:cs="Calibri"/>
          <w:noProof/>
          <w:szCs w:val="24"/>
        </w:rPr>
        <w:t xml:space="preserve">Topel, B. R. H. (1983). </w:t>
      </w:r>
      <w:r w:rsidRPr="00156602">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156602">
        <w:rPr>
          <w:rFonts w:ascii="Calibri" w:hAnsi="Calibri" w:cs="Calibri"/>
          <w:noProof/>
          <w:szCs w:val="24"/>
        </w:rPr>
        <w:t xml:space="preserve">. </w:t>
      </w:r>
      <w:r w:rsidRPr="00156602">
        <w:rPr>
          <w:rFonts w:ascii="Calibri" w:hAnsi="Calibri" w:cs="Calibri"/>
          <w:i/>
          <w:iCs/>
          <w:noProof/>
          <w:szCs w:val="24"/>
        </w:rPr>
        <w:t>73</w:t>
      </w:r>
      <w:r w:rsidRPr="00156602">
        <w:rPr>
          <w:rFonts w:ascii="Calibri" w:hAnsi="Calibri" w:cs="Calibri"/>
          <w:noProof/>
          <w:szCs w:val="24"/>
        </w:rPr>
        <w:t>(4), 541–559.</w:t>
      </w:r>
    </w:p>
    <w:p w14:paraId="5A09C8E4" w14:textId="77777777" w:rsidR="00156602" w:rsidRPr="00156602" w:rsidRDefault="00156602" w:rsidP="00156602">
      <w:pPr>
        <w:widowControl w:val="0"/>
        <w:autoSpaceDE w:val="0"/>
        <w:autoSpaceDN w:val="0"/>
        <w:adjustRightInd w:val="0"/>
        <w:spacing w:line="240" w:lineRule="auto"/>
        <w:ind w:left="480" w:hanging="480"/>
        <w:rPr>
          <w:rFonts w:ascii="Calibri" w:hAnsi="Calibri" w:cs="Calibri"/>
          <w:noProof/>
        </w:rPr>
      </w:pPr>
      <w:r w:rsidRPr="00156602">
        <w:rPr>
          <w:rFonts w:ascii="Calibri" w:hAnsi="Calibri" w:cs="Calibri"/>
          <w:noProof/>
          <w:szCs w:val="24"/>
        </w:rPr>
        <w:t xml:space="preserve">Venstre, D. R., Folkeparti, S., Folkeparti, D. K., &amp; Eu-bidrag, D. (2012). </w:t>
      </w:r>
      <w:r w:rsidRPr="00156602">
        <w:rPr>
          <w:rFonts w:ascii="Calibri" w:hAnsi="Calibri" w:cs="Calibri"/>
          <w:i/>
          <w:iCs/>
          <w:noProof/>
          <w:szCs w:val="24"/>
        </w:rPr>
        <w:t>Aftale om skattereform</w:t>
      </w:r>
      <w:r w:rsidRPr="00156602">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lastRenderedPageBreak/>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Default="006002F9" w:rsidP="006002F9">
      <w:pPr>
        <w:pStyle w:val="Overskrift3"/>
        <w:rPr>
          <w:lang w:val="da-DK"/>
        </w:rPr>
      </w:pPr>
      <w:r>
        <w:rPr>
          <w:lang w:val="da-DK"/>
        </w:rPr>
        <w:lastRenderedPageBreak/>
        <w:t>Sensitivitet of demand regime</w:t>
      </w:r>
    </w:p>
    <w:p w14:paraId="74760368" w14:textId="6E6DAF61" w:rsidR="006002F9" w:rsidRDefault="006002F9" w:rsidP="006002F9">
      <w:pPr>
        <w:rPr>
          <w:lang w:val="da-DK"/>
        </w:rPr>
      </w:pPr>
    </w:p>
    <w:p w14:paraId="00EE0D29" w14:textId="4AAF66DA" w:rsidR="006002F9" w:rsidRDefault="00B53960" w:rsidP="00B53960">
      <w:pPr>
        <w:pStyle w:val="Overskrift4"/>
        <w:rPr>
          <w:lang w:val="da-DK"/>
        </w:rPr>
      </w:pPr>
      <w:bookmarkStart w:id="54" w:name="_Hlk119494477"/>
      <w:r w:rsidRPr="00B53960">
        <w:t>Removing autonomous consumption, restricting estimate of the profit-share to -0.1 from -0.45</w:t>
      </w:r>
      <w:r>
        <w:rPr>
          <w:lang w:val="da-DK"/>
        </w:rPr>
        <w:t xml:space="preserve">. </w:t>
      </w:r>
    </w:p>
    <w:bookmarkEnd w:id="54"/>
    <w:p w14:paraId="2DBA4FDE" w14:textId="5F96CA25" w:rsidR="00B53960" w:rsidRDefault="00B53960" w:rsidP="00B53960">
      <w:pPr>
        <w:rPr>
          <w:lang w:val="da-DK"/>
        </w:rPr>
      </w:pPr>
    </w:p>
    <w:p w14:paraId="3A667761" w14:textId="47EDACE5" w:rsidR="00B53960" w:rsidRPr="00463DFD" w:rsidRDefault="00B53960" w:rsidP="00B53960">
      <w:pPr>
        <w:rPr>
          <w:lang w:val="da-DK"/>
        </w:rPr>
      </w:pPr>
      <w:r w:rsidRPr="00B53960">
        <w:rPr>
          <w:noProof/>
        </w:rPr>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 and setting estimate of real exchange rate on exports to - 0.1 instead of -0.24</w:t>
      </w:r>
    </w:p>
    <w:p w14:paraId="342A83C3" w14:textId="6A008D6D" w:rsidR="00B53960" w:rsidRDefault="00B53960" w:rsidP="00B53960">
      <w:pPr>
        <w:rPr>
          <w:lang w:val="da-DK"/>
        </w:rPr>
      </w:pPr>
    </w:p>
    <w:p w14:paraId="323E78EC" w14:textId="1C91D15F" w:rsidR="00463DFD" w:rsidRDefault="00463DFD" w:rsidP="00B53960">
      <w:pPr>
        <w:rPr>
          <w:lang w:val="da-DK"/>
        </w:rPr>
      </w:pPr>
      <w:r w:rsidRPr="00463DFD">
        <w:rPr>
          <w:noProof/>
        </w:rPr>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7T15:42:00Z" w:initials="ST">
    <w:p w14:paraId="3FE31168" w14:textId="77777777" w:rsidR="00127EA8" w:rsidRDefault="00127EA8" w:rsidP="00F759E4">
      <w:pPr>
        <w:pStyle w:val="Kommentartekst"/>
      </w:pPr>
      <w:r>
        <w:rPr>
          <w:rStyle w:val="Kommentarhenvisning"/>
        </w:rPr>
        <w:annotationRef/>
      </w:r>
      <w:r>
        <w:t>Mybe make into a footnote</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0"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2"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3"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4"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5"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16"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17"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18"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19"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0"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1"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2"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3"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4"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5"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26"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27"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28"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29"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0"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1"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2"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3"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4"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35"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36"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37"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38"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39"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40"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41"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42"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43"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44"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45"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46"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47"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48"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49"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3FE31168" w15:done="0"/>
  <w15:commentEx w15:paraId="45A0D051" w15:done="0"/>
  <w15:commentEx w15:paraId="48F000BE" w15:done="0"/>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3865DC29"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20D5A1AE" w15:done="1"/>
  <w15:commentEx w15:paraId="4C022DBE" w15:paraIdParent="20D5A1AE" w15:done="1"/>
  <w15:commentEx w15:paraId="47BE8E82"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20D4EE" w16cex:dateUtc="2022-11-17T14:42:00Z"/>
  <w16cex:commentExtensible w16cex:durableId="271F2729" w16cex:dateUtc="2022-11-16T08:0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BD779" w16cex:dateUtc="2022-11-13T19:52: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3FE31168" w16cid:durableId="2720D4EE"/>
  <w16cid:commentId w16cid:paraId="45A0D051" w16cid:durableId="271F2729"/>
  <w16cid:commentId w16cid:paraId="48F000BE" w16cid:durableId="271F26FC"/>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3865DC29" w16cid:durableId="271BD779"/>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20D5A1AE" w16cid:durableId="2703ABC6"/>
  <w16cid:commentId w16cid:paraId="4C022DBE" w16cid:durableId="2703ABD5"/>
  <w16cid:commentId w16cid:paraId="47BE8E82" w16cid:durableId="270F57A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B5A4A" w14:textId="77777777" w:rsidR="004A0D6D" w:rsidRDefault="004A0D6D" w:rsidP="005F6ED0">
      <w:pPr>
        <w:spacing w:after="0" w:line="240" w:lineRule="auto"/>
      </w:pPr>
      <w:r>
        <w:separator/>
      </w:r>
    </w:p>
  </w:endnote>
  <w:endnote w:type="continuationSeparator" w:id="0">
    <w:p w14:paraId="7B67025D" w14:textId="77777777" w:rsidR="004A0D6D" w:rsidRDefault="004A0D6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7428" w14:textId="77777777" w:rsidR="004A0D6D" w:rsidRDefault="004A0D6D" w:rsidP="005F6ED0">
      <w:pPr>
        <w:spacing w:after="0" w:line="240" w:lineRule="auto"/>
      </w:pPr>
      <w:r>
        <w:separator/>
      </w:r>
    </w:p>
  </w:footnote>
  <w:footnote w:type="continuationSeparator" w:id="0">
    <w:p w14:paraId="6C0E090E" w14:textId="77777777" w:rsidR="004A0D6D" w:rsidRDefault="004A0D6D"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12EE"/>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39B"/>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5EBD"/>
    <w:rsid w:val="001271AB"/>
    <w:rsid w:val="00127EA8"/>
    <w:rsid w:val="00133187"/>
    <w:rsid w:val="001417FD"/>
    <w:rsid w:val="00142E91"/>
    <w:rsid w:val="00144F71"/>
    <w:rsid w:val="00145BA3"/>
    <w:rsid w:val="00147306"/>
    <w:rsid w:val="00150126"/>
    <w:rsid w:val="00150DB5"/>
    <w:rsid w:val="00156602"/>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20A"/>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1E0C"/>
    <w:rsid w:val="002B4A4C"/>
    <w:rsid w:val="002B6D11"/>
    <w:rsid w:val="002B7326"/>
    <w:rsid w:val="002B7C95"/>
    <w:rsid w:val="002C04F2"/>
    <w:rsid w:val="002C07B4"/>
    <w:rsid w:val="002C4166"/>
    <w:rsid w:val="002C669C"/>
    <w:rsid w:val="002D2C25"/>
    <w:rsid w:val="002D4028"/>
    <w:rsid w:val="002D5E55"/>
    <w:rsid w:val="002D77BE"/>
    <w:rsid w:val="002E04A2"/>
    <w:rsid w:val="002E0B2C"/>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67F22"/>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1A55"/>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0D6D"/>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14AE"/>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47A9"/>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50CF"/>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0999"/>
    <w:rsid w:val="0078484D"/>
    <w:rsid w:val="007853D4"/>
    <w:rsid w:val="007868D7"/>
    <w:rsid w:val="00786CB2"/>
    <w:rsid w:val="00790385"/>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11CF"/>
    <w:rsid w:val="00834D3C"/>
    <w:rsid w:val="00835B9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5F9F"/>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3C66"/>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17E43"/>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029E"/>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808"/>
    <w:rsid w:val="00F228AF"/>
    <w:rsid w:val="00F22F0A"/>
    <w:rsid w:val="00F23405"/>
    <w:rsid w:val="00F25149"/>
    <w:rsid w:val="00F25725"/>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55</Pages>
  <Words>37348</Words>
  <Characters>212888</Characters>
  <Application>Microsoft Office Word</Application>
  <DocSecurity>0</DocSecurity>
  <Lines>1774</Lines>
  <Paragraphs>499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33</cp:revision>
  <dcterms:created xsi:type="dcterms:W3CDTF">2022-11-15T14:32:00Z</dcterms:created>
  <dcterms:modified xsi:type="dcterms:W3CDTF">2022-11-17T16:15:00Z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