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(xyz)</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(xyz)</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r w:rsidR="00B31350">
        <w:t>Skattereform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(Finansministeriet)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 xml:space="preserve">(xyz).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 xml:space="preserve">(Howell/Azizoglu,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 xml:space="preserve">Newer literature presented in (Dørs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 xml:space="preserve">(Dørs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mfl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pro-labour and pro-capital – are described by Lavoie/Stockhammer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‘labour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(xyz)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r w:rsidR="007C3869">
        <w:t>xyz</w:t>
      </w:r>
      <w:commentRangeEnd w:id="12"/>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(Dør 2022)</w:t>
      </w:r>
      <w:r>
        <w:t xml:space="preserve"> claim that the </w:t>
      </w:r>
      <w:r w:rsidR="00C21C3D">
        <w:t>commission</w:t>
      </w:r>
      <w:r>
        <w:t xml:space="preserve"> is neglecting the possible effect of changes in the level of income insurance on job separation meaning a change in the number of “opsigelser”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og Williamson, 1996) (Hopenhayn og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 xml:space="preserve">(xyz)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 xml:space="preserve">(xyz)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r>
        <w:t xml:space="preserve">Dagpengemodellen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“kontanthjælp”, a Markovmodel</w:t>
      </w:r>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kontanthjælp is calculated using the static model for “</w:t>
      </w:r>
      <w:commentRangeStart w:id="18"/>
      <w:r w:rsidR="005F09CB">
        <w:t>kontanthjælp”.</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Markovmodel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“dagpengeanciennitet” (1-208 weeks) and “beskæftigelsesanciennitet” (0-3 quarters)</w:t>
      </w:r>
      <w:r w:rsidR="001B630A">
        <w:t xml:space="preserve">. </w:t>
      </w:r>
      <w:r w:rsidR="007969EC">
        <w:br/>
        <w:t>T</w:t>
      </w:r>
      <w:r w:rsidR="001B630A">
        <w:t>he Markovmodel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 xml:space="preserve">Therefor the commission must assume that the behavioral effects for people being close to going into the insurance program (fx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r w:rsidR="00CB24AF">
        <w:t>xyz</w:t>
      </w:r>
      <w:commentRangeEnd w:id="30"/>
      <w:r w:rsidR="00CB24AF">
        <w:rPr>
          <w:rStyle w:val="Kommentarhenvisning"/>
        </w:rPr>
        <w:commentReference w:id="30"/>
      </w:r>
      <w:r w:rsidR="00CB24AF">
        <w:t xml:space="preserve">). The change in wages will then affect the wage-share of the economy and depending on if the country is wage-led or profit-led as discussed in (stockhammer)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“max_dp”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“max_dp”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 xml:space="preserve">The endogenization of “max_dp” is now completed within the </w:t>
      </w:r>
      <w:r w:rsidR="000C24CF">
        <w:t>model and</w:t>
      </w:r>
      <w:r>
        <w:t xml:space="preserve"> allows us to calculate the compensation rate within the model </w:t>
      </w:r>
      <w:r w:rsidRPr="008406D1">
        <w:t>estimated as the fraction of the average amount an unemployed on income insurance would receive (dp_person), to the average wage received given employment (wage_</w:t>
      </w:r>
      <w:r>
        <w:t>ds</w:t>
      </w:r>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dp_person we use a simple ols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(wage_ds_t)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 xml:space="preserve">As the wages increase, so does the wage-share in the model. (Onaran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“kontanthjælp” and income insurance when determining whether to stay at the labor market. The same type of argument is used here where we include the ratio between </w:t>
      </w:r>
      <w:r>
        <w:lastRenderedPageBreak/>
        <w:t xml:space="preserve">“kontanthjælp” and the avg. level of income insurance received by households. The other explaining variables being the real wage and the unemployment rate, </w:t>
      </w:r>
      <w:r w:rsidR="0039626A">
        <w:t>following the work of (Mikael Hamid)</w:t>
      </w:r>
      <w:r>
        <w:t xml:space="preserve">. This creates a new channel for max_dp to affect the economy as an increase in max_dp will </w:t>
      </w:r>
      <w:r w:rsidR="002F66FF">
        <w:t>increase</w:t>
      </w:r>
      <w:r w:rsidR="00656813">
        <w:t xml:space="preserve"> the avg. income insurance </w:t>
      </w:r>
      <w:r w:rsidR="002F66FF">
        <w:t>and thereby lower</w:t>
      </w:r>
      <w:r w:rsidR="0039626A">
        <w:t xml:space="preserve"> the ratio of kontanthjælp to avg. level of income insurance</w:t>
      </w:r>
      <w:r>
        <w:t xml:space="preserve">. We find a </w:t>
      </w:r>
      <w:r w:rsidR="0039626A">
        <w:t>negative</w:t>
      </w:r>
      <w:r>
        <w:t xml:space="preserve"> relationship between the </w:t>
      </w:r>
      <w:r w:rsidR="0039626A">
        <w:t>kontanthjælps-ratio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kontanthjælp.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max_dp in the baseline but not in this scenario.</w:t>
      </w:r>
      <w:r>
        <w:t xml:space="preserve"> </w:t>
      </w:r>
      <w:r w:rsidR="00D06507">
        <w:t>As a result of the shock, we</w:t>
      </w:r>
      <w:r>
        <w:t xml:space="preserve"> would expect max_dp </w:t>
      </w:r>
      <w:r w:rsidR="00D06507">
        <w:t>to increase</w:t>
      </w:r>
      <w:r w:rsidR="00FA7F17">
        <w:t xml:space="preserve"> even more than in scenario 1</w:t>
      </w:r>
      <w:r w:rsidR="00B73DDB">
        <w:t>.</w:t>
      </w:r>
      <w:r w:rsidR="0005620B">
        <w:t xml:space="preserve"> </w:t>
      </w:r>
      <w:r w:rsidR="00B73DDB">
        <w:t>A</w:t>
      </w:r>
      <w:r w:rsidR="0005620B">
        <w:t>s can be seen from the graph below max_dp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wagegap er 38% for vi en makro effekt der trækker ned ad så den sammlede effekt under under mikro effekten. I alle andre eksempler ender den over mikro effekten, hvor </w:t>
      </w:r>
      <w:r>
        <w:rPr>
          <w:lang w:val="da-DK"/>
        </w:rPr>
        <w:lastRenderedPageBreak/>
        <w:t>meget over afhænger dog af hvordan man sætter parametre (Måske gå efter at få noget der minder om dobbelt effekt af Fredriksson og Söderström hvilket jeg fakisk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r w:rsidRPr="00144F71">
        <w:rPr>
          <w:b/>
          <w:bCs/>
        </w:rPr>
        <w:t>Lalive</w:t>
      </w:r>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r w:rsidRPr="00144F71">
        <w:t>ities. The presence of significant market externalit macro effect of UI extensions are not the same. Estimates of the effects of UI ben- efits on search effort using variation in UI across individuals within a labor market capture micro effects of UI and do not provide enough information to assess the full welfare implications of variations in UI benefi</w:t>
      </w:r>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vacancies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r w:rsidRPr="00A347C6">
        <w:rPr>
          <w:b/>
          <w:bCs/>
          <w:lang w:val="da-DK"/>
        </w:rPr>
        <w:t>Fredriksson</w:t>
      </w:r>
      <w:r w:rsidR="00A347C6" w:rsidRPr="00A347C6">
        <w:rPr>
          <w:b/>
          <w:bCs/>
          <w:lang w:val="da-DK"/>
        </w:rPr>
        <w:t xml:space="preserve"> (Husk det er </w:t>
      </w:r>
      <w:r w:rsidR="00A347C6">
        <w:rPr>
          <w:b/>
          <w:bCs/>
          <w:lang w:val="da-DK"/>
        </w:rPr>
        <w:t>en stigning i max_dp % af løn mener jeg)</w:t>
      </w:r>
    </w:p>
    <w:p w14:paraId="1A844261" w14:textId="4396F97F" w:rsidR="00622BF2" w:rsidRDefault="000F680F" w:rsidP="00175E58">
      <w:commentRangeStart w:id="50"/>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One approach to get around the issues raised by policy endogeneity is to use border counties in different U.S. states as a source of identifica tion;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market tightness is not efficient (i.e., the Hosios,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(i)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micro effect. One reason for this in the standard version of the search-matching model (see Pissarides,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the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Following HKMM, we also present calculations based on the estimates for the implied unemploy- ment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r>
        <w:t>tance. The implied unemployment rates from the policy counterfactuals— 9.1 percent for change to the average benefit duration and 9.9 percent for a change to the maximum duration— are quite close to the corresponding BPFE esti-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coun- terfactuals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Our measurement error-corrected RD also serves as an attractive alterna-tive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contem- poraneous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ect of the policy (Chodorow-Reich and Karabarbounis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county-level employment. For the full sample OLS regressions, our point estimates for the e?ect of expanding maximum benefit duration from 26 to 99 weeks range from 0.21 to 0.43 percentage points of the employment- to-population (EPOP) ratio. These estimates are not significantly di?erent than zero, and the most precise estimates allow us to rule out e?ects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fewer papers that have estimated the macro-level impact of unemployment insurance on overall employment. The papers most closely related to ours are Hagedorn, Karahan, Manovskii and Mitman (2015)—hereafter HKMM—and Hagedorn, Manovskii and Mitman (2016)—hereafter HMM. Like us, these papers use a BCP strategy; HKMM provide evidence complementary to us that the BCP strategy mitigates the endogeneity problem. However, they both estimate large negative e?ects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drereguleringen af dagpengene fra 2021 og frem til og med 2025. Adfærdsvirknin-</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højere ydelse skønnes derudover at medføre en øget tilgang til dagpengesyste-</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met, og dermed reducere den strukturelle beskæftigelse med ca. 1.300 fuldtidsper-</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soner fuldt indfaset. Adfærdsvirkningen følger af en forventningseffekt for beskæf-</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tigede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Afskaffelse af mindrereguleringen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(Svenskerne)</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(Svenskerne)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(Svenskerne)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(Svenskerne)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65"/>
      <w:r w:rsidRPr="00847BCD">
        <w:rPr>
          <w:sz w:val="24"/>
          <w:szCs w:val="24"/>
        </w:rPr>
        <w:t xml:space="preserve">employment. </w:t>
      </w:r>
      <w:commentRangeEnd w:id="65"/>
      <w:r w:rsidR="00847BCD">
        <w:rPr>
          <w:rStyle w:val="Kommentarhenvisning"/>
        </w:rPr>
        <w:commentReference w:id="65"/>
      </w:r>
    </w:p>
    <w:p w14:paraId="3BA3C98F" w14:textId="1DB850B2" w:rsidR="003E1DD6" w:rsidRPr="00847BCD" w:rsidRDefault="003E1DD6" w:rsidP="00847BCD">
      <w:pPr>
        <w:spacing w:line="360" w:lineRule="auto"/>
        <w:rPr>
          <w:sz w:val="24"/>
          <w:szCs w:val="24"/>
        </w:rPr>
      </w:pPr>
      <w:r w:rsidRPr="00847BCD">
        <w:rPr>
          <w:sz w:val="24"/>
          <w:szCs w:val="24"/>
        </w:rPr>
        <w:t xml:space="preserve">The results of a wage increase presented by (Svenskerne)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(Lalive)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(spg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w:t>
      </w:r>
      <w:r w:rsidR="00305EB0" w:rsidRPr="00C44380">
        <w:rPr>
          <w:sz w:val="24"/>
          <w:szCs w:val="24"/>
        </w:rPr>
        <w:lastRenderedPageBreak/>
        <w:t xml:space="preserve">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48BFA099" w:rsidR="00BF3FA4" w:rsidRDefault="00BF3FA4" w:rsidP="00BF3FA4">
      <w:pPr>
        <w:spacing w:line="360" w:lineRule="auto"/>
        <w:rPr>
          <w:sz w:val="24"/>
          <w:szCs w:val="24"/>
        </w:rPr>
      </w:pPr>
      <w:r w:rsidRPr="00C44380">
        <w:rPr>
          <w:sz w:val="24"/>
          <w:szCs w:val="24"/>
        </w:rPr>
        <w:t xml:space="preserve">Looking at the channels independently, we clearly see that the leading effect is going through the wage-channel as also noted by (Svenskerne). As mentioned before (Svenskerne)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 (Stockhammer)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89B76" w14:textId="77777777" w:rsidR="008A11A7" w:rsidRDefault="008A11A7" w:rsidP="005F6ED0">
      <w:pPr>
        <w:spacing w:after="0" w:line="240" w:lineRule="auto"/>
      </w:pPr>
      <w:r>
        <w:separator/>
      </w:r>
    </w:p>
  </w:endnote>
  <w:endnote w:type="continuationSeparator" w:id="0">
    <w:p w14:paraId="582A1B19" w14:textId="77777777" w:rsidR="008A11A7" w:rsidRDefault="008A11A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71257" w14:textId="77777777" w:rsidR="008A11A7" w:rsidRDefault="008A11A7" w:rsidP="005F6ED0">
      <w:pPr>
        <w:spacing w:after="0" w:line="240" w:lineRule="auto"/>
      </w:pPr>
      <w:r>
        <w:separator/>
      </w:r>
    </w:p>
  </w:footnote>
  <w:footnote w:type="continuationSeparator" w:id="0">
    <w:p w14:paraId="4A5CE9EB" w14:textId="77777777" w:rsidR="008A11A7" w:rsidRDefault="008A11A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11A7"/>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58</Pages>
  <Words>12095</Words>
  <Characters>68943</Characters>
  <Application>Microsoft Office Word</Application>
  <DocSecurity>0</DocSecurity>
  <Lines>574</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18</cp:revision>
  <dcterms:created xsi:type="dcterms:W3CDTF">2022-10-23T17:08:00Z</dcterms:created>
  <dcterms:modified xsi:type="dcterms:W3CDTF">2022-10-27T07:12:00Z</dcterms:modified>
</cp:coreProperties>
</file>