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there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DB3517">
        <w:rPr>
          <w:lang w:val="da-DK"/>
        </w:rPr>
        <w:t>(</w:t>
      </w:r>
      <w:proofErr w:type="spellStart"/>
      <w:r w:rsidR="00120836" w:rsidRPr="00DB3517">
        <w:rPr>
          <w:lang w:val="da-DK"/>
        </w:rPr>
        <w:t>xyz</w:t>
      </w:r>
      <w:proofErr w:type="spellEnd"/>
      <w:r w:rsidR="00120836" w:rsidRPr="00DB3517">
        <w:rPr>
          <w:lang w:val="da-DK"/>
        </w:rPr>
        <w:t xml:space="preserve">) </w:t>
      </w:r>
      <w:proofErr w:type="spellStart"/>
      <w:r w:rsidR="00120836" w:rsidRPr="00DB3517">
        <w:rPr>
          <w:lang w:val="da-DK"/>
        </w:rPr>
        <w:t>also</w:t>
      </w:r>
      <w:proofErr w:type="spellEnd"/>
      <w:r w:rsidR="00120836" w:rsidRPr="00DB3517">
        <w:rPr>
          <w:lang w:val="da-DK"/>
        </w:rPr>
        <w:t xml:space="preserve"> themselves </w:t>
      </w:r>
      <w:proofErr w:type="spellStart"/>
      <w:r w:rsidR="00120836" w:rsidRPr="00DB3517">
        <w:rPr>
          <w:lang w:val="da-DK"/>
        </w:rPr>
        <w:t>states</w:t>
      </w:r>
      <w:proofErr w:type="spellEnd"/>
      <w:r w:rsidR="00120836" w:rsidRPr="00DB3517">
        <w:rPr>
          <w:lang w:val="da-DK"/>
        </w:rPr>
        <w:t xml:space="preserve"> </w:t>
      </w:r>
      <w:proofErr w:type="spellStart"/>
      <w:r w:rsidR="00120836" w:rsidRPr="00DB3517">
        <w:rPr>
          <w:lang w:val="da-DK"/>
        </w:rPr>
        <w:t>that</w:t>
      </w:r>
      <w:proofErr w:type="spellEnd"/>
      <w:r w:rsidR="00120836" w:rsidRPr="00DB3517">
        <w:rPr>
          <w:lang w:val="da-DK"/>
        </w:rPr>
        <w:t xml:space="preserve"> </w:t>
      </w:r>
      <w:proofErr w:type="spellStart"/>
      <w:r w:rsidR="00120836" w:rsidRPr="00DB3517">
        <w:rPr>
          <w:lang w:val="da-DK"/>
        </w:rPr>
        <w:t>there</w:t>
      </w:r>
      <w:proofErr w:type="spellEnd"/>
      <w:r w:rsidR="00120836" w:rsidRPr="00DB3517">
        <w:rPr>
          <w:lang w:val="da-DK"/>
        </w:rPr>
        <w:t xml:space="preserve"> is </w:t>
      </w:r>
      <w:proofErr w:type="spellStart"/>
      <w:r w:rsidR="00120836" w:rsidRPr="00DB3517">
        <w:rPr>
          <w:lang w:val="da-DK"/>
        </w:rPr>
        <w:t>very</w:t>
      </w:r>
      <w:proofErr w:type="spellEnd"/>
      <w:r w:rsidR="00120836" w:rsidRPr="00DB3517">
        <w:rPr>
          <w:lang w:val="da-DK"/>
        </w:rPr>
        <w:t xml:space="preserve"> low </w:t>
      </w:r>
      <w:proofErr w:type="spellStart"/>
      <w:r w:rsidR="00120836" w:rsidRPr="00DB3517">
        <w:rPr>
          <w:lang w:val="da-DK"/>
        </w:rPr>
        <w:t>empirical</w:t>
      </w:r>
      <w:proofErr w:type="spellEnd"/>
      <w:r w:rsidR="00120836" w:rsidRPr="00DB3517">
        <w:rPr>
          <w:lang w:val="da-DK"/>
        </w:rPr>
        <w:t xml:space="preserve"> </w:t>
      </w:r>
      <w:proofErr w:type="spellStart"/>
      <w:r w:rsidR="00120836" w:rsidRPr="00DB3517">
        <w:rPr>
          <w:lang w:val="da-DK"/>
        </w:rPr>
        <w:t>evidence</w:t>
      </w:r>
      <w:proofErr w:type="spellEnd"/>
      <w:r w:rsidR="00120836" w:rsidRPr="00DB3517">
        <w:rPr>
          <w:lang w:val="da-DK"/>
        </w:rPr>
        <w:t xml:space="preserve"> for </w:t>
      </w:r>
      <w:proofErr w:type="spellStart"/>
      <w:r w:rsidR="00120836" w:rsidRPr="00DB3517">
        <w:rPr>
          <w:lang w:val="da-DK"/>
        </w:rPr>
        <w:t>this</w:t>
      </w:r>
      <w:proofErr w:type="spellEnd"/>
      <w:r w:rsidR="00120836" w:rsidRPr="00DB3517">
        <w:rPr>
          <w:lang w:val="da-DK"/>
        </w:rPr>
        <w:t xml:space="preserve"> </w:t>
      </w:r>
      <w:proofErr w:type="spellStart"/>
      <w:r w:rsidR="00120836" w:rsidRPr="00DB3517">
        <w:rPr>
          <w:lang w:val="da-DK"/>
        </w:rPr>
        <w:t>effect</w:t>
      </w:r>
      <w:proofErr w:type="spellEnd"/>
      <w:r w:rsidR="00120836" w:rsidRPr="00DB3517">
        <w:rPr>
          <w:lang w:val="da-DK"/>
        </w:rPr>
        <w:t xml:space="preserve"> </w:t>
      </w:r>
      <w:proofErr w:type="spellStart"/>
      <w:r w:rsidR="00120836" w:rsidRPr="00DB3517">
        <w:rPr>
          <w:lang w:val="da-DK"/>
        </w:rPr>
        <w:t>even</w:t>
      </w:r>
      <w:proofErr w:type="spellEnd"/>
      <w:r w:rsidR="00120836" w:rsidRPr="00DB3517">
        <w:rPr>
          <w:lang w:val="da-DK"/>
        </w:rPr>
        <w:t xml:space="preserve"> </w:t>
      </w:r>
      <w:proofErr w:type="spellStart"/>
      <w:r w:rsidR="00120836" w:rsidRPr="00DB3517">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build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1"/>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commentRangeEnd w:id="31"/>
      <w:r w:rsidR="009C5A76">
        <w:rPr>
          <w:rStyle w:val="Kommentarhenvisning"/>
        </w:rPr>
        <w:commentReference w:id="31"/>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53F47236"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C074C2">
        <w:t>not included</w:t>
      </w:r>
      <w:r w:rsidR="00BC1E01">
        <w:t xml:space="preserve"> in the income insurance model created by the (commission 2015)</w:t>
      </w:r>
      <w:r w:rsidR="00C074C2">
        <w:t xml:space="preserve"> to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2"/>
      <w:r w:rsidR="00174C5E">
        <w:t>the wage, productivity, and insurance rate channels are added to the model to analyze the economic effects of each shock</w:t>
      </w:r>
      <w:commentRangeEnd w:id="32"/>
      <w:r w:rsidR="00C074C2">
        <w:rPr>
          <w:rStyle w:val="Kommentarhenvisning"/>
        </w:rPr>
        <w:commentReference w:id="32"/>
      </w:r>
      <w:commentRangeStart w:id="33"/>
      <w:r w:rsidR="00174C5E">
        <w:t>. Lastly, we look at a scenario where all the three channels.</w:t>
      </w:r>
      <w:commentRangeEnd w:id="33"/>
      <w:r w:rsidR="00C074C2">
        <w:rPr>
          <w:rStyle w:val="Kommentarhenvisning"/>
        </w:rPr>
        <w:commentReference w:id="33"/>
      </w:r>
      <w:r w:rsidR="00174C5E">
        <w:t xml:space="preserve"> In all the scenarios we look at the effect of removing the suppressing of the </w:t>
      </w:r>
      <w:r w:rsidR="004E4CC5">
        <w:t>rate regulation percent</w:t>
      </w:r>
      <w:r w:rsidR="00C074C2">
        <w:t xml:space="preserve">. </w:t>
      </w:r>
      <w:r w:rsidR="004E4CC5">
        <w:t xml:space="preserve"> </w:t>
      </w:r>
    </w:p>
    <w:p w14:paraId="0D4891F5" w14:textId="63CE69D7" w:rsidR="005B6B82" w:rsidRDefault="005B6B82" w:rsidP="004A796F"/>
    <w:p w14:paraId="00BF5059" w14:textId="77777777" w:rsidR="00C074C2" w:rsidRDefault="00C074C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24C87F49"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follows the political regulations stated in the introduction</w:t>
      </w:r>
      <w:r w:rsidR="00C074C2">
        <w:t>, where</w:t>
      </w:r>
      <w:r>
        <w:t xml:space="preserve"> </w:t>
      </w:r>
      <w:r w:rsidR="00C074C2">
        <w:t>i</w:t>
      </w:r>
      <w:r>
        <w:t xml:space="preserve">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3B2FE332" w:rsidR="008E6A67" w:rsidRDefault="008E6A67" w:rsidP="008E6A67">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0B32C483" w:rsidR="00763BD8" w:rsidRDefault="00763BD8" w:rsidP="00763BD8">
      <w:pPr>
        <w:spacing w:line="360" w:lineRule="auto"/>
      </w:pPr>
      <w:r>
        <w:t>The endogenization of “</w:t>
      </w:r>
      <w:proofErr w:type="spellStart"/>
      <w:r>
        <w:t>max_dp</w:t>
      </w:r>
      <w:proofErr w:type="spellEnd"/>
      <w:r>
        <w:t xml:space="preserve">” is now completed within the </w:t>
      </w:r>
      <w:r w:rsidR="000C24CF">
        <w:t xml:space="preserve">model </w:t>
      </w:r>
      <w:r w:rsidR="00F93E42">
        <w:t>this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3AADBC2C"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4"/>
      <w:r w:rsidRPr="008406D1">
        <w:t>less</w:t>
      </w:r>
      <w:commentRangeEnd w:id="34"/>
      <w:r w:rsidRPr="008406D1">
        <w:rPr>
          <w:rStyle w:val="Kommentarhenvisning"/>
        </w:rPr>
        <w:commentReference w:id="34"/>
      </w:r>
      <w:r w:rsidRPr="008406D1">
        <w:t>. For this reason, we know that the coefficient should be between 0.85 and 1, and most likely closest to 1</w:t>
      </w:r>
      <w:r w:rsidR="00F93E42">
        <w:t xml:space="preserve"> as most changes in the income insurance are coming from the change in wage</w:t>
      </w:r>
      <w:r w:rsidRPr="008406D1">
        <w:t>.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2A72E0A9"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089686A3" w14:textId="6B6C1500"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35"/>
      <w:r>
        <w:t xml:space="preserve">government net lending. </w:t>
      </w:r>
      <w:commentRangeEnd w:id="35"/>
      <w:r w:rsidR="00C57F78">
        <w:rPr>
          <w:rStyle w:val="Kommentarhenvisning"/>
        </w:rPr>
        <w:commentReference w:id="35"/>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5710C26D" w:rsidR="00174C5E" w:rsidRDefault="00C57F78" w:rsidP="00362402">
      <w:pPr>
        <w:spacing w:line="360" w:lineRule="auto"/>
      </w:pPr>
      <w:commentRangeStart w:id="36"/>
      <w:r>
        <w:lastRenderedPageBreak/>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00174C5E" w:rsidRPr="008F72FE">
        <w:t>.</w:t>
      </w:r>
      <w:r w:rsidR="00174C5E">
        <w:t xml:space="preserve"> </w:t>
      </w:r>
      <w:commentRangeEnd w:id="36"/>
      <w:r>
        <w:rPr>
          <w:rStyle w:val="Kommentarhenvisning"/>
        </w:rPr>
        <w:commentReference w:id="36"/>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32410380"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03300E2F" w14:textId="659CDBE4" w:rsidR="009C5A76" w:rsidRDefault="009C5A76" w:rsidP="0078484D">
      <w:pPr>
        <w:spacing w:line="360" w:lineRule="auto"/>
      </w:pPr>
    </w:p>
    <w:p w14:paraId="4DACAA39" w14:textId="740B28DE" w:rsidR="009C5A76" w:rsidRDefault="009C5A76" w:rsidP="0078484D">
      <w:pPr>
        <w:spacing w:line="360" w:lineRule="auto"/>
      </w:pPr>
    </w:p>
    <w:p w14:paraId="6B2BB685" w14:textId="77777777" w:rsidR="009C5A76" w:rsidRDefault="009C5A76" w:rsidP="0078484D">
      <w:pPr>
        <w:spacing w:line="360" w:lineRule="auto"/>
      </w:pPr>
    </w:p>
    <w:p w14:paraId="778C8E5A" w14:textId="30B75B82" w:rsidR="00C74F09" w:rsidRDefault="009C5A76" w:rsidP="0078484D">
      <w:pPr>
        <w:spacing w:line="360" w:lineRule="auto"/>
      </w:pPr>
      <w:r>
        <w:lastRenderedPageBreak/>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t>
      </w:r>
      <w:r w:rsidR="003D40B6">
        <w:t xml:space="preserve">we </w:t>
      </w:r>
      <w:r w:rsidR="003D40B6">
        <w:t>introduce</w:t>
      </w:r>
      <w:r w:rsidR="003D40B6">
        <w:t xml:space="preserve"> the effect of the maximum level of income insurance on the targeted wage, and how this affects the wage negotiating process</w:t>
      </w:r>
      <w:r w:rsidR="003D40B6">
        <w:t>. Second, we</w:t>
      </w:r>
      <w:r>
        <w:t xml:space="preserve"> include the link between the compensation rate and the rate in which people want to be a member of the income insurance programs. </w:t>
      </w:r>
      <w:r w:rsidR="003D40B6">
        <w:t>Third</w:t>
      </w:r>
      <w:r>
        <w:t xml:space="preserve">, we will look at the match-effect as a result of the liquidity effect, by endogenizing the productivity of workers. </w:t>
      </w:r>
      <w:r w:rsidR="003D40B6">
        <w:t xml:space="preserve">Lastly, we 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7"/>
      <w:r w:rsidR="007D0CB8">
        <w:t xml:space="preserve">increase in their income insurance.  </w:t>
      </w:r>
      <w:commentRangeEnd w:id="37"/>
      <w:r w:rsidR="0027521C">
        <w:rPr>
          <w:rStyle w:val="Kommentarhenvisning"/>
        </w:rPr>
        <w:commentReference w:id="37"/>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lastRenderedPageBreak/>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lastRenderedPageBreak/>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7468C841" w:rsidR="00E427BB"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approximately </w:t>
      </w:r>
      <w:commentRangeStart w:id="38"/>
      <w:r w:rsidR="00E57C40">
        <w:t xml:space="preserve">250 </w:t>
      </w:r>
      <w:commentRangeEnd w:id="38"/>
      <w:r w:rsidR="000D5EFB">
        <w:rPr>
          <w:rStyle w:val="Kommentarhenvisning"/>
        </w:rPr>
        <w:commentReference w:id="38"/>
      </w:r>
      <w:r w:rsidR="00E57C40">
        <w:t xml:space="preserve">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insurance</w:t>
      </w:r>
      <w:r w:rsidR="005C1FA5">
        <w:t xml:space="preserve"> estimated to 0.95</w:t>
      </w:r>
      <w:r w:rsidR="00E427BB">
        <w:t>.</w:t>
      </w:r>
      <w:r w:rsidR="005C1FA5">
        <w:t xml:space="preserve"> </w:t>
      </w:r>
      <w:r w:rsidR="005C1FA5">
        <w:t xml:space="preserve">We know that the estimate should be between </w:t>
      </w:r>
      <w:commentRangeStart w:id="39"/>
      <w:r w:rsidR="005C1FA5">
        <w:t xml:space="preserve">0.85 and 1 </w:t>
      </w:r>
      <w:commentRangeEnd w:id="39"/>
      <w:r w:rsidR="005C1FA5">
        <w:rPr>
          <w:rStyle w:val="Kommentarhenvisning"/>
        </w:rPr>
        <w:commentReference w:id="39"/>
      </w:r>
      <w:r w:rsidR="005C1FA5">
        <w:t xml:space="preserve">using these bounds we get a negative </w:t>
      </w:r>
      <w:r w:rsidR="005C1FA5">
        <w:t xml:space="preserve">change in </w:t>
      </w:r>
      <w:r w:rsidR="005C1FA5">
        <w:t>un</w:t>
      </w:r>
      <w:r w:rsidR="005C1FA5">
        <w:t xml:space="preserve">employment of </w:t>
      </w:r>
      <w:commentRangeStart w:id="40"/>
      <w:r w:rsidR="005C1FA5">
        <w:t>222 - 254</w:t>
      </w:r>
      <w:commentRangeEnd w:id="40"/>
      <w:r w:rsidR="000D5EFB">
        <w:rPr>
          <w:rStyle w:val="Kommentarhenvisning"/>
        </w:rPr>
        <w:commentReference w:id="40"/>
      </w:r>
      <w:r w:rsidR="005C1FA5">
        <w:t xml:space="preserve">. </w:t>
      </w:r>
      <w:r w:rsidR="00E427BB">
        <w:t xml:space="preserve">  </w:t>
      </w:r>
    </w:p>
    <w:p w14:paraId="7067E3CA" w14:textId="7DE3B2D4" w:rsidR="00B373E3" w:rsidRDefault="00464ACD" w:rsidP="0078484D">
      <w:pPr>
        <w:spacing w:line="360" w:lineRule="auto"/>
      </w:pPr>
      <w:r>
        <w:t>In scenario</w:t>
      </w:r>
      <w:r w:rsidR="005C1FA5">
        <w:t xml:space="preserve"> 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3EFBB480" w:rsidR="00DC2929" w:rsidRDefault="001A7BAE" w:rsidP="00DC2929">
      <w:pPr>
        <w:spacing w:line="360" w:lineRule="auto"/>
      </w:pPr>
      <w:r>
        <w:t>As</w:t>
      </w:r>
      <w:r w:rsidR="0027521C">
        <w:t xml:space="preserve"> presented </w:t>
      </w:r>
      <w:r>
        <w:t>in</w:t>
      </w:r>
      <w:r w:rsidR="0027521C">
        <w:t xml:space="preserve"> section 3</w:t>
      </w:r>
      <w:r>
        <w:t xml:space="preserve"> the literature seems to agree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w:proofErr w:type="spellStart"/>
      <w:r w:rsidR="00DC2929">
        <w:t>wage_ds_t</w:t>
      </w:r>
      <w:proofErr w:type="spellEnd"/>
      <w:r w:rsidR="00DC2929">
        <w:t xml:space="preserve">) which is set by the labor unions going into the wage negotiations. The labor unions got two agendas when determining the </w:t>
      </w:r>
      <w:r w:rsidR="00DC2929">
        <w:lastRenderedPageBreak/>
        <w:t xml:space="preserve">target wages. First, they want the wage to follow inflation so that workers keep their purchasing power over time. Second, they set a threshold for the minimum wage gap, in the model this is </w:t>
      </w:r>
      <w:commentRangeStart w:id="41"/>
      <w:r w:rsidR="00DC2929">
        <w:t>4</w:t>
      </w:r>
      <w:r>
        <w:t>2</w:t>
      </w:r>
      <w:r w:rsidR="00DC2929">
        <w:t xml:space="preserve">% </w:t>
      </w:r>
      <w:commentRangeEnd w:id="41"/>
      <w:r>
        <w:rPr>
          <w:rStyle w:val="Kommentarhenvisning"/>
        </w:rPr>
        <w:commentReference w:id="41"/>
      </w:r>
      <w:r w:rsidR="00DC2929">
        <w:t>of the wage, they would want to keep</w:t>
      </w:r>
      <w:r w:rsidR="00297E5E">
        <w:t xml:space="preserve"> this gap</w:t>
      </w:r>
      <w:r w:rsidR="00DC2929">
        <w:t xml:space="preserve"> between the wage and the maximum level of income insurance, to make sure that there will still be a strong incentive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5405EC20" w14:textId="2671F45D" w:rsidR="00297E5E" w:rsidRDefault="00C858DE" w:rsidP="00DC2929">
      <w:pPr>
        <w:spacing w:line="360" w:lineRule="auto"/>
      </w:pPr>
      <w:r>
        <w:rPr>
          <w:noProof/>
        </w:rPr>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lastRenderedPageBreak/>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46D4E8CB" w14:textId="77777777" w:rsidR="00745270" w:rsidRDefault="0027521C" w:rsidP="00745270">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w:t>
      </w:r>
      <w:r w:rsidR="001A7BAE">
        <w:t>4</w:t>
      </w:r>
      <w:r w:rsidR="00634972">
        <w:t>%</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lastRenderedPageBreak/>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3EAC5DCF" w14:textId="61881307"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2"/>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2"/>
      <w:r w:rsidR="00902943">
        <w:rPr>
          <w:rStyle w:val="Kommentarhenvisning"/>
        </w:rPr>
        <w:commentReference w:id="42"/>
      </w:r>
    </w:p>
    <w:p w14:paraId="142D6122" w14:textId="2AFA6489" w:rsidR="00425D00" w:rsidRDefault="00902943" w:rsidP="0078484D">
      <w:pPr>
        <w:spacing w:line="360" w:lineRule="auto"/>
      </w:pPr>
      <w:r w:rsidRPr="00902943">
        <w:drawing>
          <wp:inline distT="0" distB="0" distL="0" distR="0" wp14:anchorId="62EFB1A3" wp14:editId="25F6B861">
            <wp:extent cx="6120130" cy="2533650"/>
            <wp:effectExtent l="0" t="0" r="0" b="0"/>
            <wp:docPr id="60" name="Billed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533650"/>
                    </a:xfrm>
                    <a:prstGeom prst="rect">
                      <a:avLst/>
                    </a:prstGeom>
                  </pic:spPr>
                </pic:pic>
              </a:graphicData>
            </a:graphic>
          </wp:inline>
        </w:drawing>
      </w:r>
    </w:p>
    <w:p w14:paraId="5908D68F" w14:textId="3AAA9BCB" w:rsidR="00902943" w:rsidRDefault="00902943" w:rsidP="003856B0">
      <w:pPr>
        <w:spacing w:line="360" w:lineRule="auto"/>
      </w:pPr>
      <w:r>
        <w:lastRenderedPageBreak/>
        <w:t>From the plot we observe an increase in</w:t>
      </w:r>
      <w:r>
        <w:t xml:space="preserve"> consumption the higher wages results in a higher </w:t>
      </w:r>
      <w:r>
        <w:t xml:space="preserve">wage share, this will result in a higher share of the income coming through wages. As the propensity to consume is larger for wage income compared to profits, this increases the consumption for the households. </w:t>
      </w:r>
    </w:p>
    <w:p w14:paraId="172138F9" w14:textId="0F4730D1" w:rsidR="004178EE" w:rsidRDefault="00F97FF9" w:rsidP="003856B0">
      <w:pPr>
        <w:spacing w:line="360" w:lineRule="auto"/>
      </w:pPr>
      <w:r>
        <w:t xml:space="preserve">At the end </w:t>
      </w:r>
      <w:r w:rsidR="005A17E0">
        <w:t xml:space="preserve">we can conclude that the fall in investments is </w:t>
      </w:r>
      <w:r w:rsidR="00902943">
        <w:t>smaller</w:t>
      </w:r>
      <w:r w:rsidR="005A17E0">
        <w:t xml:space="preserve"> than the increase in consumption</w:t>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 xml:space="preserve">net-exports. </w:t>
      </w:r>
    </w:p>
    <w:p w14:paraId="6AA44B0B" w14:textId="75ECADCD" w:rsidR="00656813" w:rsidRDefault="004178EE" w:rsidP="0078484D">
      <w:pPr>
        <w:spacing w:line="360" w:lineRule="auto"/>
      </w:pPr>
      <w:r>
        <w:t xml:space="preserve">In total we see that the increase in consumption is smaller than the decrease in the net-exports and investments, lowering the economic activity. </w:t>
      </w:r>
      <w:r w:rsidR="00BF1897">
        <w:t xml:space="preserve">The fall in employment as a result of </w:t>
      </w:r>
      <w:r w:rsidR="003856B0">
        <w:t>removing the suppressing of the rate regulation rate is a fall of approximately 1</w:t>
      </w:r>
      <w:r>
        <w:t>5</w:t>
      </w:r>
      <w:r w:rsidR="003856B0">
        <w:t>00 people in 2020</w:t>
      </w:r>
      <w:r w:rsidR="00F97FF9">
        <w:t xml:space="preserve">, </w:t>
      </w:r>
      <w:commentRangeStart w:id="43"/>
      <w:r w:rsidR="00F97FF9">
        <w:t>as will be seen in the sensitivity analysis changes to the parameter of the maximum level of wage gap allowed of the worker unions will create large differences in the change of the effect on unemployment</w:t>
      </w:r>
      <w:commentRangeEnd w:id="43"/>
      <w:r w:rsidR="00F97FF9">
        <w:rPr>
          <w:rStyle w:val="Kommentarhenvisning"/>
        </w:rPr>
        <w:commentReference w:id="43"/>
      </w:r>
      <w:r w:rsidR="003856B0">
        <w:t>. In the next section we will add a new channel in affecting the insurance rate.</w:t>
      </w:r>
    </w:p>
    <w:p w14:paraId="13D49906" w14:textId="77777777" w:rsidR="004178EE" w:rsidRDefault="004178EE"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3"/>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44"/>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4"/>
      <w:r w:rsidR="00EB209C">
        <w:rPr>
          <w:rStyle w:val="Kommentarhenvisning"/>
        </w:rPr>
        <w:commentReference w:id="44"/>
      </w:r>
    </w:p>
    <w:p w14:paraId="1AF0F9A7" w14:textId="0E0FBFDE" w:rsidR="003856B0" w:rsidRDefault="003856B0" w:rsidP="0078484D">
      <w:pPr>
        <w:spacing w:line="360" w:lineRule="auto"/>
      </w:pPr>
      <w:r>
        <w:rPr>
          <w:noProof/>
        </w:rPr>
        <w:lastRenderedPageBreak/>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4"/>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lastRenderedPageBreak/>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45"/>
      <w:r>
        <w:lastRenderedPageBreak/>
        <w:t xml:space="preserve">Scenario </w:t>
      </w:r>
      <w:r w:rsidR="008F54CE">
        <w:t>4</w:t>
      </w:r>
      <w:r>
        <w:t xml:space="preserve"> effect of maximum level of income insurance on participation</w:t>
      </w:r>
      <w:commentRangeEnd w:id="45"/>
      <w:r w:rsidR="00EB209C">
        <w:rPr>
          <w:rStyle w:val="Kommentarhenvisning"/>
          <w:rFonts w:asciiTheme="minorHAnsi" w:eastAsiaTheme="minorHAnsi" w:hAnsiTheme="minorHAnsi" w:cstheme="minorBidi"/>
          <w:color w:val="auto"/>
        </w:rPr>
        <w:commentReference w:id="45"/>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38"/>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6"/>
      <w:commentRangeStart w:id="47"/>
      <w:commentRangeStart w:id="48"/>
      <w:r>
        <w:t xml:space="preserve">We can see a difference in the trend of the two variables, where the participation rate of the population being younger than 65 years slopes upwards. </w:t>
      </w:r>
      <w:commentRangeEnd w:id="46"/>
      <w:r>
        <w:rPr>
          <w:rStyle w:val="Kommentarhenvisning"/>
        </w:rPr>
        <w:commentReference w:id="46"/>
      </w:r>
      <w:commentRangeEnd w:id="47"/>
      <w:r>
        <w:rPr>
          <w:rStyle w:val="Kommentarhenvisning"/>
        </w:rPr>
        <w:commentReference w:id="47"/>
      </w:r>
      <w:commentRangeEnd w:id="48"/>
      <w:r w:rsidR="006A1276">
        <w:rPr>
          <w:rStyle w:val="Kommentarhenvisning"/>
        </w:rPr>
        <w:commentReference w:id="48"/>
      </w:r>
      <w:r>
        <w:t xml:space="preserve">As mentioned in section 2 and 3, the income insurance model </w:t>
      </w:r>
      <w:r w:rsidR="0039626A">
        <w:t>considers</w:t>
      </w:r>
      <w:r>
        <w:t xml:space="preserve"> the relationship between “</w:t>
      </w:r>
      <w:proofErr w:type="spellStart"/>
      <w:r>
        <w:t>kontanthjælp</w:t>
      </w:r>
      <w:proofErr w:type="spellEnd"/>
      <w:r>
        <w:t>” and income insurance when determining whether to stay at the labor market. The same type of argument is used here where we include the ratio between “</w:t>
      </w:r>
      <w:proofErr w:type="spellStart"/>
      <w:r>
        <w:t>kontanthjælp</w:t>
      </w:r>
      <w:proofErr w:type="spell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lastRenderedPageBreak/>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49"/>
      <w:r>
        <w:t xml:space="preserve">We observe that the participation rate increases, as more people are actively searching for jobs when the level of income insurance is larger. </w:t>
      </w:r>
      <w:commentRangeEnd w:id="49"/>
      <w:r>
        <w:rPr>
          <w:rStyle w:val="Kommentarhenvisning"/>
        </w:rPr>
        <w:commentReference w:id="49"/>
      </w:r>
    </w:p>
    <w:p w14:paraId="18ED8A8A" w14:textId="77777777" w:rsidR="008C02FE" w:rsidRDefault="008C02FE" w:rsidP="008C02FE"/>
    <w:p w14:paraId="6BE888C7" w14:textId="77777777" w:rsidR="008C02FE" w:rsidRPr="00823A0C" w:rsidRDefault="008C02FE" w:rsidP="008C02FE">
      <w:r w:rsidRPr="00CA076F">
        <w:rPr>
          <w:noProof/>
        </w:rPr>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lastRenderedPageBreak/>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lastRenderedPageBreak/>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0"/>
      <w:r w:rsidR="00AE0EB7">
        <w:t>insurance per person</w:t>
      </w:r>
      <w:commentRangeEnd w:id="50"/>
      <w:r w:rsidR="003931E7">
        <w:rPr>
          <w:rStyle w:val="Kommentarhenvisning"/>
        </w:rPr>
        <w:commentReference w:id="50"/>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lastRenderedPageBreak/>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lastRenderedPageBreak/>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1"/>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1"/>
      <w:r w:rsidR="00945EEF">
        <w:rPr>
          <w:rStyle w:val="Kommentarhenvisning"/>
        </w:rPr>
        <w:commentReference w:id="51"/>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52"/>
      <w:r>
        <w:t xml:space="preserve">Scenario </w:t>
      </w:r>
      <w:r w:rsidR="003150F0">
        <w:t>5</w:t>
      </w:r>
      <w:r>
        <w:t xml:space="preserve"> </w:t>
      </w:r>
      <w:r w:rsidR="00945EEF">
        <w:t>All effects</w:t>
      </w:r>
      <w:commentRangeEnd w:id="52"/>
      <w:r w:rsidR="00C359FB">
        <w:rPr>
          <w:rStyle w:val="Kommentarhenvisning"/>
          <w:rFonts w:asciiTheme="minorHAnsi" w:eastAsiaTheme="minorHAnsi" w:hAnsiTheme="minorHAnsi" w:cstheme="minorBidi"/>
          <w:color w:val="auto"/>
        </w:rPr>
        <w:commentReference w:id="52"/>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lastRenderedPageBreak/>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lastRenderedPageBreak/>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lastRenderedPageBreak/>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t xml:space="preserve"> </w:t>
      </w:r>
      <w:r w:rsidR="00D06507">
        <w:t xml:space="preserve">We keep using the </w:t>
      </w:r>
      <w:r>
        <w:t>wage</w:t>
      </w:r>
      <w:r w:rsidR="00D06507">
        <w:t xml:space="preserve"> growth two year</w:t>
      </w:r>
      <w:r w:rsidR="00B73DDB">
        <w:t>s</w:t>
      </w:r>
      <w:r w:rsidR="00D06507">
        <w:t xml:space="preserve"> before the financial year for consistency, as the (quit large) increases in 2003 and 2004 would inflate </w:t>
      </w:r>
      <w:proofErr w:type="spellStart"/>
      <w:r w:rsidR="00D06507">
        <w:t>max_dp</w:t>
      </w:r>
      <w:proofErr w:type="spellEnd"/>
      <w:r w:rsidR="00D06507">
        <w:t xml:space="preserve"> in the baseline but not in this scenario.</w:t>
      </w:r>
      <w:r>
        <w:t xml:space="preserve"> </w:t>
      </w:r>
      <w:r w:rsidR="00D06507">
        <w:t xml:space="preserve">As a result of the </w:t>
      </w:r>
      <w:r w:rsidR="00D06507">
        <w:lastRenderedPageBreak/>
        <w:t>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lastRenderedPageBreak/>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3"/>
      <w:r>
        <w:t xml:space="preserve">0.1 quite large decrease </w:t>
      </w:r>
      <w:commentRangeEnd w:id="53"/>
      <w:r>
        <w:rPr>
          <w:rStyle w:val="Kommentarhenvisning"/>
        </w:rPr>
        <w:commentReference w:id="53"/>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54"/>
      <w:r>
        <w:t xml:space="preserve">We now observe a fall in the GDP </w:t>
      </w:r>
      <w:commentRangeEnd w:id="54"/>
      <w:r>
        <w:rPr>
          <w:rStyle w:val="Kommentarhenvisning"/>
        </w:rPr>
        <w:commentReference w:id="54"/>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r>
        <w:t xml:space="preserve">Also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E7C1379" w:rsidR="000924AE" w:rsidRDefault="00BF3FA4" w:rsidP="00BF601F">
      <w:pPr>
        <w:pStyle w:val="Overskrift1"/>
      </w:pPr>
      <w:commentRangeStart w:id="55"/>
      <w:r>
        <w:t>Noter</w:t>
      </w:r>
      <w:r w:rsidR="00C44380">
        <w:t xml:space="preserve"> Til</w:t>
      </w:r>
      <w:r>
        <w:t xml:space="preserve"> </w:t>
      </w:r>
      <w:r w:rsidR="00BF601F">
        <w:t>Discussion</w:t>
      </w:r>
      <w:commentRangeEnd w:id="55"/>
      <w:r w:rsidR="00C44380">
        <w:rPr>
          <w:rStyle w:val="Kommentarhenvisning"/>
          <w:rFonts w:asciiTheme="minorHAnsi" w:eastAsiaTheme="minorHAnsi" w:hAnsiTheme="minorHAnsi" w:cstheme="minorBidi"/>
          <w:color w:val="auto"/>
        </w:rPr>
        <w:commentReference w:id="55"/>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mikro effekten. I alle andre eksempler ender den over mikro effekten,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are not the same. Estimates of the effects of UI ben- </w:t>
      </w:r>
      <w:proofErr w:type="spellStart"/>
      <w:r w:rsidRPr="00144F71">
        <w:t>efits</w:t>
      </w:r>
      <w:proofErr w:type="spellEnd"/>
      <w:r w:rsidRPr="00144F71">
        <w:t xml:space="preserve"> on search effort using variation in UI across individuals within a labor market capture micro effects of UI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56"/>
      <w:r w:rsidRPr="000F680F">
        <w:t>One problem with t</w:t>
      </w:r>
      <w:r>
        <w:t xml:space="preserve">he macro based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56"/>
      <w:r>
        <w:rPr>
          <w:rStyle w:val="Kommentarhenvisning"/>
        </w:rPr>
        <w:commentReference w:id="56"/>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57"/>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57"/>
      <w:r>
        <w:rPr>
          <w:rStyle w:val="Kommentarhenvisning"/>
        </w:rPr>
        <w:commentReference w:id="57"/>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58"/>
      <w:r>
        <w:t>log benefits in column (7</w:t>
      </w:r>
      <w:commentRangeEnd w:id="58"/>
      <w:r w:rsidR="0066742F">
        <w:rPr>
          <w:rStyle w:val="Kommentarhenvisning"/>
        </w:rPr>
        <w:commentReference w:id="58"/>
      </w:r>
      <w:r>
        <w:t xml:space="preserve">), and in column (8) we use a weighted average </w:t>
      </w:r>
      <w:commentRangeStart w:id="59"/>
      <w:r>
        <w:t>replacement rate</w:t>
      </w:r>
      <w:commentRangeEnd w:id="59"/>
      <w:r w:rsidR="0000579E">
        <w:rPr>
          <w:rStyle w:val="Kommentarhenvisning"/>
        </w:rPr>
        <w:commentReference w:id="59"/>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r w:rsidRPr="00D023C1">
        <w:t>workers' outside</w:t>
      </w:r>
      <w:r w:rsidR="0066742F">
        <w:t xml:space="preserve"> </w:t>
      </w:r>
      <w:r w:rsidRPr="00D023C1">
        <w:t xml:space="preserve">options and, thus, increase bargained wages. Higher wages reduce profits per worker. </w:t>
      </w:r>
      <w:commentRangeStart w:id="60"/>
      <w:r w:rsidRPr="00D023C1">
        <w:t>Firms respond by creating fewer jobs and, so, market tightness is reduced and unemployment increases – over and above the direct effect coming from reduced search incentives among unemployed workers.</w:t>
      </w:r>
      <w:commentRangeEnd w:id="60"/>
      <w:r w:rsidR="0066742F">
        <w:rPr>
          <w:rStyle w:val="Kommentarhenvisning"/>
        </w:rPr>
        <w:commentReference w:id="60"/>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1"/>
      <w:commentRangeStart w:id="62"/>
      <w:r w:rsidRPr="00D023C1">
        <w:t>Nevertheless, the results in columns (7)–(9) do not change the overall impression that wages rise as a result of increase in UI generosity. Overall, the elasticity of interest is in the order of 0.2–0.3.</w:t>
      </w:r>
      <w:commentRangeEnd w:id="61"/>
      <w:r>
        <w:rPr>
          <w:rStyle w:val="Kommentarhenvisning"/>
        </w:rPr>
        <w:commentReference w:id="61"/>
      </w:r>
      <w:commentRangeEnd w:id="62"/>
      <w:r w:rsidR="00A347C6">
        <w:rPr>
          <w:rStyle w:val="Kommentarhenvisning"/>
        </w:rPr>
        <w:commentReference w:id="62"/>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63"/>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63"/>
      <w:r>
        <w:rPr>
          <w:rStyle w:val="Kommentarhenvisning"/>
        </w:rPr>
        <w:commentReference w:id="63"/>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64"/>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64"/>
      <w:r>
        <w:rPr>
          <w:rStyle w:val="Kommentarhenvisning"/>
        </w:rPr>
        <w:commentReference w:id="64"/>
      </w:r>
    </w:p>
    <w:p w14:paraId="2806A976" w14:textId="195A5C5C" w:rsidR="00854445" w:rsidRDefault="00854445" w:rsidP="00D1693E">
      <w:commentRangeStart w:id="65"/>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65"/>
      <w:r>
        <w:rPr>
          <w:rStyle w:val="Kommentarhenvisning"/>
        </w:rPr>
        <w:commentReference w:id="65"/>
      </w:r>
    </w:p>
    <w:p w14:paraId="770C9060" w14:textId="380B98B4" w:rsidR="000F680F" w:rsidRDefault="000F680F" w:rsidP="000F680F"/>
    <w:p w14:paraId="2FEE0589" w14:textId="33698181" w:rsidR="000F680F" w:rsidRDefault="00854445" w:rsidP="000F680F">
      <w:commentRangeStart w:id="66"/>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66"/>
      <w:r>
        <w:rPr>
          <w:rStyle w:val="Kommentarhenvisning"/>
        </w:rPr>
        <w:commentReference w:id="66"/>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w:t>
      </w:r>
      <w:proofErr w:type="spellStart"/>
      <w:r w:rsidRPr="00A347C6">
        <w:t>Coglianese</w:t>
      </w:r>
      <w:proofErr w:type="spellEnd"/>
      <w:r w:rsidRPr="00A347C6">
        <w:t xml:space="preserv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r>
        <w:t>e?ect</w:t>
      </w:r>
      <w:proofErr w:type="spellEnd"/>
      <w:r>
        <w:t xml:space="preserve"> of expanding maximum benefit duration from 26 to 99 weeks range from 0.21 to 0.43 percentage points of the employment- to-population (EPOP) ratio. These estimates are not significantly </w:t>
      </w:r>
      <w:proofErr w:type="spellStart"/>
      <w:r>
        <w:t>di?erent</w:t>
      </w:r>
      <w:proofErr w:type="spell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w:t>
      </w:r>
      <w:proofErr w:type="spellStart"/>
      <w:r>
        <w:t>Mitman</w:t>
      </w:r>
      <w:proofErr w:type="spellEnd"/>
      <w:r>
        <w:t xml:space="preserve"> (2015)—hereafter HKMM—and Hagedorn, </w:t>
      </w:r>
      <w:proofErr w:type="spellStart"/>
      <w:r>
        <w:t>Manovskii</w:t>
      </w:r>
      <w:proofErr w:type="spellEnd"/>
      <w:r>
        <w:t xml:space="preserve"> and </w:t>
      </w:r>
      <w:proofErr w:type="spellStart"/>
      <w:r>
        <w:t>Mitman</w:t>
      </w:r>
      <w:proofErr w:type="spellEnd"/>
      <w:r>
        <w:t xml:space="preserve"> (2016)—hereafter HMM. Like us, these papers use a BCP strategy; HKMM provide evidence complementary to us that the BCP strategy mitigates the endogeneity problem. However, they both estimate large negative </w:t>
      </w:r>
      <w:proofErr w:type="spellStart"/>
      <w:r>
        <w:t>e?ects</w:t>
      </w:r>
      <w:proofErr w:type="spell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67"/>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67"/>
      <w:r>
        <w:rPr>
          <w:rStyle w:val="Kommentarhenvisning"/>
        </w:rPr>
        <w:commentReference w:id="67"/>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5609D062" w:rsid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1"/>
                    <a:stretch>
                      <a:fillRect/>
                    </a:stretch>
                  </pic:blipFill>
                  <pic:spPr>
                    <a:xfrm>
                      <a:off x="0" y="0"/>
                      <a:ext cx="5295900" cy="3009900"/>
                    </a:xfrm>
                    <a:prstGeom prst="rect">
                      <a:avLst/>
                    </a:prstGeom>
                  </pic:spPr>
                </pic:pic>
              </a:graphicData>
            </a:graphic>
          </wp:inline>
        </w:drawing>
      </w:r>
    </w:p>
    <w:p w14:paraId="518C15B2" w14:textId="06291C31" w:rsidR="008E1102" w:rsidRDefault="008E1102" w:rsidP="00FD31E1">
      <w:pPr>
        <w:rPr>
          <w:lang w:val="da-DK"/>
        </w:rPr>
      </w:pPr>
    </w:p>
    <w:p w14:paraId="722B4510" w14:textId="59898BCB" w:rsidR="008E1102" w:rsidRPr="00DB3517" w:rsidRDefault="008E1102" w:rsidP="00FD31E1">
      <w:pPr>
        <w:rPr>
          <w:b/>
          <w:bCs/>
        </w:rPr>
      </w:pPr>
      <w:r w:rsidRPr="00DB3517">
        <w:rPr>
          <w:b/>
          <w:bCs/>
        </w:rPr>
        <w:t xml:space="preserve">Wage-led </w:t>
      </w:r>
      <w:proofErr w:type="spellStart"/>
      <w:r w:rsidRPr="00DB3517">
        <w:rPr>
          <w:b/>
          <w:bCs/>
        </w:rPr>
        <w:t>profit_led</w:t>
      </w:r>
      <w:proofErr w:type="spellEnd"/>
    </w:p>
    <w:p w14:paraId="45277AA7" w14:textId="20692B01" w:rsidR="008E1102" w:rsidRPr="00DB3517" w:rsidRDefault="008E1102" w:rsidP="00FD31E1"/>
    <w:p w14:paraId="7DA38FFD" w14:textId="4FF6C2EC" w:rsidR="00010219" w:rsidRPr="00DB3517" w:rsidRDefault="00010219" w:rsidP="00FD31E1">
      <w:r w:rsidRPr="00DB3517">
        <w:t>Consumption:</w:t>
      </w:r>
    </w:p>
    <w:p w14:paraId="2130644E" w14:textId="5536697A" w:rsidR="00010219" w:rsidRDefault="00010219" w:rsidP="00010219">
      <w:pPr>
        <w:rPr>
          <w:lang w:val="da-DK"/>
        </w:rPr>
      </w:pPr>
      <w:r w:rsidRPr="00DB3517">
        <w:t xml:space="preserve">The hypothesis that consumption propensities vary between profit and wage income is confirmed in all countries. Table 3 reports the differences in the marginal effects of R and W (i.e. the differences in the consumption propensities) calculated as described in Equation (2) for the basic specification, and for the specifications accounting for urban and rural differences as described in Equation (4) for India and South Africa. The marginal propensity to consume out of profits is lower than that out of wages in all countries; thus a rise in the profit share leads to a decline in consumption. </w:t>
      </w:r>
      <w:r w:rsidRPr="00010219">
        <w:rPr>
          <w:lang w:val="da-DK"/>
        </w:rPr>
        <w:t xml:space="preserve">This </w:t>
      </w:r>
      <w:proofErr w:type="spellStart"/>
      <w:r w:rsidRPr="00010219">
        <w:rPr>
          <w:lang w:val="da-DK"/>
        </w:rPr>
        <w:t>finding</w:t>
      </w:r>
      <w:proofErr w:type="spellEnd"/>
      <w:r w:rsidRPr="00010219">
        <w:rPr>
          <w:lang w:val="da-DK"/>
        </w:rPr>
        <w:t xml:space="preserve"> is </w:t>
      </w:r>
      <w:proofErr w:type="spellStart"/>
      <w:r w:rsidRPr="00010219">
        <w:rPr>
          <w:lang w:val="da-DK"/>
        </w:rPr>
        <w:t>consistent</w:t>
      </w:r>
      <w:proofErr w:type="spellEnd"/>
      <w:r w:rsidRPr="00010219">
        <w:rPr>
          <w:lang w:val="da-DK"/>
        </w:rPr>
        <w:t xml:space="preserve"> with the </w:t>
      </w:r>
      <w:proofErr w:type="spellStart"/>
      <w:r w:rsidRPr="00010219">
        <w:rPr>
          <w:lang w:val="da-DK"/>
        </w:rPr>
        <w:t>previous</w:t>
      </w:r>
      <w:proofErr w:type="spellEnd"/>
      <w:r w:rsidRPr="00010219">
        <w:rPr>
          <w:lang w:val="da-DK"/>
        </w:rPr>
        <w:t xml:space="preserve"> </w:t>
      </w:r>
      <w:proofErr w:type="spellStart"/>
      <w:r w:rsidRPr="00010219">
        <w:rPr>
          <w:lang w:val="da-DK"/>
        </w:rPr>
        <w:t>empirical</w:t>
      </w:r>
      <w:proofErr w:type="spellEnd"/>
      <w:r w:rsidRPr="00010219">
        <w:rPr>
          <w:lang w:val="da-DK"/>
        </w:rPr>
        <w:t xml:space="preserve"> research</w:t>
      </w:r>
      <w:r>
        <w:rPr>
          <w:lang w:val="da-DK"/>
        </w:rPr>
        <w:t>.</w:t>
      </w:r>
    </w:p>
    <w:p w14:paraId="595D0DB4" w14:textId="2A3724A7" w:rsidR="00010219" w:rsidRDefault="00010219" w:rsidP="00010219">
      <w:pPr>
        <w:rPr>
          <w:lang w:val="da-DK"/>
        </w:rPr>
      </w:pPr>
      <w:r>
        <w:rPr>
          <w:noProof/>
        </w:rPr>
        <w:lastRenderedPageBreak/>
        <w:drawing>
          <wp:inline distT="0" distB="0" distL="0" distR="0" wp14:anchorId="2085EF44" wp14:editId="08B9A688">
            <wp:extent cx="4183039" cy="2651399"/>
            <wp:effectExtent l="0" t="0" r="8255" b="0"/>
            <wp:docPr id="21" name="Billede 21"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bord&#10;&#10;Automatisk genereret beskrivelse"/>
                    <pic:cNvPicPr/>
                  </pic:nvPicPr>
                  <pic:blipFill>
                    <a:blip r:embed="rId72"/>
                    <a:stretch>
                      <a:fillRect/>
                    </a:stretch>
                  </pic:blipFill>
                  <pic:spPr>
                    <a:xfrm>
                      <a:off x="0" y="0"/>
                      <a:ext cx="4189836" cy="2655707"/>
                    </a:xfrm>
                    <a:prstGeom prst="rect">
                      <a:avLst/>
                    </a:prstGeom>
                  </pic:spPr>
                </pic:pic>
              </a:graphicData>
            </a:graphic>
          </wp:inline>
        </w:drawing>
      </w:r>
    </w:p>
    <w:p w14:paraId="74B7E060" w14:textId="77777777" w:rsidR="00010219" w:rsidRDefault="00010219" w:rsidP="00010219">
      <w:pPr>
        <w:rPr>
          <w:lang w:val="da-DK"/>
        </w:rPr>
      </w:pPr>
    </w:p>
    <w:p w14:paraId="7606A585" w14:textId="0EE78C3C" w:rsidR="008E1102" w:rsidRDefault="008E1102" w:rsidP="00FD31E1">
      <w:r>
        <w:t xml:space="preserve">Interestingly, in most developing countries the profit share has no statistically significant effect on private investments; we find a positive effect only in Mexico, Argentina, and South Africa. The effect of the profit share on private investment in China is also insignificant, although there is a positive effect on total investment including public investment.16 In the other countries (Turkey, Korea, India), where there is no statistically significant effect of the profit share on private investment, total investment is also not significantly related to the profit share. The lack of evidence for a positive effect of profits on investment is consistent with the previous findings in the literature on developing countries: </w:t>
      </w:r>
      <w:proofErr w:type="spellStart"/>
      <w:r>
        <w:t>Onaran</w:t>
      </w:r>
      <w:proofErr w:type="spellEnd"/>
      <w:r>
        <w:t xml:space="preserve"> and </w:t>
      </w:r>
      <w:proofErr w:type="spellStart"/>
      <w:r>
        <w:t>Yentürk</w:t>
      </w:r>
      <w:proofErr w:type="spellEnd"/>
      <w:r>
        <w:t xml:space="preserve"> (2001) fail to find a statistically significant effect of the profit share on investment in the Turkish manufacturing industry using panel data. </w:t>
      </w:r>
      <w:proofErr w:type="spellStart"/>
      <w:r>
        <w:t>Seguino</w:t>
      </w:r>
      <w:proofErr w:type="spellEnd"/>
      <w:r>
        <w:t xml:space="preserve"> (1999) even finds a negative effect of the profit share on investment in the manufacturing industry in Korea based on a single equation estimation. Based on systems estimations using a SVAR model, </w:t>
      </w:r>
      <w:proofErr w:type="spellStart"/>
      <w:r>
        <w:t>Onaran</w:t>
      </w:r>
      <w:proofErr w:type="spellEnd"/>
      <w:r>
        <w:t xml:space="preserve"> and </w:t>
      </w:r>
      <w:proofErr w:type="spellStart"/>
      <w:r>
        <w:t>Stockhammer</w:t>
      </w:r>
      <w:proofErr w:type="spellEnd"/>
      <w:r>
        <w:t xml:space="preserve"> (2005) find a negative effect of the profit share on private investment in both Turkey and Korea. However these results are not readily comparable to ours; they are based on impulse responses and should be interpreted as the cumulative effect of changes in GDP as well as profitability rather than the partial effect of the profit share.</w:t>
      </w:r>
    </w:p>
    <w:p w14:paraId="63FB8A6C" w14:textId="330FAF69" w:rsidR="008E1102" w:rsidRDefault="008E1102" w:rsidP="00FD31E1">
      <w:pPr>
        <w:rPr>
          <w:lang w:val="da-DK"/>
        </w:rPr>
      </w:pPr>
      <w:r>
        <w:rPr>
          <w:noProof/>
        </w:rPr>
        <w:lastRenderedPageBreak/>
        <w:drawing>
          <wp:inline distT="0" distB="0" distL="0" distR="0" wp14:anchorId="7C687D00" wp14:editId="636EF73C">
            <wp:extent cx="4128448" cy="3138100"/>
            <wp:effectExtent l="0" t="0" r="5715" b="5715"/>
            <wp:docPr id="20" name="Billede 20"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bord&#10;&#10;Automatisk genereret beskrivelse"/>
                    <pic:cNvPicPr/>
                  </pic:nvPicPr>
                  <pic:blipFill>
                    <a:blip r:embed="rId73"/>
                    <a:stretch>
                      <a:fillRect/>
                    </a:stretch>
                  </pic:blipFill>
                  <pic:spPr>
                    <a:xfrm>
                      <a:off x="0" y="0"/>
                      <a:ext cx="4134819" cy="3142943"/>
                    </a:xfrm>
                    <a:prstGeom prst="rect">
                      <a:avLst/>
                    </a:prstGeom>
                  </pic:spPr>
                </pic:pic>
              </a:graphicData>
            </a:graphic>
          </wp:inline>
        </w:drawing>
      </w:r>
    </w:p>
    <w:p w14:paraId="7BC91739" w14:textId="00B32950" w:rsidR="008E1102" w:rsidRDefault="008E1102" w:rsidP="00FD31E1">
      <w:pPr>
        <w:rPr>
          <w:lang w:val="da-DK"/>
        </w:rPr>
      </w:pPr>
    </w:p>
    <w:p w14:paraId="74449037" w14:textId="77BBB06F" w:rsidR="008E1102" w:rsidRDefault="008E1102" w:rsidP="00FD31E1">
      <w:pPr>
        <w:rPr>
          <w:lang w:val="da-DK"/>
        </w:rPr>
      </w:pPr>
      <w:r>
        <w:rPr>
          <w:lang w:val="da-DK"/>
        </w:rPr>
        <w:t>Net-</w:t>
      </w:r>
      <w:proofErr w:type="spellStart"/>
      <w:r>
        <w:rPr>
          <w:lang w:val="da-DK"/>
        </w:rPr>
        <w:t>export</w:t>
      </w:r>
      <w:proofErr w:type="spellEnd"/>
    </w:p>
    <w:p w14:paraId="27EE0FD1" w14:textId="2F7E4AEF" w:rsidR="008E1102" w:rsidRPr="00DB3517" w:rsidRDefault="008E1102" w:rsidP="00FD31E1">
      <w:r>
        <w:t>The effect of the wage share on GDP via the channel of international trade not only depends on the elasticity of exports and imports to prices. It also depends on the degree of openness of the economy (i.e., on the share of exports and imports in GDP); to reflect this we convert elasticities to marginal effects using X/Y and M/Y. Thus in relatively small open economies net exports may play a major role in determining the overall outcome; the effect becomes much lower in relatively closed large economies.</w:t>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68"/>
      <w:r w:rsidR="00E861C4" w:rsidRPr="00847BCD">
        <w:rPr>
          <w:sz w:val="24"/>
          <w:szCs w:val="24"/>
        </w:rPr>
        <w:t xml:space="preserve">0-3500 </w:t>
      </w:r>
      <w:commentRangeEnd w:id="68"/>
      <w:r w:rsidR="00E861C4" w:rsidRPr="00847BCD">
        <w:rPr>
          <w:rStyle w:val="Kommentarhenvisning"/>
          <w:sz w:val="24"/>
          <w:szCs w:val="24"/>
        </w:rPr>
        <w:commentReference w:id="68"/>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69"/>
      <w:r w:rsidR="008C3542" w:rsidRPr="00847BCD">
        <w:rPr>
          <w:sz w:val="24"/>
          <w:szCs w:val="24"/>
        </w:rPr>
        <w:t xml:space="preserve"> the macro elasticity relative to the micro elasticity of </w:t>
      </w:r>
      <w:r w:rsidR="00847BCD">
        <w:rPr>
          <w:sz w:val="24"/>
          <w:szCs w:val="24"/>
        </w:rPr>
        <w:lastRenderedPageBreak/>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69"/>
      <w:r w:rsidR="008C3542" w:rsidRPr="00847BCD">
        <w:rPr>
          <w:rStyle w:val="Kommentarhenvisning"/>
          <w:sz w:val="24"/>
          <w:szCs w:val="24"/>
        </w:rPr>
        <w:commentReference w:id="69"/>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 ) </w:t>
      </w:r>
      <w:commentRangeStart w:id="70"/>
      <w:r w:rsidRPr="00847BCD">
        <w:rPr>
          <w:sz w:val="24"/>
          <w:szCs w:val="24"/>
        </w:rPr>
        <w:t xml:space="preserve">most of </w:t>
      </w:r>
      <w:commentRangeEnd w:id="70"/>
      <w:r w:rsidRPr="00847BCD">
        <w:rPr>
          <w:rStyle w:val="Kommentarhenvisning"/>
          <w:sz w:val="24"/>
          <w:szCs w:val="24"/>
        </w:rPr>
        <w:commentReference w:id="70"/>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0E2226ED"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commentRangeStart w:id="71"/>
      <w:r w:rsidRPr="00847BCD">
        <w:rPr>
          <w:sz w:val="24"/>
          <w:szCs w:val="24"/>
        </w:rPr>
        <w:t xml:space="preserve">employment. </w:t>
      </w:r>
      <w:commentRangeEnd w:id="71"/>
      <w:r w:rsidR="00847BCD">
        <w:rPr>
          <w:rStyle w:val="Kommentarhenvisning"/>
        </w:rPr>
        <w:commentReference w:id="71"/>
      </w:r>
    </w:p>
    <w:p w14:paraId="3BA3C98F" w14:textId="1DB850B2" w:rsidR="003E1DD6" w:rsidRPr="00847BCD" w:rsidRDefault="003E1DD6" w:rsidP="00847BCD">
      <w:pPr>
        <w:spacing w:line="360" w:lineRule="auto"/>
        <w:rPr>
          <w:sz w:val="24"/>
          <w:szCs w:val="24"/>
        </w:rPr>
      </w:pPr>
      <w:r w:rsidRPr="00847BCD">
        <w:rPr>
          <w:sz w:val="24"/>
          <w:szCs w:val="24"/>
        </w:rPr>
        <w:lastRenderedPageBreak/>
        <w:t>The results of a wage increase presented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72"/>
      <w:r w:rsidRPr="00847BCD">
        <w:rPr>
          <w:sz w:val="24"/>
          <w:szCs w:val="24"/>
        </w:rPr>
        <w:t>balance</w:t>
      </w:r>
      <w:r w:rsidR="00A73C06">
        <w:rPr>
          <w:sz w:val="24"/>
          <w:szCs w:val="24"/>
        </w:rPr>
        <w:t xml:space="preserve"> explained in scenario 3</w:t>
      </w:r>
      <w:r w:rsidRPr="00847BCD">
        <w:rPr>
          <w:sz w:val="24"/>
          <w:szCs w:val="24"/>
        </w:rPr>
        <w:t xml:space="preserve">. </w:t>
      </w:r>
      <w:commentRangeEnd w:id="72"/>
      <w:r w:rsidR="00A73C06">
        <w:rPr>
          <w:rStyle w:val="Kommentarhenvisning"/>
        </w:rPr>
        <w:commentReference w:id="72"/>
      </w:r>
    </w:p>
    <w:p w14:paraId="771C16CC" w14:textId="77E5CD12"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r w:rsidR="00A0271D" w:rsidRPr="00C44380">
        <w:rPr>
          <w:sz w:val="24"/>
          <w:szCs w:val="24"/>
        </w:rPr>
        <w:t>spg</w:t>
      </w:r>
      <w:proofErr w:type="spell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45399F3D" w:rsidR="00F93B35" w:rsidRPr="00C44380" w:rsidRDefault="00AE78D2" w:rsidP="00BF3FA4">
      <w:pPr>
        <w:spacing w:line="360" w:lineRule="auto"/>
        <w:rPr>
          <w:sz w:val="24"/>
          <w:szCs w:val="24"/>
        </w:rPr>
      </w:pPr>
      <w:r w:rsidRPr="00C44380">
        <w:rPr>
          <w:sz w:val="24"/>
          <w:szCs w:val="24"/>
        </w:rPr>
        <w:lastRenderedPageBreak/>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73"/>
      <w:r w:rsidR="00305EB0" w:rsidRPr="00C44380">
        <w:rPr>
          <w:sz w:val="24"/>
          <w:szCs w:val="24"/>
        </w:rPr>
        <w:t xml:space="preserve">We have decided to exclude the productivity channel </w:t>
      </w:r>
      <w:commentRangeEnd w:id="73"/>
      <w:r w:rsidR="00305EB0" w:rsidRPr="00C44380">
        <w:rPr>
          <w:rStyle w:val="Kommentarhenvisning"/>
        </w:rPr>
        <w:commentReference w:id="73"/>
      </w:r>
      <w:r w:rsidR="00305EB0" w:rsidRPr="00C44380">
        <w:rPr>
          <w:sz w:val="24"/>
          <w:szCs w:val="24"/>
        </w:rPr>
        <w:t xml:space="preserve">because of the lack of empirical evidence for this channel. We estimate the macro elasticity to be approximately </w:t>
      </w:r>
      <w:commentRangeStart w:id="74"/>
      <w:commentRangeStart w:id="75"/>
      <w:r w:rsidR="00305EB0" w:rsidRPr="00C44380">
        <w:rPr>
          <w:sz w:val="24"/>
          <w:szCs w:val="24"/>
        </w:rPr>
        <w:t>0.25-0.3</w:t>
      </w:r>
      <w:commentRangeEnd w:id="74"/>
      <w:r w:rsidR="00BF3FA4" w:rsidRPr="00C44380">
        <w:rPr>
          <w:rStyle w:val="Kommentarhenvisning"/>
        </w:rPr>
        <w:commentReference w:id="74"/>
      </w:r>
      <w:commentRangeEnd w:id="75"/>
      <w:r w:rsidR="00BF3FA4" w:rsidRPr="00C44380">
        <w:rPr>
          <w:rStyle w:val="Kommentarhenvisning"/>
        </w:rPr>
        <w:commentReference w:id="75"/>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4E9ED11C" w14:textId="31D66D93" w:rsidR="00BF3FA4"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duo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xml:space="preserve">, </w:t>
      </w:r>
      <w:proofErr w:type="spellStart"/>
      <w:r w:rsidR="00010219">
        <w:rPr>
          <w:sz w:val="24"/>
          <w:szCs w:val="24"/>
        </w:rPr>
        <w:t>Galanis</w:t>
      </w:r>
      <w:proofErr w:type="spellEnd"/>
      <w:r w:rsidR="00010219">
        <w:rPr>
          <w:sz w:val="24"/>
          <w:szCs w:val="24"/>
        </w:rPr>
        <w:t>)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xml:space="preserve">, </w:t>
      </w:r>
      <w:proofErr w:type="spellStart"/>
      <w:r w:rsidR="00010219">
        <w:rPr>
          <w:sz w:val="24"/>
          <w:szCs w:val="24"/>
        </w:rPr>
        <w:t>Galanis</w:t>
      </w:r>
      <w:proofErr w:type="spellEnd"/>
      <w:r w:rsidR="00010219">
        <w:rPr>
          <w:sz w:val="24"/>
          <w:szCs w:val="24"/>
        </w:rPr>
        <w:t>) also finds that the positive effect on consumption is larger than the negative effect on investments</w:t>
      </w:r>
      <w:r w:rsidR="00DB3517">
        <w:rPr>
          <w:sz w:val="24"/>
          <w:szCs w:val="24"/>
        </w:rPr>
        <w:t xml:space="preserve"> as We also show is the case for Denmark in scenario 2</w:t>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5DEE7772" w14:textId="4DB731AE" w:rsidR="00010219" w:rsidRDefault="00010219" w:rsidP="00BF3FA4">
      <w:pPr>
        <w:spacing w:line="360" w:lineRule="auto"/>
        <w:rPr>
          <w:sz w:val="24"/>
          <w:szCs w:val="24"/>
        </w:rPr>
      </w:pPr>
    </w:p>
    <w:p w14:paraId="07F9BFD3" w14:textId="2991AE4A" w:rsidR="0007004A" w:rsidRPr="00DB3517" w:rsidRDefault="0007004A" w:rsidP="00BF3FA4">
      <w:pPr>
        <w:spacing w:line="360" w:lineRule="auto"/>
        <w:rPr>
          <w:sz w:val="24"/>
          <w:szCs w:val="24"/>
          <w:lang w:val="da-DK"/>
        </w:rPr>
      </w:pPr>
      <w:r w:rsidRPr="00DB3517">
        <w:rPr>
          <w:sz w:val="24"/>
          <w:szCs w:val="24"/>
          <w:lang w:val="da-DK"/>
        </w:rPr>
        <w:t>(</w:t>
      </w:r>
      <w:proofErr w:type="spellStart"/>
      <w:r w:rsidRPr="00DB3517">
        <w:rPr>
          <w:sz w:val="24"/>
          <w:szCs w:val="24"/>
          <w:lang w:val="da-DK"/>
        </w:rPr>
        <w:t>Blecker</w:t>
      </w:r>
      <w:proofErr w:type="spellEnd"/>
      <w:r w:rsidRPr="00DB3517">
        <w:rPr>
          <w:sz w:val="24"/>
          <w:szCs w:val="24"/>
          <w:lang w:val="da-DK"/>
        </w:rPr>
        <w:t xml:space="preserve"> </w:t>
      </w:r>
      <w:proofErr w:type="spellStart"/>
      <w:r w:rsidRPr="00DB3517">
        <w:rPr>
          <w:sz w:val="24"/>
          <w:szCs w:val="24"/>
          <w:lang w:val="da-DK"/>
        </w:rPr>
        <w:t>papers</w:t>
      </w:r>
      <w:proofErr w:type="spellEnd"/>
      <w:r w:rsidRPr="00DB3517">
        <w:rPr>
          <w:sz w:val="24"/>
          <w:szCs w:val="24"/>
          <w:lang w:val="da-DK"/>
        </w:rPr>
        <w:t xml:space="preserve">: Siger at det kan ændrer sig over tid om en økonomi er profit eller </w:t>
      </w:r>
      <w:proofErr w:type="spellStart"/>
      <w:r w:rsidRPr="00DB3517">
        <w:rPr>
          <w:sz w:val="24"/>
          <w:szCs w:val="24"/>
          <w:lang w:val="da-DK"/>
        </w:rPr>
        <w:t>wage</w:t>
      </w:r>
      <w:proofErr w:type="spellEnd"/>
      <w:r w:rsidRPr="00DB3517">
        <w:rPr>
          <w:sz w:val="24"/>
          <w:szCs w:val="24"/>
          <w:lang w:val="da-DK"/>
        </w:rPr>
        <w:t xml:space="preserve">-led, og vi kan også se I den første periode stiger investeringer faktisk samtidig med </w:t>
      </w:r>
      <w:proofErr w:type="spellStart"/>
      <w:r w:rsidRPr="00DB3517">
        <w:rPr>
          <w:sz w:val="24"/>
          <w:szCs w:val="24"/>
          <w:lang w:val="da-DK"/>
        </w:rPr>
        <w:t>consumption</w:t>
      </w:r>
      <w:proofErr w:type="spellEnd"/>
      <w:r w:rsidRPr="00DB3517">
        <w:rPr>
          <w:sz w:val="24"/>
          <w:szCs w:val="24"/>
          <w:lang w:val="da-DK"/>
        </w:rPr>
        <w:t xml:space="preserve">, så den første effekt tyder vel på </w:t>
      </w:r>
      <w:proofErr w:type="spellStart"/>
      <w:r w:rsidRPr="00DB3517">
        <w:rPr>
          <w:sz w:val="24"/>
          <w:szCs w:val="24"/>
          <w:lang w:val="da-DK"/>
        </w:rPr>
        <w:t>wage</w:t>
      </w:r>
      <w:proofErr w:type="spellEnd"/>
      <w:r w:rsidRPr="00DB3517">
        <w:rPr>
          <w:sz w:val="24"/>
          <w:szCs w:val="24"/>
          <w:lang w:val="da-DK"/>
        </w:rPr>
        <w:t>-led)</w:t>
      </w:r>
    </w:p>
    <w:p w14:paraId="3ADD3269" w14:textId="77777777" w:rsidR="00BF3FA4" w:rsidRPr="00DB3517" w:rsidRDefault="00BF3FA4" w:rsidP="00BF3FA4">
      <w:pPr>
        <w:spacing w:line="360" w:lineRule="auto"/>
        <w:rPr>
          <w:sz w:val="24"/>
          <w:szCs w:val="24"/>
          <w:lang w:val="da-DK"/>
        </w:rPr>
      </w:pPr>
    </w:p>
    <w:p w14:paraId="684A78FD" w14:textId="4172FDA7" w:rsidR="007A3DA7" w:rsidRPr="00DB3517" w:rsidRDefault="007A3DA7" w:rsidP="00E01B59">
      <w:pPr>
        <w:rPr>
          <w:lang w:val="da-DK"/>
        </w:rPr>
      </w:pPr>
    </w:p>
    <w:p w14:paraId="53148960" w14:textId="55E715CB" w:rsidR="00C12A03" w:rsidRPr="00DB3517" w:rsidRDefault="00C12A03" w:rsidP="00E01B59">
      <w:pPr>
        <w:rPr>
          <w:lang w:val="da-DK"/>
        </w:rPr>
      </w:pPr>
    </w:p>
    <w:p w14:paraId="3CA2FE3A" w14:textId="0D5999EE" w:rsidR="00C12A03" w:rsidRPr="00DB3517" w:rsidRDefault="00C12A03" w:rsidP="00C12A03">
      <w:pPr>
        <w:rPr>
          <w:lang w:val="da-DK"/>
        </w:rPr>
      </w:pPr>
    </w:p>
    <w:p w14:paraId="5A419830" w14:textId="77777777" w:rsidR="00103347" w:rsidRPr="00DB3517" w:rsidRDefault="00103347" w:rsidP="00E01B59">
      <w:pPr>
        <w:rPr>
          <w:lang w:val="da-DK"/>
        </w:rPr>
      </w:pPr>
    </w:p>
    <w:p w14:paraId="659D560F" w14:textId="26F68463" w:rsidR="00E01B59" w:rsidRPr="00DB3517" w:rsidRDefault="001271AB" w:rsidP="00E01B59">
      <w:pPr>
        <w:rPr>
          <w:lang w:val="da-DK"/>
        </w:rPr>
      </w:pPr>
      <w:r w:rsidRPr="00DB3517">
        <w:rPr>
          <w:lang w:val="da-DK"/>
        </w:rPr>
        <w:br/>
      </w:r>
    </w:p>
    <w:p w14:paraId="6099D617" w14:textId="08B72061" w:rsidR="00103347" w:rsidRPr="00DB3517" w:rsidRDefault="00103347" w:rsidP="00E01B59">
      <w:pPr>
        <w:rPr>
          <w:lang w:val="da-DK"/>
        </w:rPr>
      </w:pPr>
    </w:p>
    <w:p w14:paraId="7461CB8D" w14:textId="1E8FB077" w:rsidR="00103347" w:rsidRPr="00DB3517" w:rsidRDefault="00103347" w:rsidP="00E01B59">
      <w:pPr>
        <w:rPr>
          <w:lang w:val="da-DK"/>
        </w:rPr>
      </w:pPr>
    </w:p>
    <w:p w14:paraId="014AD34F" w14:textId="1FE4CDE1" w:rsidR="004A796F" w:rsidRPr="004A796F" w:rsidRDefault="004A796F" w:rsidP="004A796F">
      <w:pPr>
        <w:rPr>
          <w:lang w:val="da-DK"/>
        </w:rPr>
      </w:pPr>
    </w:p>
    <w:sectPr w:rsidR="004A796F" w:rsidRPr="004A796F" w:rsidSect="003B5240">
      <w:headerReference w:type="even" r:id="rId74"/>
      <w:headerReference w:type="default" r:id="rId75"/>
      <w:footerReference w:type="even" r:id="rId76"/>
      <w:footerReference w:type="default" r:id="rId77"/>
      <w:headerReference w:type="first" r:id="rId78"/>
      <w:footerReference w:type="first" r:id="rId7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2"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3"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4" w:author="Simon Thomsen" w:date="2022-09-15T19:28:00Z" w:initials="ST">
    <w:p w14:paraId="4153B151" w14:textId="77777777"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5"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6" w:author="Simon Fløj Thomsen" w:date="2022-10-29T18:50:00Z" w:initials="SFT">
    <w:p w14:paraId="44EE5868" w14:textId="77777777" w:rsidR="00C57F78" w:rsidRDefault="00C57F78" w:rsidP="00245EB6">
      <w:pPr>
        <w:pStyle w:val="Kommentartekst"/>
      </w:pPr>
      <w:r>
        <w:rPr>
          <w:rStyle w:val="Kommentarhenvisning"/>
        </w:rPr>
        <w:annotationRef/>
      </w:r>
      <w:r>
        <w:t>Opdater når jeg ved om den inkluderes</w:t>
      </w:r>
    </w:p>
  </w:comment>
  <w:comment w:id="37"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8" w:author="Simon Fløj Thomsen" w:date="2022-10-29T19:39:00Z" w:initials="SFT">
    <w:p w14:paraId="1CC39B2D" w14:textId="77777777" w:rsidR="000D5EFB" w:rsidRDefault="000D5EFB" w:rsidP="00FA1A12">
      <w:pPr>
        <w:pStyle w:val="Kommentartekst"/>
      </w:pPr>
      <w:r>
        <w:rPr>
          <w:rStyle w:val="Kommentarhenvisning"/>
        </w:rPr>
        <w:annotationRef/>
      </w:r>
      <w:r>
        <w:t>Opdater når ved ur</w:t>
      </w:r>
    </w:p>
  </w:comment>
  <w:comment w:id="39" w:author="Simon Fløj Thomsen" w:date="2022-10-29T19:36:00Z" w:initials="SFT">
    <w:p w14:paraId="4CE25178" w14:textId="040AD5FF" w:rsidR="005C1FA5" w:rsidRDefault="005C1FA5" w:rsidP="00A22B7C">
      <w:pPr>
        <w:pStyle w:val="Kommentartekst"/>
      </w:pPr>
      <w:r>
        <w:rPr>
          <w:rStyle w:val="Kommentarhenvisning"/>
        </w:rPr>
        <w:annotationRef/>
      </w:r>
      <w:r>
        <w:t xml:space="preserve">Fodnote: The fraction of receivers of the maximum level of income insurance is 0.85. And no more than 100% can receive the maximum level. </w:t>
      </w:r>
    </w:p>
  </w:comment>
  <w:comment w:id="40" w:author="Simon Fløj Thomsen" w:date="2022-10-29T19:40:00Z" w:initials="SFT">
    <w:p w14:paraId="0C34C118" w14:textId="77777777" w:rsidR="000D5EFB" w:rsidRDefault="000D5EFB" w:rsidP="00202BE8">
      <w:pPr>
        <w:pStyle w:val="Kommentartekst"/>
      </w:pPr>
      <w:r>
        <w:rPr>
          <w:rStyle w:val="Kommentarhenvisning"/>
        </w:rPr>
        <w:annotationRef/>
      </w:r>
      <w:r>
        <w:t>Opdater når ved ur</w:t>
      </w:r>
    </w:p>
  </w:comment>
  <w:comment w:id="41" w:author="Simon Fløj Thomsen" w:date="2022-10-29T20:04:00Z" w:initials="SFT">
    <w:p w14:paraId="59485C74" w14:textId="77777777"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2" w:author="Simon Fløj Thomsen" w:date="2022-10-29T20:31:00Z" w:initials="SFT">
    <w:p w14:paraId="3C4EE3B6" w14:textId="77777777" w:rsidR="00902943" w:rsidRDefault="00902943" w:rsidP="00C652C9">
      <w:pPr>
        <w:pStyle w:val="Kommentartekst"/>
      </w:pPr>
      <w:r>
        <w:rPr>
          <w:rStyle w:val="Kommentarhenvisning"/>
        </w:rPr>
        <w:annotationRef/>
      </w:r>
      <w:r>
        <w:t xml:space="preserve">Is his fine, or should I explain more? Ill include some in the discussion aswell. </w:t>
      </w:r>
    </w:p>
  </w:comment>
  <w:comment w:id="43" w:author="Simon Fløj Thomsen" w:date="2022-10-15T12:58:00Z" w:initials="SFT">
    <w:p w14:paraId="78ABE25B" w14:textId="571CD333" w:rsidR="00F97FF9" w:rsidRDefault="00F97FF9" w:rsidP="002F1D0E">
      <w:pPr>
        <w:pStyle w:val="Kommentartekst"/>
      </w:pPr>
      <w:r>
        <w:rPr>
          <w:rStyle w:val="Kommentarhenvisning"/>
        </w:rPr>
        <w:annotationRef/>
      </w:r>
      <w:r>
        <w:t>Tilføjet</w:t>
      </w:r>
    </w:p>
  </w:comment>
  <w:comment w:id="44"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45"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46"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47"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48"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49"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0"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1"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2"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3"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54"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55" w:author="Simon Thomsen" w:date="2022-10-27T09:02:00Z" w:initials="ST">
    <w:p w14:paraId="635A15C6" w14:textId="77777777" w:rsidR="00C44380" w:rsidRDefault="00C44380" w:rsidP="00F56FB6">
      <w:pPr>
        <w:pStyle w:val="Kommentartekst"/>
      </w:pPr>
      <w:r>
        <w:rPr>
          <w:rStyle w:val="Kommentarhenvisning"/>
        </w:rPr>
        <w:annotationRef/>
      </w:r>
      <w:r>
        <w:t>IK læs!</w:t>
      </w:r>
    </w:p>
  </w:comment>
  <w:comment w:id="56" w:author="Simon Fløj Thomsen" w:date="2022-10-19T12:08:00Z" w:initials="SFT">
    <w:p w14:paraId="4C135840" w14:textId="725E8031" w:rsidR="000F680F" w:rsidRDefault="000F680F" w:rsidP="005059EC">
      <w:pPr>
        <w:pStyle w:val="Kommentartekst"/>
      </w:pPr>
      <w:r>
        <w:rPr>
          <w:rStyle w:val="Kommentarhenvisning"/>
        </w:rPr>
        <w:annotationRef/>
      </w:r>
      <w:r>
        <w:t>Jeg kommer vel uden om dette ved at bruge SFC-model?</w:t>
      </w:r>
    </w:p>
  </w:comment>
  <w:comment w:id="57"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58"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59"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0"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1"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2"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63"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64"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65"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66"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67"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68"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69"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0"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1"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72"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73"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74"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75"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6715406A" w15:done="0"/>
  <w15:commentEx w15:paraId="01987A37" w15:done="0"/>
  <w15:commentEx w15:paraId="064E6352" w15:done="0"/>
  <w15:commentEx w15:paraId="27535667" w15:done="0"/>
  <w15:commentEx w15:paraId="7EBC9DE7" w15:done="0"/>
  <w15:commentEx w15:paraId="44EE5868" w15:done="0"/>
  <w15:commentEx w15:paraId="3EBBBFB2" w15:done="0"/>
  <w15:commentEx w15:paraId="1CC39B2D" w15:done="0"/>
  <w15:commentEx w15:paraId="4CE25178" w15:done="0"/>
  <w15:commentEx w15:paraId="0C34C118" w15:done="0"/>
  <w15:commentEx w15:paraId="59485C74" w15:done="0"/>
  <w15:commentEx w15:paraId="3C4EE3B6"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635A15C6"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1"/>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7F479" w16cex:dateUtc="2022-10-29T16:50:00Z"/>
  <w16cex:commentExtensible w16cex:durableId="26EA823E" w16cex:dateUtc="2022-10-07T08:47:00Z"/>
  <w16cex:commentExtensible w16cex:durableId="27080001" w16cex:dateUtc="2022-10-29T17:39:00Z"/>
  <w16cex:commentExtensible w16cex:durableId="2707FF2B" w16cex:dateUtc="2022-10-29T17:36:00Z"/>
  <w16cex:commentExtensible w16cex:durableId="27080010" w16cex:dateUtc="2022-10-29T17:40:00Z"/>
  <w16cex:commentExtensible w16cex:durableId="270805D5" w16cex:dateUtc="2022-10-29T18:04:00Z"/>
  <w16cex:commentExtensible w16cex:durableId="27080C0F" w16cex:dateUtc="2022-10-29T18:31: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704C799" w16cex:dateUtc="2022-10-27T07:02: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44EE5868" w16cid:durableId="2707F479"/>
  <w16cid:commentId w16cid:paraId="3EBBBFB2" w16cid:durableId="26EA823E"/>
  <w16cid:commentId w16cid:paraId="1CC39B2D" w16cid:durableId="27080001"/>
  <w16cid:commentId w16cid:paraId="4CE25178" w16cid:durableId="2707FF2B"/>
  <w16cid:commentId w16cid:paraId="0C34C118" w16cid:durableId="27080010"/>
  <w16cid:commentId w16cid:paraId="59485C74" w16cid:durableId="270805D5"/>
  <w16cid:commentId w16cid:paraId="3C4EE3B6" w16cid:durableId="27080C0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635A15C6" w16cid:durableId="2704C799"/>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9F336" w14:textId="77777777" w:rsidR="00F25149" w:rsidRDefault="00F25149" w:rsidP="005F6ED0">
      <w:pPr>
        <w:spacing w:after="0" w:line="240" w:lineRule="auto"/>
      </w:pPr>
      <w:r>
        <w:separator/>
      </w:r>
    </w:p>
  </w:endnote>
  <w:endnote w:type="continuationSeparator" w:id="0">
    <w:p w14:paraId="18E6253F" w14:textId="77777777" w:rsidR="00F25149" w:rsidRDefault="00F25149"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B48C5" w14:textId="77777777" w:rsidR="00F25149" w:rsidRDefault="00F25149" w:rsidP="005F6ED0">
      <w:pPr>
        <w:spacing w:after="0" w:line="240" w:lineRule="auto"/>
      </w:pPr>
      <w:r>
        <w:separator/>
      </w:r>
    </w:p>
  </w:footnote>
  <w:footnote w:type="continuationSeparator" w:id="0">
    <w:p w14:paraId="178A8F6D" w14:textId="77777777" w:rsidR="00F25149" w:rsidRDefault="00F25149"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0219"/>
    <w:rsid w:val="000123BC"/>
    <w:rsid w:val="00025ACD"/>
    <w:rsid w:val="00026AE3"/>
    <w:rsid w:val="00030420"/>
    <w:rsid w:val="00033142"/>
    <w:rsid w:val="000360BB"/>
    <w:rsid w:val="000418F7"/>
    <w:rsid w:val="00043224"/>
    <w:rsid w:val="0004568C"/>
    <w:rsid w:val="00045701"/>
    <w:rsid w:val="00046BAD"/>
    <w:rsid w:val="00047A84"/>
    <w:rsid w:val="00052F0E"/>
    <w:rsid w:val="00054260"/>
    <w:rsid w:val="0005620B"/>
    <w:rsid w:val="00056B79"/>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5EFB"/>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103A8"/>
    <w:rsid w:val="00215694"/>
    <w:rsid w:val="002248A4"/>
    <w:rsid w:val="00232AB4"/>
    <w:rsid w:val="00235B07"/>
    <w:rsid w:val="002449A4"/>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3975"/>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C7715"/>
    <w:rsid w:val="003D0CEF"/>
    <w:rsid w:val="003D1361"/>
    <w:rsid w:val="003D13F0"/>
    <w:rsid w:val="003D2CF8"/>
    <w:rsid w:val="003D314F"/>
    <w:rsid w:val="003D40B6"/>
    <w:rsid w:val="003D4B98"/>
    <w:rsid w:val="003D574E"/>
    <w:rsid w:val="003E1DD6"/>
    <w:rsid w:val="003E28E7"/>
    <w:rsid w:val="003F066C"/>
    <w:rsid w:val="003F7A29"/>
    <w:rsid w:val="004178EE"/>
    <w:rsid w:val="00421DBA"/>
    <w:rsid w:val="00425D00"/>
    <w:rsid w:val="004260CF"/>
    <w:rsid w:val="004341BF"/>
    <w:rsid w:val="00434265"/>
    <w:rsid w:val="004355A7"/>
    <w:rsid w:val="00440727"/>
    <w:rsid w:val="00445BFF"/>
    <w:rsid w:val="00447F28"/>
    <w:rsid w:val="0045136C"/>
    <w:rsid w:val="00457851"/>
    <w:rsid w:val="00464265"/>
    <w:rsid w:val="00464811"/>
    <w:rsid w:val="00464870"/>
    <w:rsid w:val="00464ACD"/>
    <w:rsid w:val="0046692F"/>
    <w:rsid w:val="00467047"/>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1FA5"/>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0FE1"/>
    <w:rsid w:val="00731F27"/>
    <w:rsid w:val="00733BD5"/>
    <w:rsid w:val="00737B4B"/>
    <w:rsid w:val="007426B3"/>
    <w:rsid w:val="00745270"/>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6D03"/>
    <w:rsid w:val="008F72FE"/>
    <w:rsid w:val="008F74FD"/>
    <w:rsid w:val="00900F21"/>
    <w:rsid w:val="00902943"/>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5A76"/>
    <w:rsid w:val="009C72AF"/>
    <w:rsid w:val="009C7D76"/>
    <w:rsid w:val="009D1295"/>
    <w:rsid w:val="009D28BD"/>
    <w:rsid w:val="009D470F"/>
    <w:rsid w:val="009E0A71"/>
    <w:rsid w:val="009E4971"/>
    <w:rsid w:val="009E610D"/>
    <w:rsid w:val="00A0271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32E"/>
    <w:rsid w:val="00A87C53"/>
    <w:rsid w:val="00AA2F82"/>
    <w:rsid w:val="00AA5429"/>
    <w:rsid w:val="00AB1C9F"/>
    <w:rsid w:val="00AB36A2"/>
    <w:rsid w:val="00AC3265"/>
    <w:rsid w:val="00AC33B8"/>
    <w:rsid w:val="00AC4737"/>
    <w:rsid w:val="00AD031C"/>
    <w:rsid w:val="00AD273E"/>
    <w:rsid w:val="00AE0EB7"/>
    <w:rsid w:val="00AE2326"/>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3517"/>
    <w:rsid w:val="00DB56DC"/>
    <w:rsid w:val="00DB5A7D"/>
    <w:rsid w:val="00DC02FE"/>
    <w:rsid w:val="00DC2287"/>
    <w:rsid w:val="00DC2929"/>
    <w:rsid w:val="00DC2C78"/>
    <w:rsid w:val="00DD2782"/>
    <w:rsid w:val="00DD500B"/>
    <w:rsid w:val="00DE16C7"/>
    <w:rsid w:val="00DE26DA"/>
    <w:rsid w:val="00DE460E"/>
    <w:rsid w:val="00DE77BD"/>
    <w:rsid w:val="00DF1CFA"/>
    <w:rsid w:val="00DF3A06"/>
    <w:rsid w:val="00DF5EAD"/>
    <w:rsid w:val="00E01740"/>
    <w:rsid w:val="00E01B59"/>
    <w:rsid w:val="00E06031"/>
    <w:rsid w:val="00E118A7"/>
    <w:rsid w:val="00E14C64"/>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5149"/>
    <w:rsid w:val="00F266DA"/>
    <w:rsid w:val="00F2697F"/>
    <w:rsid w:val="00F279C2"/>
    <w:rsid w:val="00F471E4"/>
    <w:rsid w:val="00F47727"/>
    <w:rsid w:val="00F53F1C"/>
    <w:rsid w:val="00F548BE"/>
    <w:rsid w:val="00F649F4"/>
    <w:rsid w:val="00F64BBC"/>
    <w:rsid w:val="00F6501F"/>
    <w:rsid w:val="00F72A2D"/>
    <w:rsid w:val="00F81D83"/>
    <w:rsid w:val="00F90BD8"/>
    <w:rsid w:val="00F92F65"/>
    <w:rsid w:val="00F93B35"/>
    <w:rsid w:val="00F93E42"/>
    <w:rsid w:val="00F97FF9"/>
    <w:rsid w:val="00FA1197"/>
    <w:rsid w:val="00FA2E34"/>
    <w:rsid w:val="00FA3318"/>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3.xml"/><Relationship Id="rId8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1440</TotalTime>
  <Pages>60</Pages>
  <Words>11993</Words>
  <Characters>73160</Characters>
  <Application>Microsoft Office Word</Application>
  <DocSecurity>0</DocSecurity>
  <Lines>609</Lines>
  <Paragraphs>169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29</cp:revision>
  <dcterms:created xsi:type="dcterms:W3CDTF">2022-10-23T17:08:00Z</dcterms:created>
  <dcterms:modified xsi:type="dcterms:W3CDTF">2022-10-29T18:43:00Z</dcterms:modified>
</cp:coreProperties>
</file>