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r w:rsidRPr="0075752D">
        <w:t>Introdu</w:t>
      </w:r>
      <w:r w:rsidR="007C7EE5">
        <w:t>c</w:t>
      </w:r>
      <w:r w:rsidRPr="0075752D">
        <w:t>tion</w:t>
      </w:r>
    </w:p>
    <w:p w14:paraId="3E8FEA58" w14:textId="6F08ED5F" w:rsidR="003C249F" w:rsidRPr="0075752D" w:rsidRDefault="003C249F" w:rsidP="003C249F"/>
    <w:p w14:paraId="2E2181F5" w14:textId="77777777" w:rsidR="009C7D76"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unemployment benefits has been decreasing in Denmark. One of the main measurements used to estimate the generosity is the compensation rate.  </w:t>
      </w:r>
      <w:r w:rsidR="00B91BC5">
        <w:t xml:space="preserve">The calculations of the compensation rate usually </w:t>
      </w:r>
      <w:r w:rsidR="005F74C9">
        <w:t>consist of</w:t>
      </w:r>
      <w:r w:rsidR="00FC2EF0">
        <w:t xml:space="preserve"> the ratio </w:t>
      </w:r>
      <w:r w:rsidR="005F74C9">
        <w:t>between</w:t>
      </w:r>
      <w:r w:rsidR="00FC2EF0">
        <w:t xml:space="preserve"> the average level of income insurance for those eligible to the average wage for employed</w:t>
      </w:r>
      <w:r w:rsidR="003E28E7">
        <w:t xml:space="preserve">, thereby showing the difference in income related to going from employment to unemployment. </w:t>
      </w:r>
      <w:commentRangeStart w:id="0"/>
      <w:r w:rsidR="003E28E7">
        <w:t xml:space="preserve">As a starting point the level of income insurance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xml:space="preserve">, the gross compensation rate is relatively high for the low-income group and low for the high-income group. In contrast </w:t>
      </w:r>
      <w:r w:rsidR="00C913D8">
        <w:t>to other countries, it is not mandatory to be part of a</w:t>
      </w:r>
      <w:r w:rsidR="009C7D76">
        <w:t>n</w:t>
      </w:r>
      <w:r w:rsidR="00C913D8">
        <w:t xml:space="preserve"> income insurance program in Denmark, still the insurance rate is </w:t>
      </w:r>
      <w:r w:rsidR="009C7D76">
        <w:t>quite</w:t>
      </w:r>
      <w:r w:rsidR="00C913D8">
        <w:t xml:space="preserve"> high</w:t>
      </w:r>
      <w:r w:rsidR="009C7D76">
        <w:t xml:space="preserve">, meaning the insurance program is attractive to the worker. </w:t>
      </w:r>
      <w:r w:rsidR="00C913D8">
        <w:t xml:space="preserve"> </w:t>
      </w:r>
      <w:commentRangeEnd w:id="0"/>
      <w:r w:rsidR="009C7D76">
        <w:rPr>
          <w:rStyle w:val="Kommentarhenvisning"/>
        </w:rPr>
        <w:commentReference w:id="0"/>
      </w:r>
      <w:r w:rsidR="009C7D76">
        <w:t xml:space="preserve">The fact that being part of a program is not mandatory leads to an interesting aspect in that the lower the compensation rates the lesser attractive is the program leading to a lower insurance rate. </w:t>
      </w:r>
    </w:p>
    <w:p w14:paraId="60B9F10A" w14:textId="118ECB7F" w:rsidR="00FC2EF0" w:rsidRDefault="00FC2EF0" w:rsidP="00843391">
      <w:pPr>
        <w:spacing w:line="360" w:lineRule="auto"/>
      </w:pPr>
      <w:r>
        <w:t xml:space="preserve">As can be seen </w:t>
      </w:r>
      <w:r w:rsidR="005F74C9">
        <w:t>in</w:t>
      </w:r>
      <w:r>
        <w:t xml:space="preserve"> the figure bellow the compensation rate</w:t>
      </w:r>
      <w:r w:rsidR="005F74C9">
        <w:t xml:space="preserve"> in Denmark</w:t>
      </w:r>
      <w:r>
        <w:t xml:space="preserve"> has been falling since </w:t>
      </w:r>
      <w:commentRangeStart w:id="1"/>
      <w:r>
        <w:t>1990-2020:</w:t>
      </w:r>
      <w:commentRangeEnd w:id="1"/>
      <w:r w:rsidR="00843391">
        <w:rPr>
          <w:rStyle w:val="Kommentarhenvisning"/>
        </w:rPr>
        <w:commentReference w:id="1"/>
      </w:r>
    </w:p>
    <w:p w14:paraId="44873BC0" w14:textId="4AB0C082" w:rsidR="004C0FB6" w:rsidRPr="00904464" w:rsidRDefault="00FC2EF0" w:rsidP="003C249F">
      <w:r>
        <w:lastRenderedPageBreak/>
        <w:t xml:space="preserve"> </w:t>
      </w:r>
      <w:r w:rsidR="00843391"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76980"/>
                    </a:xfrm>
                    <a:prstGeom prst="rect">
                      <a:avLst/>
                    </a:prstGeom>
                  </pic:spPr>
                </pic:pic>
              </a:graphicData>
            </a:graphic>
          </wp:inline>
        </w:drawing>
      </w:r>
    </w:p>
    <w:p w14:paraId="231FD812" w14:textId="0D7B51C9" w:rsidR="00794ED8" w:rsidRDefault="00794ED8" w:rsidP="00A85823">
      <w:pPr>
        <w:spacing w:line="360" w:lineRule="auto"/>
        <w:rPr>
          <w:lang w:val="da-DK"/>
        </w:rPr>
      </w:pPr>
    </w:p>
    <w:p w14:paraId="751F04DE" w14:textId="77777777" w:rsidR="00794ED8" w:rsidRPr="00794ED8" w:rsidRDefault="00794ED8" w:rsidP="00A85823">
      <w:pPr>
        <w:spacing w:line="360" w:lineRule="auto"/>
        <w:rPr>
          <w:color w:val="FF0000"/>
        </w:rPr>
      </w:pP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2"/>
      <w:r w:rsidR="00A85823">
        <w:t xml:space="preserve">over time. </w:t>
      </w:r>
      <w:commentRangeEnd w:id="2"/>
      <w:r w:rsidR="00BF5E9C">
        <w:rPr>
          <w:rStyle w:val="Kommentarhenvisning"/>
        </w:rPr>
        <w:commentReference w:id="2"/>
      </w:r>
    </w:p>
    <w:p w14:paraId="28E2EAD9" w14:textId="05C14748"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35D23672" w14:textId="2FA1DB9B"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Therefor a larger share of the wage paid to labor market pensions will result in a lower rate of increase in the compensation rate. The argumentation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p>
    <w:p w14:paraId="6F72A372" w14:textId="68777C93" w:rsidR="007173E7" w:rsidRPr="00616FAC" w:rsidRDefault="007173E7" w:rsidP="00BF5E9C">
      <w:pPr>
        <w:spacing w:line="360" w:lineRule="auto"/>
        <w:rPr>
          <w:lang w:val="da-DK"/>
        </w:rPr>
      </w:pPr>
      <w:commentRangeStart w:id="3"/>
      <w:commentRangeStart w:id="4"/>
      <w:r w:rsidRPr="00616FAC">
        <w:rPr>
          <w:lang w:val="da-DK"/>
        </w:rPr>
        <w:t>Dagpengereformen</w:t>
      </w:r>
      <w:commentRangeEnd w:id="3"/>
      <w:r>
        <w:rPr>
          <w:rStyle w:val="Kommentarhenvisning"/>
        </w:rPr>
        <w:commentReference w:id="3"/>
      </w:r>
      <w:commentRangeEnd w:id="4"/>
      <w:r>
        <w:rPr>
          <w:rStyle w:val="Kommentarhenvisning"/>
        </w:rPr>
        <w:commentReference w:id="4"/>
      </w:r>
    </w:p>
    <w:p w14:paraId="29BD5B6D" w14:textId="5051C922" w:rsidR="007173E7" w:rsidRPr="00616FAC" w:rsidRDefault="007173E7" w:rsidP="00BF5E9C">
      <w:pPr>
        <w:spacing w:line="360" w:lineRule="auto"/>
        <w:rPr>
          <w:lang w:val="da-DK"/>
        </w:rPr>
      </w:pPr>
      <w:commentRangeStart w:id="5"/>
      <w:r w:rsidRPr="00616FAC">
        <w:rPr>
          <w:lang w:val="da-DK"/>
        </w:rPr>
        <w:t xml:space="preserve">Nye </w:t>
      </w:r>
      <w:proofErr w:type="gramStart"/>
      <w:r w:rsidRPr="00616FAC">
        <w:rPr>
          <w:lang w:val="da-DK"/>
        </w:rPr>
        <w:t>dagpenge reform</w:t>
      </w:r>
      <w:proofErr w:type="gramEnd"/>
      <w:r w:rsidRPr="00616FAC">
        <w:rPr>
          <w:lang w:val="da-DK"/>
        </w:rPr>
        <w:t xml:space="preserve"> med “elitebilist princip”</w:t>
      </w:r>
      <w:commentRangeEnd w:id="5"/>
      <w:r>
        <w:rPr>
          <w:rStyle w:val="Kommentarhenvisning"/>
        </w:rPr>
        <w:commentReference w:id="5"/>
      </w:r>
    </w:p>
    <w:p w14:paraId="075D15D0" w14:textId="77777777" w:rsidR="009029C0" w:rsidRDefault="009029C0" w:rsidP="000360BB">
      <w:pPr>
        <w:spacing w:line="360" w:lineRule="auto"/>
      </w:pPr>
      <w:commentRangeStart w:id="6"/>
      <w:r w:rsidRPr="009029C0">
        <w:t xml:space="preserve">This paper attempts to analyze the macroeconomic effects </w:t>
      </w:r>
      <w:r>
        <w:t>of unemployment benefits in a small open economy like Denmark. W</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commentRangeEnd w:id="6"/>
      <w:r w:rsidR="00457851">
        <w:rPr>
          <w:rStyle w:val="Kommentarhenvisning"/>
        </w:rPr>
        <w:commentReference w:id="6"/>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Section 2: Lit review</w:t>
      </w:r>
    </w:p>
    <w:p w14:paraId="676A324D" w14:textId="77777777" w:rsidR="00DB5A7D" w:rsidRPr="00DB5A7D" w:rsidRDefault="00DB5A7D" w:rsidP="00DB5A7D"/>
    <w:p w14:paraId="39E9AD9C" w14:textId="36608699" w:rsidR="00BA35A4" w:rsidRDefault="00CC1AB0" w:rsidP="00BA35A4">
      <w:r>
        <w:t>In the years leading to the Danish election the discussion of unemployment benefits was a key topic, especially the income insurance. On the one hand the literature published by</w:t>
      </w:r>
      <w:r w:rsidR="00C16738">
        <w:t xml:space="preserve"> the Danish</w:t>
      </w:r>
      <w:r>
        <w:t xml:space="preserve"> </w:t>
      </w:r>
      <w:r w:rsidR="00C16738">
        <w:t>Ministry of employment</w:t>
      </w:r>
      <w:r>
        <w:t xml:space="preserve"> </w:t>
      </w:r>
      <w:r w:rsidR="002E48B7">
        <w:t>find</w:t>
      </w:r>
      <w:r w:rsidR="00C16738">
        <w:t>s</w:t>
      </w:r>
      <w:r w:rsidR="002E48B7">
        <w:t xml:space="preserve"> that the compensation rate has been almost fixed since the 1990 (</w:t>
      </w:r>
      <w:proofErr w:type="spellStart"/>
      <w:r w:rsidR="002E48B7">
        <w:t>xyz</w:t>
      </w:r>
      <w:proofErr w:type="spellEnd"/>
      <w:r w:rsidR="002E48B7">
        <w:t xml:space="preserve">). On the other hand, </w:t>
      </w:r>
      <w:commentRangeStart w:id="7"/>
      <w:r w:rsidR="002E48B7">
        <w:t xml:space="preserve">unemployment insurance companies </w:t>
      </w:r>
      <w:commentRangeEnd w:id="7"/>
      <w:r w:rsidR="002E48B7">
        <w:rPr>
          <w:rStyle w:val="Kommentarhenvisning"/>
        </w:rPr>
        <w:commentReference w:id="7"/>
      </w:r>
      <w:r w:rsidR="002E48B7">
        <w:t>in Denmark</w:t>
      </w:r>
      <w:r w:rsidR="00C16738">
        <w:t>,</w:t>
      </w:r>
      <w:r w:rsidR="002E48B7">
        <w:t xml:space="preserve"> suggest that the compensation rate has been falling constantly since the 1990 (</w:t>
      </w:r>
      <w:proofErr w:type="spellStart"/>
      <w:r w:rsidR="002E48B7">
        <w:t>xyz</w:t>
      </w:r>
      <w:proofErr w:type="spellEnd"/>
      <w:r w:rsidR="002E48B7">
        <w:t xml:space="preserve">). </w:t>
      </w:r>
      <w:r w:rsidR="00FE7531">
        <w:t xml:space="preserve">In addition to this the view of how an increase in the compensation rate would affect the economy is also looked upon very differently.  </w:t>
      </w:r>
    </w:p>
    <w:p w14:paraId="1B3D9F6E" w14:textId="15EE5DFD" w:rsidR="00C16738" w:rsidRDefault="00311316" w:rsidP="00BA35A4">
      <w:r>
        <w:lastRenderedPageBreak/>
        <w:t>The Danish ministry of employment</w:t>
      </w:r>
      <w:r w:rsidR="00D15FB3">
        <w:t xml:space="preserve"> put down a commission in 2015 to analyze the effects of income insurance in Denmark. </w:t>
      </w:r>
      <w:r>
        <w:t xml:space="preserve"> </w:t>
      </w:r>
      <w:r w:rsidR="00D15FB3">
        <w:t>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CC6F6A">
        <w:t>xyz</w:t>
      </w:r>
      <w:proofErr w:type="spellEnd"/>
      <w:r w:rsidR="00CC6F6A">
        <w:t xml:space="preserve">) argue that the funds are partly going back to </w:t>
      </w:r>
      <w:r w:rsidR="004355A7">
        <w:t xml:space="preserve">the unemployed. </w:t>
      </w:r>
    </w:p>
    <w:p w14:paraId="522B05C4" w14:textId="676BFAA0" w:rsidR="004355A7" w:rsidRDefault="00026AE3" w:rsidP="00BA35A4">
      <w:commentRangeStart w:id="8"/>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commentRangeEnd w:id="8"/>
      <w:r w:rsidR="002103A8">
        <w:rPr>
          <w:rStyle w:val="Kommentarhenvisning"/>
        </w:rPr>
        <w:commentReference w:id="8"/>
      </w:r>
    </w:p>
    <w:p w14:paraId="1794ACC1" w14:textId="19D2A524" w:rsidR="002103A8" w:rsidRDefault="00DC02FE" w:rsidP="00BA35A4">
      <w:r>
        <w:t xml:space="preserve">They </w:t>
      </w:r>
      <w:r w:rsidR="00440727">
        <w:t>further</w:t>
      </w:r>
      <w:r>
        <w:t xml:space="preserve"> argue that people who are experiencing longer periods of unemployment throughout their life typically will be compensated by “</w:t>
      </w:r>
      <w:proofErr w:type="spellStart"/>
      <w:r>
        <w:t>folkepensions</w:t>
      </w:r>
      <w:proofErr w:type="spellEnd"/>
      <w:r>
        <w:t xml:space="preserve"> </w:t>
      </w:r>
      <w:proofErr w:type="spellStart"/>
      <w:r>
        <w:t>persontillæg</w:t>
      </w:r>
      <w:proofErr w:type="spellEnd"/>
      <w:r>
        <w:t>” and maybe “</w:t>
      </w:r>
      <w:proofErr w:type="spellStart"/>
      <w:r>
        <w:t>ældreschek</w:t>
      </w:r>
      <w:proofErr w:type="spellEnd"/>
      <w:r>
        <w:t>” which is also noted in the pension commission paper (</w:t>
      </w:r>
      <w:proofErr w:type="spellStart"/>
      <w:r>
        <w:t>xyz</w:t>
      </w:r>
      <w:proofErr w:type="spellEnd"/>
      <w:r>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proofErr w:type="spellStart"/>
      <w:r w:rsidR="006949E2">
        <w:t>brutto</w:t>
      </w:r>
      <w:proofErr w:type="spellEnd"/>
      <w:r w:rsidR="006949E2">
        <w:t xml:space="preserve">” compensation rate.  </w:t>
      </w:r>
    </w:p>
    <w:p w14:paraId="1CC39368" w14:textId="3B34F6BB" w:rsidR="007B3DB0" w:rsidRDefault="007B3DB0" w:rsidP="00BA35A4">
      <w:r>
        <w:t xml:space="preserve">The paper leaves out the latest of the regulations lowering the state regulation percentage from 2016-2023 that was agreed upon in 2012, this of course wouldn’t change the conclusion for the period 1994-2013, but states how the future development in the compensation rate </w:t>
      </w:r>
      <w:r w:rsidR="00D15FB3">
        <w:t>is expected to evolve</w:t>
      </w:r>
      <w:r>
        <w:t>.</w:t>
      </w:r>
    </w:p>
    <w:p w14:paraId="7679E67E" w14:textId="0A569F4E" w:rsidR="00981213" w:rsidRDefault="00D15FB3" w:rsidP="00BA35A4">
      <w:r>
        <w:t xml:space="preserve">LO is criticizing the results </w:t>
      </w:r>
      <w:r w:rsidR="00C376AB">
        <w:t>coming from (</w:t>
      </w:r>
      <w:proofErr w:type="spellStart"/>
      <w:r w:rsidR="00C376AB">
        <w:t>xyz</w:t>
      </w:r>
      <w:proofErr w:type="spellEnd"/>
      <w:r w:rsidR="00C376AB">
        <w:t>)</w:t>
      </w:r>
      <w:r w:rsidR="007932B5">
        <w:t xml:space="preserve">, firstly they mention how the calculations of the compensation rate is sensitive towards which method is used for calculating the compensation rate. </w:t>
      </w:r>
      <w:r w:rsidR="00981213">
        <w:t xml:space="preserve"> </w:t>
      </w:r>
      <w:r w:rsidR="007932B5">
        <w:t xml:space="preserve">It should be added that in their own calculations they are using only LO-members. </w:t>
      </w:r>
    </w:p>
    <w:p w14:paraId="4B03B123" w14:textId="4FB68832" w:rsidR="00DC2287" w:rsidRDefault="007932B5" w:rsidP="00BA35A4">
      <w:r>
        <w:t xml:space="preserve">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proofErr w:type="spellStart"/>
      <w:r w:rsidR="00B4576D">
        <w:t>minestry</w:t>
      </w:r>
      <w:proofErr w:type="spellEnd"/>
      <w:r w:rsidR="00B4576D">
        <w:t xml:space="preserve"> of Finance (</w:t>
      </w:r>
      <w:proofErr w:type="spellStart"/>
      <w:r w:rsidR="00421DBA">
        <w:t>xyz</w:t>
      </w:r>
      <w:proofErr w:type="spellEnd"/>
      <w:r w:rsidR="00421DBA">
        <w:t>)</w:t>
      </w:r>
      <w:r w:rsidR="00ED3896">
        <w:t>. Using the “</w:t>
      </w:r>
      <w:proofErr w:type="spellStart"/>
      <w:r w:rsidR="00ED3896">
        <w:t>netto</w:t>
      </w:r>
      <w:proofErr w:type="spellEnd"/>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proofErr w:type="spellStart"/>
      <w:r w:rsidR="00C376AB">
        <w:t>netto</w:t>
      </w:r>
      <w:proofErr w:type="spellEnd"/>
      <w:r w:rsidR="00C376AB">
        <w:t xml:space="preserve"> </w:t>
      </w:r>
      <w:r w:rsidR="00DC2287">
        <w:t>compensation rate</w:t>
      </w:r>
      <w:r w:rsidR="00421DBA">
        <w:t xml:space="preserve">. </w:t>
      </w:r>
    </w:p>
    <w:p w14:paraId="6EBB2EA9" w14:textId="665F0AC9" w:rsidR="00F64BBC" w:rsidRDefault="00DC2287" w:rsidP="00BA35A4">
      <w:r>
        <w:t>(</w:t>
      </w:r>
      <w:proofErr w:type="spellStart"/>
      <w:r>
        <w:t>xyz</w:t>
      </w:r>
      <w:proofErr w:type="spellEnd"/>
      <w:r>
        <w:t>) finds that the compensation rate from 1994 - 2018 fell by almost 9% point</w:t>
      </w:r>
      <w:r w:rsidR="00670703">
        <w:t xml:space="preserve"> looking at the </w:t>
      </w:r>
      <w:proofErr w:type="spellStart"/>
      <w:r w:rsidR="00670703">
        <w:t>brutto</w:t>
      </w:r>
      <w:proofErr w:type="spellEnd"/>
      <w:r w:rsidR="00670703">
        <w:t xml:space="preserve"> compensation rate. If also the changes in the tax system with a falling taxation of the wage bill is </w:t>
      </w:r>
      <w:r w:rsidR="00367558">
        <w:t>considering</w:t>
      </w:r>
      <w:r w:rsidR="00670703">
        <w:t xml:space="preserve"> by looking at the </w:t>
      </w:r>
      <w:proofErr w:type="spellStart"/>
      <w:r w:rsidR="00670703">
        <w:t>netto</w:t>
      </w:r>
      <w:proofErr w:type="spellEnd"/>
      <w:r w:rsidR="00670703">
        <w:t xml:space="preserve"> compensation rate </w:t>
      </w:r>
      <w:r w:rsidR="00BE6902">
        <w:t xml:space="preserve">the fall in the same period is around 15% point. </w:t>
      </w:r>
    </w:p>
    <w:p w14:paraId="023C548E" w14:textId="517BE335" w:rsidR="00BE6902" w:rsidRDefault="00BE6902" w:rsidP="00BA35A4">
      <w:r>
        <w:t xml:space="preserve">Adding to this they argue that the magnitude in the fall will increase over the coming years, </w:t>
      </w:r>
      <w:proofErr w:type="gramStart"/>
      <w:r>
        <w:t>as a result of</w:t>
      </w:r>
      <w:proofErr w:type="gramEnd"/>
      <w:r>
        <w:t xml:space="preserve"> the tax reform 2012, suppressing the rate regulation rate until 2023. </w:t>
      </w:r>
    </w:p>
    <w:p w14:paraId="18C84F6F" w14:textId="0CCA7E01" w:rsidR="006B71D2" w:rsidRDefault="006B71D2" w:rsidP="00BA35A4">
      <w:r>
        <w:t>(</w:t>
      </w:r>
      <w:commentRangeStart w:id="9"/>
      <w:proofErr w:type="spellStart"/>
      <w:proofErr w:type="gramStart"/>
      <w:r>
        <w:t>xyz</w:t>
      </w:r>
      <w:commentRangeEnd w:id="9"/>
      <w:proofErr w:type="spellEnd"/>
      <w:proofErr w:type="gramEnd"/>
      <w:r>
        <w:rPr>
          <w:rStyle w:val="Kommentarhenvisning"/>
        </w:rPr>
        <w:commentReference w:id="9"/>
      </w:r>
      <w:r>
        <w:t>) gets almost the same results as (</w:t>
      </w:r>
      <w:proofErr w:type="spellStart"/>
      <w:r>
        <w:t>xyz</w:t>
      </w:r>
      <w:proofErr w:type="spellEnd"/>
      <w:r>
        <w:t>) when calculating the “</w:t>
      </w:r>
      <w:proofErr w:type="spellStart"/>
      <w:r>
        <w:t>brutto</w:t>
      </w:r>
      <w:proofErr w:type="spellEnd"/>
      <w:r>
        <w:t xml:space="preserve">” compensation rate, estimating a fall of 10% points in the period of 1994-2020. </w:t>
      </w:r>
    </w:p>
    <w:p w14:paraId="3ED129AA" w14:textId="0335CB9E" w:rsidR="00D871AF" w:rsidRDefault="00C376AB" w:rsidP="00BA35A4">
      <w:r>
        <w:t>Also (</w:t>
      </w:r>
      <w:commentRangeStart w:id="10"/>
      <w:proofErr w:type="spellStart"/>
      <w:r>
        <w:t>xyz</w:t>
      </w:r>
      <w:commentRangeEnd w:id="10"/>
      <w:proofErr w:type="spellEnd"/>
      <w:r w:rsidR="00D871AF">
        <w:rPr>
          <w:rStyle w:val="Kommentarhenvisning"/>
        </w:rPr>
        <w:commentReference w:id="10"/>
      </w:r>
      <w:r>
        <w:t xml:space="preserve">) follows with a </w:t>
      </w:r>
      <w:r w:rsidR="001417FD">
        <w:t>macro-based</w:t>
      </w:r>
      <w:r>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w:t>
      </w:r>
      <w:r w:rsidR="00CA188B">
        <w:lastRenderedPageBreak/>
        <w:t xml:space="preserve">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0DBCCC1C" w14:textId="1A033A8B" w:rsidR="00D871AF" w:rsidRDefault="00D871AF" w:rsidP="00BA35A4">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findings of </w:t>
      </w:r>
      <w:r>
        <w:t>(</w:t>
      </w:r>
      <w:proofErr w:type="spellStart"/>
      <w:r>
        <w:t>xyz</w:t>
      </w:r>
      <w:proofErr w:type="spellEnd"/>
      <w:r>
        <w:t>)</w:t>
      </w:r>
      <w:r w:rsidR="004D59A0">
        <w:t xml:space="preserve">. The papers also suggest different macroeconomic effects </w:t>
      </w:r>
      <w:proofErr w:type="gramStart"/>
      <w:r w:rsidR="004D59A0">
        <w:t>as a result of</w:t>
      </w:r>
      <w:proofErr w:type="gramEnd"/>
      <w:r w:rsidR="004D59A0">
        <w:t xml:space="preserve"> increasing the compensation rate</w:t>
      </w:r>
      <w:r w:rsidR="00372F29">
        <w:t xml:space="preserve"> which we will see now</w:t>
      </w:r>
      <w:r w:rsidR="004D59A0">
        <w:t xml:space="preserve">.   </w:t>
      </w:r>
    </w:p>
    <w:p w14:paraId="444702E7" w14:textId="77777777" w:rsidR="00D871AF" w:rsidRDefault="00D871AF" w:rsidP="00BA35A4"/>
    <w:p w14:paraId="75D13CF0" w14:textId="3F00625E" w:rsidR="006B71D2" w:rsidRDefault="006B71D2" w:rsidP="00BA35A4">
      <w:r>
        <w:t xml:space="preserve">They argue that one of the </w:t>
      </w:r>
      <w:r w:rsidR="00100B51">
        <w:t xml:space="preserve">negative effects of a falling compensation rate is the </w:t>
      </w:r>
      <w:r w:rsidR="00C376AB">
        <w:t>lower degree</w:t>
      </w:r>
      <w:r w:rsidR="00100B51">
        <w:t xml:space="preserve"> of members in the insurance program, in the same period as the fall in the compensation rate, the percentage of the working force being a member has dropped from 84% till 78% even though this period has included political adjustment intended to raise this percentage (</w:t>
      </w:r>
      <w:proofErr w:type="spellStart"/>
      <w:r w:rsidR="00100B51">
        <w:t>xyz</w:t>
      </w:r>
      <w:proofErr w:type="spellEnd"/>
      <w:r w:rsidR="00100B51">
        <w:t xml:space="preserve">). </w:t>
      </w:r>
    </w:p>
    <w:p w14:paraId="18B9CA42" w14:textId="77777777" w:rsidR="006B71D2" w:rsidRDefault="006B71D2" w:rsidP="00BA35A4"/>
    <w:p w14:paraId="29866765" w14:textId="4DEF5EEB" w:rsidR="00367558" w:rsidRDefault="00367558" w:rsidP="00BA35A4">
      <w:commentRangeStart w:id="11"/>
      <w:r>
        <w:t>(</w:t>
      </w:r>
      <w:proofErr w:type="spellStart"/>
      <w:r>
        <w:t>måske</w:t>
      </w:r>
      <w:proofErr w:type="spellEnd"/>
      <w:r>
        <w:t xml:space="preserve"> </w:t>
      </w:r>
      <w:proofErr w:type="spellStart"/>
      <w:r>
        <w:t>også</w:t>
      </w:r>
      <w:proofErr w:type="spellEnd"/>
      <w:r>
        <w:t xml:space="preserve"> </w:t>
      </w:r>
      <w:proofErr w:type="spellStart"/>
      <w:r>
        <w:t>kigge</w:t>
      </w:r>
      <w:proofErr w:type="spellEnd"/>
      <w:r>
        <w:t xml:space="preserve"> </w:t>
      </w:r>
      <w:proofErr w:type="spellStart"/>
      <w:r>
        <w:t>på</w:t>
      </w:r>
      <w:proofErr w:type="spellEnd"/>
      <w:r>
        <w:t xml:space="preserve"> </w:t>
      </w:r>
      <w:proofErr w:type="spellStart"/>
      <w:r>
        <w:t>hvad</w:t>
      </w:r>
      <w:proofErr w:type="spellEnd"/>
      <w:r>
        <w:t xml:space="preserve"> de </w:t>
      </w:r>
      <w:proofErr w:type="spellStart"/>
      <w:r>
        <w:t>siger</w:t>
      </w:r>
      <w:proofErr w:type="spellEnd"/>
      <w:r>
        <w:t xml:space="preserve"> </w:t>
      </w:r>
      <w:proofErr w:type="spellStart"/>
      <w:r>
        <w:t>effekterne</w:t>
      </w:r>
      <w:proofErr w:type="spellEnd"/>
      <w:r>
        <w:t xml:space="preserve"> er </w:t>
      </w:r>
      <w:proofErr w:type="spellStart"/>
      <w:r>
        <w:t>af</w:t>
      </w:r>
      <w:proofErr w:type="spellEnd"/>
      <w:r w:rsidR="003D314F">
        <w:t xml:space="preserve"> </w:t>
      </w:r>
      <w:proofErr w:type="spellStart"/>
      <w:r>
        <w:t>en</w:t>
      </w:r>
      <w:proofErr w:type="spellEnd"/>
      <w:r>
        <w:t xml:space="preserve"> </w:t>
      </w:r>
      <w:proofErr w:type="spellStart"/>
      <w:r>
        <w:t>høj</w:t>
      </w:r>
      <w:proofErr w:type="spellEnd"/>
      <w:r>
        <w:t xml:space="preserve"> </w:t>
      </w:r>
      <w:proofErr w:type="spellStart"/>
      <w:r>
        <w:t>kompensations</w:t>
      </w:r>
      <w:proofErr w:type="spellEnd"/>
      <w:r>
        <w:t xml:space="preserve"> grad)</w:t>
      </w:r>
      <w:commentRangeEnd w:id="11"/>
      <w:r>
        <w:rPr>
          <w:rStyle w:val="Kommentarhenvisning"/>
        </w:rPr>
        <w:commentReference w:id="11"/>
      </w:r>
    </w:p>
    <w:p w14:paraId="35990D21" w14:textId="7E99BDC9" w:rsidR="00FF0793" w:rsidRDefault="003D314F" w:rsidP="003C249F">
      <w:r>
        <w:t>(</w:t>
      </w:r>
      <w:commentRangeStart w:id="12"/>
      <w:proofErr w:type="spellStart"/>
      <w:proofErr w:type="gramStart"/>
      <w:r>
        <w:t>xyz</w:t>
      </w:r>
      <w:commentRangeEnd w:id="12"/>
      <w:proofErr w:type="spellEnd"/>
      <w:proofErr w:type="gramEnd"/>
      <w:r>
        <w:rPr>
          <w:rStyle w:val="Kommentarhenvisning"/>
        </w:rPr>
        <w:commentReference w:id="12"/>
      </w:r>
      <w:r>
        <w:t>) argues that the effects (explained above) used to estimating the costs of an increase in the level of income insurance is miss leading. Especially they argue that (</w:t>
      </w:r>
      <w:commentRangeStart w:id="13"/>
      <w:proofErr w:type="spellStart"/>
      <w:r>
        <w:t>xyz</w:t>
      </w:r>
      <w:commentRangeEnd w:id="13"/>
      <w:proofErr w:type="spellEnd"/>
      <w:r>
        <w:rPr>
          <w:rStyle w:val="Kommentarhenvisning"/>
        </w:rPr>
        <w:commentReference w:id="13"/>
      </w:r>
      <w:r>
        <w:t xml:space="preserve">) is overstating the </w:t>
      </w:r>
      <w:r w:rsidR="00A31D25">
        <w:t xml:space="preserve">approach effects, stating that increasing the income insurance increases the approach towards unemployment for those employed. </w:t>
      </w:r>
    </w:p>
    <w:p w14:paraId="6B12D003" w14:textId="43D170EF" w:rsidR="00A31D25" w:rsidRDefault="00A31D25" w:rsidP="003C249F">
      <w:r>
        <w:t>Another point is that the level of income insurance also effects the ratio of workers being member of income insurance. This will lead to higher requirements towards termination notices</w:t>
      </w:r>
      <w:r w:rsidR="00033142">
        <w:t xml:space="preserve"> which in the long run would undermine the Danish flexicurity model.</w:t>
      </w:r>
      <w:r w:rsidR="00DB01F2">
        <w:t xml:space="preserve"> This effect is left out in (</w:t>
      </w:r>
      <w:proofErr w:type="spellStart"/>
      <w:r w:rsidR="00DB01F2">
        <w:t>xyz</w:t>
      </w:r>
      <w:proofErr w:type="spellEnd"/>
      <w:r w:rsidR="00DB01F2">
        <w:t xml:space="preserve">) where the effect will be that some workers (mostly the once with the lowest change of unemployment) will be quitting their membership increasing the need for financing the expenses for income insurance from the </w:t>
      </w:r>
      <w:r w:rsidR="00E30322">
        <w:t>taxpayers</w:t>
      </w:r>
      <w:r w:rsidR="00DB01F2">
        <w:t xml:space="preserve">. </w:t>
      </w:r>
    </w:p>
    <w:p w14:paraId="54E65292" w14:textId="69CEF88C" w:rsidR="00E30322" w:rsidRDefault="00E30322" w:rsidP="003C249F">
      <w:commentRangeStart w:id="14"/>
      <w:proofErr w:type="spellStart"/>
      <w:r>
        <w:t>Måske</w:t>
      </w:r>
      <w:proofErr w:type="spellEnd"/>
      <w:r>
        <w:t xml:space="preserve"> </w:t>
      </w:r>
      <w:proofErr w:type="spellStart"/>
      <w:r>
        <w:t>bruge</w:t>
      </w:r>
      <w:proofErr w:type="spellEnd"/>
      <w:r>
        <w:t xml:space="preserve"> </w:t>
      </w:r>
      <w:proofErr w:type="spellStart"/>
      <w:r>
        <w:t>deres</w:t>
      </w:r>
      <w:proofErr w:type="spellEnd"/>
      <w:r>
        <w:t xml:space="preserve"> </w:t>
      </w:r>
      <w:proofErr w:type="spellStart"/>
      <w:r>
        <w:t>forklaring</w:t>
      </w:r>
      <w:proofErr w:type="spellEnd"/>
      <w:r>
        <w:t xml:space="preserve"> med </w:t>
      </w:r>
      <w:proofErr w:type="spellStart"/>
      <w:r>
        <w:t>andelen</w:t>
      </w:r>
      <w:proofErr w:type="spellEnd"/>
      <w:r>
        <w:t xml:space="preserve"> </w:t>
      </w:r>
      <w:proofErr w:type="spellStart"/>
      <w:r>
        <w:t>af</w:t>
      </w:r>
      <w:proofErr w:type="spellEnd"/>
      <w:r>
        <w:t xml:space="preserve"> </w:t>
      </w:r>
      <w:proofErr w:type="spellStart"/>
      <w:r>
        <w:t>omkostninger</w:t>
      </w:r>
      <w:proofErr w:type="spellEnd"/>
      <w:r>
        <w:t xml:space="preserve"> der </w:t>
      </w:r>
      <w:proofErr w:type="spellStart"/>
      <w:r>
        <w:t>opstår</w:t>
      </w:r>
      <w:proofErr w:type="spellEnd"/>
      <w:r>
        <w:t xml:space="preserve"> </w:t>
      </w:r>
      <w:proofErr w:type="spellStart"/>
      <w:r>
        <w:t>grundet</w:t>
      </w:r>
      <w:proofErr w:type="spellEnd"/>
      <w:r>
        <w:t xml:space="preserve"> </w:t>
      </w:r>
      <w:proofErr w:type="spellStart"/>
      <w:r>
        <w:t>adfærdsændringer</w:t>
      </w:r>
      <w:proofErr w:type="spellEnd"/>
      <w:r>
        <w:t xml:space="preserve">, </w:t>
      </w:r>
      <w:proofErr w:type="spellStart"/>
      <w:r>
        <w:t>og</w:t>
      </w:r>
      <w:proofErr w:type="spellEnd"/>
      <w:r>
        <w:t xml:space="preserve"> den del der er </w:t>
      </w:r>
      <w:proofErr w:type="spellStart"/>
      <w:r>
        <w:t>provenue</w:t>
      </w:r>
      <w:proofErr w:type="spellEnd"/>
      <w:r>
        <w:t xml:space="preserve">. </w:t>
      </w:r>
      <w:commentRangeEnd w:id="14"/>
      <w:r>
        <w:rPr>
          <w:rStyle w:val="Kommentarhenvisning"/>
        </w:rPr>
        <w:commentReference w:id="14"/>
      </w:r>
    </w:p>
    <w:p w14:paraId="00C2922A" w14:textId="77777777" w:rsidR="00E30322" w:rsidRPr="009029C0" w:rsidRDefault="00E3032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lastRenderedPageBreak/>
        <w:t xml:space="preserve">Labor market </w:t>
      </w:r>
      <w:r w:rsidR="006B0059">
        <w:t>equations</w:t>
      </w:r>
    </w:p>
    <w:p w14:paraId="391A9832" w14:textId="4C4D8D61" w:rsidR="00DE16C7" w:rsidRDefault="00DE16C7" w:rsidP="006B0059"/>
    <w:p w14:paraId="477B5D2E" w14:textId="695DAC95" w:rsidR="000F0B47" w:rsidRDefault="00DE16C7" w:rsidP="008A606E">
      <w:pPr>
        <w:spacing w:line="360" w:lineRule="auto"/>
      </w:pPr>
      <w:r w:rsidRPr="00502AC7">
        <w:rPr>
          <w:highlight w:val="yellow"/>
        </w:rPr>
        <w:t>One of the key variables in the labor market is the participation rate, showing the ratio of the population being in the labor force</w:t>
      </w:r>
      <w:r w:rsidR="00E14C64" w:rsidRPr="00502AC7">
        <w:rPr>
          <w:highlight w:val="yellow"/>
        </w:rPr>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502AC7">
        <w:rPr>
          <w:highlight w:val="yellow"/>
        </w:rPr>
        <w:t>used explainers is the generosity of benefits for being outside the labor force compared with the wage (</w:t>
      </w:r>
      <w:proofErr w:type="spellStart"/>
      <w:r w:rsidR="00504BF2" w:rsidRPr="00502AC7">
        <w:rPr>
          <w:highlight w:val="yellow"/>
        </w:rPr>
        <w:t>xyz</w:t>
      </w:r>
      <w:proofErr w:type="spellEnd"/>
      <w:r w:rsidR="00504BF2" w:rsidRPr="00502AC7">
        <w:rPr>
          <w:highlight w:val="yellow"/>
        </w:rPr>
        <w:t>). (</w:t>
      </w:r>
      <w:proofErr w:type="spellStart"/>
      <w:r w:rsidR="00504BF2" w:rsidRPr="00502AC7">
        <w:rPr>
          <w:highlight w:val="yellow"/>
        </w:rPr>
        <w:t>xyz</w:t>
      </w:r>
      <w:proofErr w:type="spellEnd"/>
      <w:r w:rsidR="00504BF2" w:rsidRPr="00502AC7">
        <w:rPr>
          <w:highlight w:val="yellow"/>
        </w:rPr>
        <w:t xml:space="preserve">) also use the employment rate and argues that a raise in the employment rate would have brought some from standing outside the labor force to join it. As will be seen in the 2. Scenario </w:t>
      </w:r>
      <w:r w:rsidR="008A606E" w:rsidRPr="00502AC7">
        <w:rPr>
          <w:highlight w:val="yellow"/>
        </w:rPr>
        <w:t>these explainers are used to endogenizing the participation rate and thereby creating a new channel for changes in the maximum level of income insurance through a compensation rate.</w:t>
      </w:r>
      <w:r w:rsidR="008A606E">
        <w:t xml:space="preserve">  </w:t>
      </w:r>
    </w:p>
    <w:p w14:paraId="5E6FB62B" w14:textId="24EBCED0" w:rsidR="002B7C95" w:rsidRDefault="00E37596" w:rsidP="00362402">
      <w:pPr>
        <w:spacing w:line="360" w:lineRule="auto"/>
      </w:pPr>
      <w:r w:rsidRPr="00502AC7">
        <w:rPr>
          <w:highlight w:val="yellow"/>
        </w:rPr>
        <w:t xml:space="preserve">The compensation rate </w:t>
      </w:r>
      <w:r w:rsidR="008A606E" w:rsidRPr="00502AC7">
        <w:rPr>
          <w:highlight w:val="yellow"/>
        </w:rPr>
        <w:t xml:space="preserve">later </w:t>
      </w:r>
      <w:r w:rsidRPr="00502AC7">
        <w:rPr>
          <w:highlight w:val="yellow"/>
        </w:rPr>
        <w:t xml:space="preserve">included in the equation for participation </w:t>
      </w:r>
      <w:r w:rsidR="000F0B47" w:rsidRPr="00502AC7">
        <w:rPr>
          <w:highlight w:val="yellow"/>
        </w:rPr>
        <w:t>appear</w:t>
      </w:r>
      <w:r w:rsidR="00C24122" w:rsidRPr="00502AC7">
        <w:rPr>
          <w:highlight w:val="yellow"/>
        </w:rPr>
        <w:t>s</w:t>
      </w:r>
      <w:r w:rsidR="000F0B47" w:rsidRPr="00502AC7">
        <w:rPr>
          <w:highlight w:val="yellow"/>
        </w:rPr>
        <w:t xml:space="preserve"> as an</w:t>
      </w:r>
      <w:r w:rsidRPr="00502AC7">
        <w:rPr>
          <w:highlight w:val="yellow"/>
        </w:rPr>
        <w:t xml:space="preserve"> endogenous</w:t>
      </w:r>
      <w:r w:rsidR="000F0B47" w:rsidRPr="00502AC7">
        <w:rPr>
          <w:highlight w:val="yellow"/>
        </w:rPr>
        <w:t xml:space="preserve"> </w:t>
      </w:r>
      <w:r w:rsidR="002B7C95" w:rsidRPr="00502AC7">
        <w:rPr>
          <w:highlight w:val="yellow"/>
        </w:rPr>
        <w:t>variable in</w:t>
      </w:r>
      <w:r w:rsidRPr="00502AC7">
        <w:rPr>
          <w:highlight w:val="yellow"/>
        </w:rPr>
        <w:t xml:space="preserve"> the model</w:t>
      </w:r>
      <w:r w:rsidR="000F0B47" w:rsidRPr="00502AC7">
        <w:rPr>
          <w:highlight w:val="yellow"/>
        </w:rPr>
        <w:t xml:space="preserve"> </w:t>
      </w:r>
      <w:r w:rsidR="00C24122" w:rsidRPr="00502AC7">
        <w:rPr>
          <w:highlight w:val="yellow"/>
        </w:rPr>
        <w:t>e</w:t>
      </w:r>
      <w:r w:rsidR="000F0B47" w:rsidRPr="00502AC7">
        <w:rPr>
          <w:highlight w:val="yellow"/>
        </w:rPr>
        <w:t xml:space="preserve">stimated as the fraction of the </w:t>
      </w:r>
      <w:r w:rsidR="007A3DA7" w:rsidRPr="00502AC7">
        <w:rPr>
          <w:highlight w:val="yellow"/>
        </w:rPr>
        <w:t>average amount a</w:t>
      </w:r>
      <w:r w:rsidR="002B7C95" w:rsidRPr="00502AC7">
        <w:rPr>
          <w:highlight w:val="yellow"/>
        </w:rPr>
        <w:t>n unemployed on income insurance would receive (</w:t>
      </w:r>
      <w:proofErr w:type="spellStart"/>
      <w:r w:rsidR="002B7C95" w:rsidRPr="00502AC7">
        <w:rPr>
          <w:highlight w:val="yellow"/>
        </w:rPr>
        <w:t>dp_person</w:t>
      </w:r>
      <w:proofErr w:type="spellEnd"/>
      <w:r w:rsidR="002B7C95" w:rsidRPr="00502AC7">
        <w:rPr>
          <w:highlight w:val="yellow"/>
        </w:rPr>
        <w:t xml:space="preserve">), </w:t>
      </w:r>
      <w:r w:rsidR="007A3DA7" w:rsidRPr="00502AC7">
        <w:rPr>
          <w:highlight w:val="yellow"/>
        </w:rPr>
        <w:t>to the average wage</w:t>
      </w:r>
      <w:r w:rsidR="002B7C95" w:rsidRPr="00502AC7">
        <w:rPr>
          <w:highlight w:val="yellow"/>
        </w:rPr>
        <w:t xml:space="preserve"> received</w:t>
      </w:r>
      <w:r w:rsidR="007A3DA7" w:rsidRPr="00502AC7">
        <w:rPr>
          <w:highlight w:val="yellow"/>
        </w:rPr>
        <w:t xml:space="preserve"> </w:t>
      </w:r>
      <w:r w:rsidR="002B7C95" w:rsidRPr="00502AC7">
        <w:rPr>
          <w:highlight w:val="yellow"/>
        </w:rPr>
        <w:t>given employment</w:t>
      </w:r>
      <w:r w:rsidR="00C24122" w:rsidRPr="00502AC7">
        <w:rPr>
          <w:highlight w:val="yellow"/>
        </w:rPr>
        <w:t xml:space="preserve"> (</w:t>
      </w:r>
      <w:proofErr w:type="spellStart"/>
      <w:r w:rsidR="00C24122" w:rsidRPr="00502AC7">
        <w:rPr>
          <w:highlight w:val="yellow"/>
        </w:rPr>
        <w:t>wage_trim</w:t>
      </w:r>
      <w:proofErr w:type="spellEnd"/>
      <w:r w:rsidR="00C24122" w:rsidRPr="00502AC7">
        <w:rPr>
          <w:highlight w:val="yellow"/>
        </w:rPr>
        <w:t>)</w:t>
      </w:r>
      <w:r w:rsidR="007A3DA7" w:rsidRPr="00502AC7">
        <w:rPr>
          <w:highlight w:val="yellow"/>
        </w:rPr>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581025"/>
                    </a:xfrm>
                    <a:prstGeom prst="rect">
                      <a:avLst/>
                    </a:prstGeom>
                  </pic:spPr>
                </pic:pic>
              </a:graphicData>
            </a:graphic>
          </wp:inline>
        </w:drawing>
      </w:r>
    </w:p>
    <w:p w14:paraId="236CC6C5" w14:textId="43789152" w:rsidR="00C5121C" w:rsidRPr="00616FAC" w:rsidRDefault="002B7C95" w:rsidP="00620D69">
      <w:pPr>
        <w:spacing w:line="360" w:lineRule="auto"/>
      </w:pPr>
      <w:r w:rsidRPr="00502AC7">
        <w:rPr>
          <w:highlight w:val="yellow"/>
        </w:rPr>
        <w:t>T</w:t>
      </w:r>
      <w:r w:rsidR="003204AC" w:rsidRPr="00502AC7">
        <w:rPr>
          <w:highlight w:val="yellow"/>
        </w:rPr>
        <w:t xml:space="preserve">o calculate </w:t>
      </w:r>
      <w:proofErr w:type="spellStart"/>
      <w:r w:rsidR="003204AC" w:rsidRPr="00502AC7">
        <w:rPr>
          <w:highlight w:val="yellow"/>
        </w:rPr>
        <w:t>dp_person</w:t>
      </w:r>
      <w:proofErr w:type="spellEnd"/>
      <w:r w:rsidR="003204AC" w:rsidRPr="00502AC7">
        <w:rPr>
          <w:highlight w:val="yellow"/>
        </w:rPr>
        <w:t xml:space="preserve"> we use a </w:t>
      </w:r>
      <w:r w:rsidR="00175E58" w:rsidRPr="00502AC7">
        <w:rPr>
          <w:highlight w:val="yellow"/>
        </w:rPr>
        <w:t xml:space="preserve">simple </w:t>
      </w:r>
      <w:proofErr w:type="spellStart"/>
      <w:r w:rsidR="00175E58" w:rsidRPr="00502AC7">
        <w:rPr>
          <w:highlight w:val="yellow"/>
        </w:rPr>
        <w:t>ols</w:t>
      </w:r>
      <w:proofErr w:type="spellEnd"/>
      <w:r w:rsidR="00175E58" w:rsidRPr="00502AC7">
        <w:rPr>
          <w:highlight w:val="yellow"/>
        </w:rPr>
        <w:t xml:space="preserve"> </w:t>
      </w:r>
      <w:r w:rsidR="003204AC" w:rsidRPr="00502AC7">
        <w:rPr>
          <w:highlight w:val="yellow"/>
        </w:rPr>
        <w:t xml:space="preserve">regression linking the maximum level of income insurance to the average benefits received by unemployed eligible for income insurance. This is done as an alternative </w:t>
      </w:r>
      <w:r w:rsidR="00C24122" w:rsidRPr="00502AC7">
        <w:rPr>
          <w:highlight w:val="yellow"/>
        </w:rPr>
        <w:t>of</w:t>
      </w:r>
      <w:r w:rsidR="003204AC" w:rsidRPr="00502AC7">
        <w:rPr>
          <w:highlight w:val="yellow"/>
        </w:rPr>
        <w:t xml:space="preserve"> </w:t>
      </w:r>
      <w:r w:rsidR="009457AA" w:rsidRPr="00502AC7">
        <w:rPr>
          <w:highlight w:val="yellow"/>
        </w:rPr>
        <w:t xml:space="preserve">using aggregated data of benefits received by households, as the </w:t>
      </w:r>
      <w:r w:rsidR="00C5121C" w:rsidRPr="00502AC7">
        <w:rPr>
          <w:highlight w:val="yellow"/>
        </w:rPr>
        <w:t>gap</w:t>
      </w:r>
      <w:r w:rsidR="009457AA" w:rsidRPr="00502AC7">
        <w:rPr>
          <w:highlight w:val="yellow"/>
        </w:rPr>
        <w:t xml:space="preserve"> between observed unemployment and estimated unemployment in the model is large</w:t>
      </w:r>
      <w:r w:rsidR="00945EB8" w:rsidRPr="00502AC7">
        <w:rPr>
          <w:highlight w:val="yellow"/>
        </w:rPr>
        <w:t>,</w:t>
      </w:r>
      <w:r w:rsidR="009457AA" w:rsidRPr="00502AC7">
        <w:rPr>
          <w:highlight w:val="yellow"/>
        </w:rPr>
        <w:t xml:space="preserve"> </w:t>
      </w:r>
      <w:r w:rsidR="00C24122" w:rsidRPr="00502AC7">
        <w:rPr>
          <w:highlight w:val="yellow"/>
        </w:rPr>
        <w:t>c</w:t>
      </w:r>
      <w:r w:rsidR="009457AA" w:rsidRPr="00502AC7">
        <w:rPr>
          <w:highlight w:val="yellow"/>
        </w:rPr>
        <w:t xml:space="preserve">reating a lower average of benefits received. </w:t>
      </w:r>
      <w:r w:rsidR="00945EB8" w:rsidRPr="00502AC7">
        <w:rPr>
          <w:highlight w:val="yellow"/>
        </w:rPr>
        <w:t>We also prefer t</w:t>
      </w:r>
      <w:r w:rsidR="000B3321" w:rsidRPr="00502AC7">
        <w:rPr>
          <w:highlight w:val="yellow"/>
        </w:rPr>
        <w:t>he regression as we</w:t>
      </w:r>
      <w:r w:rsidR="009457AA" w:rsidRPr="00502AC7">
        <w:rPr>
          <w:highlight w:val="yellow"/>
        </w:rPr>
        <w:t xml:space="preserve"> </w:t>
      </w:r>
      <w:r w:rsidR="00E45206" w:rsidRPr="00502AC7">
        <w:rPr>
          <w:highlight w:val="yellow"/>
        </w:rPr>
        <w:t>can</w:t>
      </w:r>
      <w:r w:rsidR="00945EB8" w:rsidRPr="00502AC7">
        <w:rPr>
          <w:highlight w:val="yellow"/>
        </w:rPr>
        <w:t xml:space="preserve"> </w:t>
      </w:r>
      <w:r w:rsidR="009457AA" w:rsidRPr="00502AC7">
        <w:rPr>
          <w:highlight w:val="yellow"/>
        </w:rPr>
        <w:t xml:space="preserve">capture the direct effect of an increased </w:t>
      </w:r>
      <w:r w:rsidR="002E7386" w:rsidRPr="00502AC7">
        <w:rPr>
          <w:highlight w:val="yellow"/>
        </w:rPr>
        <w:t>level of maximum income insurance</w:t>
      </w:r>
      <w:r w:rsidR="00945EB8" w:rsidRPr="00502AC7">
        <w:rPr>
          <w:highlight w:val="yellow"/>
        </w:rPr>
        <w:t xml:space="preserve"> but at the same </w:t>
      </w:r>
      <w:r w:rsidR="00620D69" w:rsidRPr="00502AC7">
        <w:rPr>
          <w:highlight w:val="yellow"/>
        </w:rPr>
        <w:t>time,</w:t>
      </w:r>
      <w:r w:rsidR="00945EB8" w:rsidRPr="00502AC7">
        <w:rPr>
          <w:highlight w:val="yellow"/>
        </w:rPr>
        <w:t xml:space="preserve"> we know that only around 85% eligible for income insurance receive the maximum level meaning that the increase for the </w:t>
      </w:r>
      <w:r w:rsidR="00620D69" w:rsidRPr="00502AC7">
        <w:rPr>
          <w:highlight w:val="yellow"/>
        </w:rPr>
        <w:t xml:space="preserve">people not getting the maximum level would be </w:t>
      </w:r>
      <w:commentRangeStart w:id="15"/>
      <w:r w:rsidR="00620D69" w:rsidRPr="00502AC7">
        <w:rPr>
          <w:highlight w:val="yellow"/>
        </w:rPr>
        <w:t>less</w:t>
      </w:r>
      <w:commentRangeEnd w:id="15"/>
      <w:r w:rsidR="00620D69" w:rsidRPr="00502AC7">
        <w:rPr>
          <w:rStyle w:val="Kommentarhenvisning"/>
          <w:highlight w:val="yellow"/>
        </w:rPr>
        <w:commentReference w:id="15"/>
      </w:r>
      <w:r w:rsidR="00620D69" w:rsidRPr="00502AC7">
        <w:rPr>
          <w:highlight w:val="yellow"/>
        </w:rPr>
        <w:t xml:space="preserve">. For this reason, we know that the coefficient should be between 0.85 and 1, and most </w:t>
      </w:r>
      <w:commentRangeStart w:id="16"/>
      <w:r w:rsidR="00620D69" w:rsidRPr="00502AC7">
        <w:rPr>
          <w:highlight w:val="yellow"/>
        </w:rPr>
        <w:t xml:space="preserve">likely closest to 1. </w:t>
      </w:r>
      <w:commentRangeEnd w:id="16"/>
      <w:r w:rsidR="00620D69" w:rsidRPr="00502AC7">
        <w:rPr>
          <w:rStyle w:val="Kommentarhenvisning"/>
          <w:highlight w:val="yellow"/>
        </w:rPr>
        <w:commentReference w:id="16"/>
      </w:r>
      <w:r w:rsidR="00620D69" w:rsidRPr="00502AC7">
        <w:rPr>
          <w:highlight w:val="yellow"/>
        </w:rPr>
        <w:t>This is also observed as the coefficient estimated is 0.9507</w:t>
      </w:r>
      <w:r w:rsidR="00620D69" w:rsidRPr="00616FAC">
        <w:rPr>
          <w:highlight w:val="yellow"/>
        </w:rPr>
        <w:t xml:space="preserve">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2"/>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17"/>
      <w:r>
        <w:t>person</w:t>
      </w:r>
      <w:commentRangeEnd w:id="17"/>
      <w:proofErr w:type="spellEnd"/>
      <w:r w:rsidR="00C56F57">
        <w:rPr>
          <w:rStyle w:val="Kommentarhenvisning"/>
        </w:rPr>
        <w:commentReference w:id="17"/>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 xml:space="preserve">and stay fixed for the rest of the year. In the baseline </w:t>
      </w:r>
      <w:r w:rsidR="00C04215">
        <w:lastRenderedPageBreak/>
        <w:t>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3"/>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4"/>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5"/>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18"/>
      <w:r>
        <w:t xml:space="preserve"> </w:t>
      </w:r>
      <w:r w:rsidR="00C12A03">
        <w:t>short run</w:t>
      </w:r>
      <w:r>
        <w:t xml:space="preserve">. </w:t>
      </w:r>
      <w:commentRangeEnd w:id="18"/>
      <w:r w:rsidR="00C12A03">
        <w:rPr>
          <w:rStyle w:val="Kommentarhenvisning"/>
        </w:rPr>
        <w:commentReference w:id="18"/>
      </w:r>
    </w:p>
    <w:p w14:paraId="274DADAE" w14:textId="005A9DA6" w:rsidR="00362402"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lastRenderedPageBreak/>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19"/>
      <w:proofErr w:type="spellStart"/>
      <w:r w:rsidR="005F6ED0">
        <w:t>wage</w:t>
      </w:r>
      <w:commentRangeEnd w:id="19"/>
      <w:r w:rsidR="00150DB5">
        <w:rPr>
          <w:rStyle w:val="Kommentarhenvisning"/>
        </w:rPr>
        <w:commentReference w:id="19"/>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20"/>
      <w:r w:rsidR="000B6CD9">
        <w:t>figure below</w:t>
      </w:r>
      <w:commentRangeEnd w:id="20"/>
      <w:r w:rsidR="00823A0C">
        <w:rPr>
          <w:rStyle w:val="Kommentarhenvisning"/>
        </w:rPr>
        <w:commentReference w:id="20"/>
      </w:r>
      <w:r w:rsidR="001C4C18">
        <w:t xml:space="preserve">. </w:t>
      </w:r>
    </w:p>
    <w:p w14:paraId="2B922DD6" w14:textId="043496BB" w:rsidR="000B6CD9" w:rsidRDefault="001C4C18" w:rsidP="000B6CD9">
      <w:pPr>
        <w:spacing w:line="360" w:lineRule="auto"/>
      </w:pPr>
      <w:commentRangeStart w:id="21"/>
      <w:commentRangeStart w:id="22"/>
      <w:r>
        <w:t xml:space="preserve">We can see a difference in the trend of the two variables, where the participation rate of the population being younger than 65 years slopes upwards. </w:t>
      </w:r>
      <w:commentRangeEnd w:id="21"/>
      <w:r>
        <w:rPr>
          <w:rStyle w:val="Kommentarhenvisning"/>
        </w:rPr>
        <w:commentReference w:id="21"/>
      </w:r>
      <w:commentRangeEnd w:id="22"/>
      <w:r w:rsidR="006909D0">
        <w:rPr>
          <w:rStyle w:val="Kommentarhenvisning"/>
        </w:rPr>
        <w:commentReference w:id="22"/>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23"/>
      <w:r w:rsidR="00956BF1">
        <w:t xml:space="preserve">The intuition is that people would rather stay in the labor force the higher the income insurance is compared to benefits when not searching for a job  </w:t>
      </w:r>
      <w:r w:rsidR="00662F9B">
        <w:t xml:space="preserve">  </w:t>
      </w:r>
      <w:commentRangeEnd w:id="23"/>
      <w:r w:rsidR="008C621B">
        <w:rPr>
          <w:rStyle w:val="Kommentarhenvisning"/>
        </w:rPr>
        <w:commentReference w:id="23"/>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24"/>
      <w:r w:rsidR="00B73DDB">
        <w:t xml:space="preserve">We observe that the </w:t>
      </w:r>
      <w:r w:rsidR="005A3748">
        <w:t xml:space="preserve">participation rate increases, as more people are actively searching for jobs when the level of income insurance is larger. </w:t>
      </w:r>
      <w:commentRangeEnd w:id="24"/>
      <w:r w:rsidR="005A3748">
        <w:rPr>
          <w:rStyle w:val="Kommentarhenvisning"/>
        </w:rPr>
        <w:commentReference w:id="24"/>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5"/>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6"/>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20T12:09:00Z" w:initials="ST">
    <w:p w14:paraId="18EB4F1D" w14:textId="77777777" w:rsidR="009C7D76" w:rsidRDefault="009C7D76" w:rsidP="00730B53">
      <w:pPr>
        <w:pStyle w:val="Kommentartekst"/>
      </w:pPr>
      <w:r>
        <w:rPr>
          <w:rStyle w:val="Kommentarhenvisning"/>
        </w:rPr>
        <w:annotationRef/>
      </w:r>
      <w:r>
        <w:t>Meget kort om dagpenge systemet</w:t>
      </w:r>
    </w:p>
  </w:comment>
  <w:comment w:id="1" w:author="Simon Thomsen" w:date="2022-09-11T11:09:00Z" w:initials="ST">
    <w:p w14:paraId="1B6FFDD1" w14:textId="48320481" w:rsidR="00843391" w:rsidRDefault="00843391" w:rsidP="008C191C">
      <w:pPr>
        <w:pStyle w:val="Kommentartekst"/>
      </w:pPr>
      <w:r>
        <w:rPr>
          <w:rStyle w:val="Kommentarhenvisning"/>
        </w:rPr>
        <w:annotationRef/>
      </w:r>
      <w:r>
        <w:t>Måske bare tage til 2018, da de vist bare tager den værdi for 19 og 20</w:t>
      </w:r>
    </w:p>
  </w:comment>
  <w:comment w:id="2"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3" w:author="Simon Thomsen" w:date="2022-09-17T18:09:00Z" w:initials="ST">
    <w:p w14:paraId="4AF2F03D" w14:textId="77777777" w:rsidR="007173E7" w:rsidRDefault="007173E7" w:rsidP="00FD7498">
      <w:pPr>
        <w:pStyle w:val="Kommentartekst"/>
      </w:pPr>
      <w:r>
        <w:rPr>
          <w:rStyle w:val="Kommentarhenvisning"/>
        </w:rPr>
        <w:annotationRef/>
      </w:r>
      <w:r>
        <w:t>Måske skrive kort om dagpengereformen her--&lt; men skrive vi ik kommer ind på denne_?</w:t>
      </w:r>
    </w:p>
  </w:comment>
  <w:comment w:id="4" w:author="Simon Thomsen" w:date="2022-09-17T18:10:00Z" w:initials="ST">
    <w:p w14:paraId="4EF3BAD7" w14:textId="77777777" w:rsidR="007173E7" w:rsidRDefault="007173E7" w:rsidP="00060F4A">
      <w:pPr>
        <w:pStyle w:val="Kommentartekst"/>
      </w:pPr>
      <w:r>
        <w:rPr>
          <w:rStyle w:val="Kommentarhenvisning"/>
        </w:rPr>
        <w:annotationRef/>
      </w:r>
      <w:r>
        <w:t xml:space="preserve">Når det er perioden vil det vel påvirke anderledes --&gt; fx på wage osv. </w:t>
      </w:r>
    </w:p>
  </w:comment>
  <w:comment w:id="5" w:author="Simon Thomsen" w:date="2022-09-17T18:11:00Z" w:initials="ST">
    <w:p w14:paraId="6C9DFC82" w14:textId="77777777" w:rsidR="007173E7" w:rsidRDefault="007173E7" w:rsidP="00417917">
      <w:pPr>
        <w:pStyle w:val="Kommentartekst"/>
      </w:pPr>
      <w:r>
        <w:rPr>
          <w:rStyle w:val="Kommentarhenvisning"/>
        </w:rPr>
        <w:annotationRef/>
      </w:r>
      <w:r>
        <w:t>Også kort nævne dette</w:t>
      </w:r>
    </w:p>
  </w:comment>
  <w:comment w:id="6" w:author="Simon Fløj Thomsen" w:date="2022-09-13T14:53:00Z" w:initials="SFT">
    <w:p w14:paraId="0567F0CD" w14:textId="1A2BEC2C" w:rsidR="00457851" w:rsidRDefault="00457851" w:rsidP="00276D4D">
      <w:pPr>
        <w:pStyle w:val="Kommentartekst"/>
      </w:pPr>
      <w:r>
        <w:rPr>
          <w:rStyle w:val="Kommentarhenvisning"/>
        </w:rPr>
        <w:annotationRef/>
      </w:r>
      <w:r>
        <w:t>Skal opdateres</w:t>
      </w:r>
    </w:p>
  </w:comment>
  <w:comment w:id="7" w:author="Simon Thomsen" w:date="2022-09-19T07:54:00Z" w:initials="ST">
    <w:p w14:paraId="0807F23F" w14:textId="77777777" w:rsidR="002E48B7" w:rsidRDefault="002E48B7" w:rsidP="006866F0">
      <w:pPr>
        <w:pStyle w:val="Kommentartekst"/>
      </w:pPr>
      <w:r>
        <w:rPr>
          <w:rStyle w:val="Kommentarhenvisning"/>
        </w:rPr>
        <w:annotationRef/>
      </w:r>
      <w:r>
        <w:t>LO, FOH</w:t>
      </w:r>
    </w:p>
  </w:comment>
  <w:comment w:id="8" w:author="Simon Thomsen" w:date="2022-09-19T08:32:00Z" w:initials="ST">
    <w:p w14:paraId="117C1293" w14:textId="77777777" w:rsidR="002103A8" w:rsidRDefault="002103A8" w:rsidP="007E7B2B">
      <w:pPr>
        <w:pStyle w:val="Kommentartekst"/>
      </w:pPr>
      <w:r>
        <w:rPr>
          <w:rStyle w:val="Kommentarhenvisning"/>
        </w:rPr>
        <w:annotationRef/>
      </w:r>
      <w:r>
        <w:t>Modargument er hvis lavere pension skal jeg spare mere op nu</w:t>
      </w:r>
    </w:p>
  </w:comment>
  <w:comment w:id="9" w:author="Simon Thomsen" w:date="2022-09-19T10:08:00Z" w:initials="ST">
    <w:p w14:paraId="5F010704" w14:textId="77777777" w:rsidR="006B71D2" w:rsidRDefault="006B71D2" w:rsidP="007D6904">
      <w:pPr>
        <w:pStyle w:val="Kommentartekst"/>
      </w:pPr>
      <w:r>
        <w:rPr>
          <w:rStyle w:val="Kommentarhenvisning"/>
        </w:rPr>
        <w:annotationRef/>
      </w:r>
      <w:r>
        <w:t>FH</w:t>
      </w:r>
    </w:p>
  </w:comment>
  <w:comment w:id="10" w:author="Simon Thomsen" w:date="2022-09-20T10:50:00Z" w:initials="ST">
    <w:p w14:paraId="5C1D1105" w14:textId="77777777" w:rsidR="00D871AF" w:rsidRDefault="00D871AF" w:rsidP="00B439FE">
      <w:pPr>
        <w:pStyle w:val="Kommentartekst"/>
      </w:pPr>
      <w:r>
        <w:rPr>
          <w:rStyle w:val="Kommentarhenvisning"/>
        </w:rPr>
        <w:annotationRef/>
      </w:r>
      <w:r>
        <w:t>Dørs</w:t>
      </w:r>
    </w:p>
  </w:comment>
  <w:comment w:id="11" w:author="Simon Thomsen" w:date="2022-09-19T09:45:00Z" w:initials="ST">
    <w:p w14:paraId="31D9B5A4" w14:textId="44DEBBA3" w:rsidR="00367558" w:rsidRDefault="00367558" w:rsidP="006B1A2A">
      <w:pPr>
        <w:pStyle w:val="Kommentartekst"/>
      </w:pPr>
      <w:r>
        <w:rPr>
          <w:rStyle w:val="Kommentarhenvisning"/>
        </w:rPr>
        <w:annotationRef/>
      </w:r>
      <w:r>
        <w:t xml:space="preserve">Tilføj måske? Så der kommer noget teori også </w:t>
      </w:r>
    </w:p>
  </w:comment>
  <w:comment w:id="12" w:author="Simon Thomsen" w:date="2022-09-19T09:50:00Z" w:initials="ST">
    <w:p w14:paraId="7285D6F1" w14:textId="77777777" w:rsidR="003D314F" w:rsidRDefault="003D314F" w:rsidP="00AB2B93">
      <w:pPr>
        <w:pStyle w:val="Kommentartekst"/>
      </w:pPr>
      <w:r>
        <w:rPr>
          <w:rStyle w:val="Kommentarhenvisning"/>
        </w:rPr>
        <w:annotationRef/>
      </w:r>
      <w:r>
        <w:t>CEVEA</w:t>
      </w:r>
    </w:p>
  </w:comment>
  <w:comment w:id="13" w:author="Simon Thomsen" w:date="2022-09-19T09:53:00Z" w:initials="ST">
    <w:p w14:paraId="275D0E80" w14:textId="77777777" w:rsidR="003D314F" w:rsidRDefault="003D314F" w:rsidP="00506323">
      <w:pPr>
        <w:pStyle w:val="Kommentartekst"/>
      </w:pPr>
      <w:r>
        <w:rPr>
          <w:rStyle w:val="Kommentarhenvisning"/>
        </w:rPr>
        <w:annotationRef/>
      </w:r>
      <w:r>
        <w:t>Dagpenge komissionen</w:t>
      </w:r>
    </w:p>
  </w:comment>
  <w:comment w:id="14" w:author="Simon Thomsen" w:date="2022-09-19T10:33:00Z" w:initials="ST">
    <w:p w14:paraId="442205CD" w14:textId="77777777" w:rsidR="00E30322" w:rsidRDefault="00E30322" w:rsidP="009B6D12">
      <w:pPr>
        <w:pStyle w:val="Kommentartekst"/>
      </w:pPr>
      <w:r>
        <w:rPr>
          <w:rStyle w:val="Kommentarhenvisning"/>
        </w:rPr>
        <w:annotationRef/>
      </w:r>
      <w:r>
        <w:t>?</w:t>
      </w:r>
    </w:p>
  </w:comment>
  <w:comment w:id="15" w:author="Simon Thomsen" w:date="2022-09-15T19:28:00Z" w:initials="ST">
    <w:p w14:paraId="619FF186" w14:textId="7A9945DC" w:rsidR="00620D69" w:rsidRDefault="00620D69" w:rsidP="00A27384">
      <w:pPr>
        <w:pStyle w:val="Kommentartekst"/>
      </w:pPr>
      <w:r>
        <w:rPr>
          <w:rStyle w:val="Kommentarhenvisning"/>
        </w:rPr>
        <w:annotationRef/>
      </w:r>
      <w:r>
        <w:t>Måske fodnote og skrive fordi det er 90% af lønnen</w:t>
      </w:r>
    </w:p>
  </w:comment>
  <w:comment w:id="16"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17"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18" w:author="Simon Thomsen" w:date="2022-09-08T10:43:00Z" w:initials="ST">
    <w:p w14:paraId="66A88505" w14:textId="57880278" w:rsidR="00C12A03" w:rsidRDefault="00C12A03" w:rsidP="00337A5B">
      <w:pPr>
        <w:pStyle w:val="Kommentartekst"/>
      </w:pPr>
      <w:r>
        <w:rPr>
          <w:rStyle w:val="Kommentarhenvisning"/>
        </w:rPr>
        <w:annotationRef/>
      </w:r>
      <w:r>
        <w:t>Igen skrive værdier på estimater ind?</w:t>
      </w:r>
    </w:p>
  </w:comment>
  <w:comment w:id="19"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20"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21"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22"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23"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24"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B4F1D" w15:done="0"/>
  <w15:commentEx w15:paraId="1B6FFDD1" w15:done="0"/>
  <w15:commentEx w15:paraId="65CFCFB2" w15:done="0"/>
  <w15:commentEx w15:paraId="4AF2F03D" w15:done="0"/>
  <w15:commentEx w15:paraId="4EF3BAD7" w15:paraIdParent="4AF2F03D" w15:done="0"/>
  <w15:commentEx w15:paraId="6C9DFC82" w15:done="0"/>
  <w15:commentEx w15:paraId="0567F0CD" w15:done="0"/>
  <w15:commentEx w15:paraId="0807F23F" w15:done="0"/>
  <w15:commentEx w15:paraId="117C1293" w15:done="0"/>
  <w15:commentEx w15:paraId="5F010704" w15:done="0"/>
  <w15:commentEx w15:paraId="5C1D1105" w15:done="0"/>
  <w15:commentEx w15:paraId="31D9B5A4" w15:done="0"/>
  <w15:commentEx w15:paraId="7285D6F1" w15:done="0"/>
  <w15:commentEx w15:paraId="275D0E80" w15:done="0"/>
  <w15:commentEx w15:paraId="442205CD" w15:done="0"/>
  <w15:commentEx w15:paraId="619FF186" w15:done="0"/>
  <w15:commentEx w15:paraId="78E60BED" w15:done="0"/>
  <w15:commentEx w15:paraId="2932E631"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2BEE" w16cex:dateUtc="2022-09-20T10:09:00Z"/>
  <w16cex:commentExtensible w16cex:durableId="26C8407F" w16cex:dateUtc="2022-09-11T09:09:00Z"/>
  <w16cex:commentExtensible w16cex:durableId="26C84C72" w16cex:dateUtc="2022-09-11T10:00:00Z"/>
  <w16cex:commentExtensible w16cex:durableId="26D08BD6" w16cex:dateUtc="2022-09-17T16:09:00Z"/>
  <w16cex:commentExtensible w16cex:durableId="26D08C04" w16cex:dateUtc="2022-09-17T16:10:00Z"/>
  <w16cex:commentExtensible w16cex:durableId="26D08C58" w16cex:dateUtc="2022-09-17T16:11:00Z"/>
  <w16cex:commentExtensible w16cex:durableId="26CB17D5" w16cex:dateUtc="2022-09-13T12:53:00Z"/>
  <w16cex:commentExtensible w16cex:durableId="26D29EB5" w16cex:dateUtc="2022-09-19T05:54:00Z"/>
  <w16cex:commentExtensible w16cex:durableId="26D2A7A0" w16cex:dateUtc="2022-09-19T06:32:00Z"/>
  <w16cex:commentExtensible w16cex:durableId="26D2BE37" w16cex:dateUtc="2022-09-19T08:08:00Z"/>
  <w16cex:commentExtensible w16cex:durableId="26D41989" w16cex:dateUtc="2022-09-20T08:50:00Z"/>
  <w16cex:commentExtensible w16cex:durableId="26D2B8B1" w16cex:dateUtc="2022-09-19T07:45:00Z"/>
  <w16cex:commentExtensible w16cex:durableId="26D2B9DF" w16cex:dateUtc="2022-09-19T07:50:00Z"/>
  <w16cex:commentExtensible w16cex:durableId="26D2BAAE" w16cex:dateUtc="2022-09-19T07:53:00Z"/>
  <w16cex:commentExtensible w16cex:durableId="26D2C3DD" w16cex:dateUtc="2022-09-19T08:33: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B4F1D" w16cid:durableId="26D42BEE"/>
  <w16cid:commentId w16cid:paraId="1B6FFDD1" w16cid:durableId="26C8407F"/>
  <w16cid:commentId w16cid:paraId="65CFCFB2" w16cid:durableId="26C84C72"/>
  <w16cid:commentId w16cid:paraId="4AF2F03D" w16cid:durableId="26D08BD6"/>
  <w16cid:commentId w16cid:paraId="4EF3BAD7" w16cid:durableId="26D08C04"/>
  <w16cid:commentId w16cid:paraId="6C9DFC82" w16cid:durableId="26D08C58"/>
  <w16cid:commentId w16cid:paraId="0567F0CD" w16cid:durableId="26CB17D5"/>
  <w16cid:commentId w16cid:paraId="0807F23F" w16cid:durableId="26D29EB5"/>
  <w16cid:commentId w16cid:paraId="117C1293" w16cid:durableId="26D2A7A0"/>
  <w16cid:commentId w16cid:paraId="5F010704" w16cid:durableId="26D2BE37"/>
  <w16cid:commentId w16cid:paraId="5C1D1105" w16cid:durableId="26D41989"/>
  <w16cid:commentId w16cid:paraId="31D9B5A4" w16cid:durableId="26D2B8B1"/>
  <w16cid:commentId w16cid:paraId="7285D6F1" w16cid:durableId="26D2B9DF"/>
  <w16cid:commentId w16cid:paraId="275D0E80" w16cid:durableId="26D2BAAE"/>
  <w16cid:commentId w16cid:paraId="442205CD" w16cid:durableId="26D2C3DD"/>
  <w16cid:commentId w16cid:paraId="619FF186" w16cid:durableId="26CDFB55"/>
  <w16cid:commentId w16cid:paraId="78E60BED" w16cid:durableId="26CDFBC3"/>
  <w16cid:commentId w16cid:paraId="2932E631" w16cid:durableId="26D08762"/>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0435" w14:textId="77777777" w:rsidR="00414E39" w:rsidRDefault="00414E39" w:rsidP="005F6ED0">
      <w:pPr>
        <w:spacing w:after="0" w:line="240" w:lineRule="auto"/>
      </w:pPr>
      <w:r>
        <w:separator/>
      </w:r>
    </w:p>
  </w:endnote>
  <w:endnote w:type="continuationSeparator" w:id="0">
    <w:p w14:paraId="6177C6B8" w14:textId="77777777" w:rsidR="00414E39" w:rsidRDefault="00414E39"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5E1C0" w14:textId="77777777" w:rsidR="00414E39" w:rsidRDefault="00414E39" w:rsidP="005F6ED0">
      <w:pPr>
        <w:spacing w:after="0" w:line="240" w:lineRule="auto"/>
      </w:pPr>
      <w:r>
        <w:separator/>
      </w:r>
    </w:p>
  </w:footnote>
  <w:footnote w:type="continuationSeparator" w:id="0">
    <w:p w14:paraId="7EE7B1EC" w14:textId="77777777" w:rsidR="00414E39" w:rsidRDefault="00414E39" w:rsidP="005F6ED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26AE3"/>
    <w:rsid w:val="00033142"/>
    <w:rsid w:val="000360BB"/>
    <w:rsid w:val="0005620B"/>
    <w:rsid w:val="0006288F"/>
    <w:rsid w:val="00077A49"/>
    <w:rsid w:val="000804A7"/>
    <w:rsid w:val="00082E46"/>
    <w:rsid w:val="00093676"/>
    <w:rsid w:val="000B3321"/>
    <w:rsid w:val="000B6CD9"/>
    <w:rsid w:val="000F0B47"/>
    <w:rsid w:val="000F317D"/>
    <w:rsid w:val="00100B51"/>
    <w:rsid w:val="00103347"/>
    <w:rsid w:val="00105580"/>
    <w:rsid w:val="001271AB"/>
    <w:rsid w:val="001417FD"/>
    <w:rsid w:val="00150DB5"/>
    <w:rsid w:val="00162CBB"/>
    <w:rsid w:val="00175E58"/>
    <w:rsid w:val="001B3107"/>
    <w:rsid w:val="001C1D6F"/>
    <w:rsid w:val="001C4C18"/>
    <w:rsid w:val="001E3AAB"/>
    <w:rsid w:val="001E5F77"/>
    <w:rsid w:val="001F087E"/>
    <w:rsid w:val="001F2583"/>
    <w:rsid w:val="002103A8"/>
    <w:rsid w:val="00215694"/>
    <w:rsid w:val="002248A4"/>
    <w:rsid w:val="00247E37"/>
    <w:rsid w:val="0025132E"/>
    <w:rsid w:val="002535ED"/>
    <w:rsid w:val="002B7C95"/>
    <w:rsid w:val="002D2C25"/>
    <w:rsid w:val="002D77BE"/>
    <w:rsid w:val="002E04A2"/>
    <w:rsid w:val="002E48B7"/>
    <w:rsid w:val="002E7386"/>
    <w:rsid w:val="002F6E84"/>
    <w:rsid w:val="00310534"/>
    <w:rsid w:val="00311316"/>
    <w:rsid w:val="003204AC"/>
    <w:rsid w:val="00332521"/>
    <w:rsid w:val="00333AEC"/>
    <w:rsid w:val="0034690F"/>
    <w:rsid w:val="003622FD"/>
    <w:rsid w:val="00362402"/>
    <w:rsid w:val="00362D03"/>
    <w:rsid w:val="00363BDD"/>
    <w:rsid w:val="003674B6"/>
    <w:rsid w:val="00367558"/>
    <w:rsid w:val="00372F29"/>
    <w:rsid w:val="003A113B"/>
    <w:rsid w:val="003B5240"/>
    <w:rsid w:val="003C249F"/>
    <w:rsid w:val="003D314F"/>
    <w:rsid w:val="003E28E7"/>
    <w:rsid w:val="00414E39"/>
    <w:rsid w:val="00421DBA"/>
    <w:rsid w:val="00434265"/>
    <w:rsid w:val="004355A7"/>
    <w:rsid w:val="00440727"/>
    <w:rsid w:val="00457851"/>
    <w:rsid w:val="004A796F"/>
    <w:rsid w:val="004C0FB6"/>
    <w:rsid w:val="004D59A0"/>
    <w:rsid w:val="004F76B5"/>
    <w:rsid w:val="00502AC7"/>
    <w:rsid w:val="00503D9C"/>
    <w:rsid w:val="00504BF2"/>
    <w:rsid w:val="005420C4"/>
    <w:rsid w:val="0055114E"/>
    <w:rsid w:val="00564CAE"/>
    <w:rsid w:val="00573D4F"/>
    <w:rsid w:val="00592070"/>
    <w:rsid w:val="005A3748"/>
    <w:rsid w:val="005A6282"/>
    <w:rsid w:val="005C7B22"/>
    <w:rsid w:val="005E2F00"/>
    <w:rsid w:val="005E538A"/>
    <w:rsid w:val="005F034B"/>
    <w:rsid w:val="005F6ED0"/>
    <w:rsid w:val="005F74C9"/>
    <w:rsid w:val="00616FAC"/>
    <w:rsid w:val="00620D69"/>
    <w:rsid w:val="00636A70"/>
    <w:rsid w:val="00637370"/>
    <w:rsid w:val="00662F9B"/>
    <w:rsid w:val="00670703"/>
    <w:rsid w:val="00677830"/>
    <w:rsid w:val="006909D0"/>
    <w:rsid w:val="006949E2"/>
    <w:rsid w:val="006B0059"/>
    <w:rsid w:val="006B71D2"/>
    <w:rsid w:val="006C68C1"/>
    <w:rsid w:val="006E4491"/>
    <w:rsid w:val="00710D24"/>
    <w:rsid w:val="00711A72"/>
    <w:rsid w:val="00711C0B"/>
    <w:rsid w:val="007173E7"/>
    <w:rsid w:val="00721922"/>
    <w:rsid w:val="00745A47"/>
    <w:rsid w:val="007539B0"/>
    <w:rsid w:val="0075752D"/>
    <w:rsid w:val="007932B5"/>
    <w:rsid w:val="00794ED8"/>
    <w:rsid w:val="007A3DA7"/>
    <w:rsid w:val="007B3DB0"/>
    <w:rsid w:val="007C7EE5"/>
    <w:rsid w:val="007F31FE"/>
    <w:rsid w:val="00823A0C"/>
    <w:rsid w:val="00843391"/>
    <w:rsid w:val="00856060"/>
    <w:rsid w:val="008639FA"/>
    <w:rsid w:val="00863BC8"/>
    <w:rsid w:val="00877DE3"/>
    <w:rsid w:val="008A0CA9"/>
    <w:rsid w:val="008A606E"/>
    <w:rsid w:val="008C621B"/>
    <w:rsid w:val="009029C0"/>
    <w:rsid w:val="00904464"/>
    <w:rsid w:val="0091768F"/>
    <w:rsid w:val="00922D7E"/>
    <w:rsid w:val="00933239"/>
    <w:rsid w:val="009457AA"/>
    <w:rsid w:val="00945EB8"/>
    <w:rsid w:val="0095297C"/>
    <w:rsid w:val="00956BF1"/>
    <w:rsid w:val="00981213"/>
    <w:rsid w:val="009954FC"/>
    <w:rsid w:val="009B0C4F"/>
    <w:rsid w:val="009C7D76"/>
    <w:rsid w:val="009E610D"/>
    <w:rsid w:val="00A25DAD"/>
    <w:rsid w:val="00A31D25"/>
    <w:rsid w:val="00A426F5"/>
    <w:rsid w:val="00A517BE"/>
    <w:rsid w:val="00A54398"/>
    <w:rsid w:val="00A56D55"/>
    <w:rsid w:val="00A62685"/>
    <w:rsid w:val="00A85823"/>
    <w:rsid w:val="00A87C53"/>
    <w:rsid w:val="00AA2F82"/>
    <w:rsid w:val="00AA5429"/>
    <w:rsid w:val="00AB36A2"/>
    <w:rsid w:val="00AC33B8"/>
    <w:rsid w:val="00B0768F"/>
    <w:rsid w:val="00B40B23"/>
    <w:rsid w:val="00B4576D"/>
    <w:rsid w:val="00B65BE8"/>
    <w:rsid w:val="00B73DDB"/>
    <w:rsid w:val="00B91BC5"/>
    <w:rsid w:val="00BA35A4"/>
    <w:rsid w:val="00BA61A0"/>
    <w:rsid w:val="00BC22EB"/>
    <w:rsid w:val="00BE6902"/>
    <w:rsid w:val="00BF5E9C"/>
    <w:rsid w:val="00C04215"/>
    <w:rsid w:val="00C12A03"/>
    <w:rsid w:val="00C13BE7"/>
    <w:rsid w:val="00C16738"/>
    <w:rsid w:val="00C24122"/>
    <w:rsid w:val="00C376AB"/>
    <w:rsid w:val="00C5121C"/>
    <w:rsid w:val="00C56F57"/>
    <w:rsid w:val="00C6598F"/>
    <w:rsid w:val="00C6733C"/>
    <w:rsid w:val="00C913D8"/>
    <w:rsid w:val="00CA076F"/>
    <w:rsid w:val="00CA09FF"/>
    <w:rsid w:val="00CA188B"/>
    <w:rsid w:val="00CA6774"/>
    <w:rsid w:val="00CC1AB0"/>
    <w:rsid w:val="00CC6F6A"/>
    <w:rsid w:val="00CD06AB"/>
    <w:rsid w:val="00D06507"/>
    <w:rsid w:val="00D15FB3"/>
    <w:rsid w:val="00D22845"/>
    <w:rsid w:val="00D539ED"/>
    <w:rsid w:val="00D543CE"/>
    <w:rsid w:val="00D677C5"/>
    <w:rsid w:val="00D75400"/>
    <w:rsid w:val="00D830E9"/>
    <w:rsid w:val="00D83617"/>
    <w:rsid w:val="00D871AF"/>
    <w:rsid w:val="00D87CB3"/>
    <w:rsid w:val="00D9046B"/>
    <w:rsid w:val="00DA7ED0"/>
    <w:rsid w:val="00DB01F2"/>
    <w:rsid w:val="00DB56DC"/>
    <w:rsid w:val="00DB5A7D"/>
    <w:rsid w:val="00DC02FE"/>
    <w:rsid w:val="00DC2287"/>
    <w:rsid w:val="00DE16C7"/>
    <w:rsid w:val="00E01B59"/>
    <w:rsid w:val="00E14C64"/>
    <w:rsid w:val="00E30322"/>
    <w:rsid w:val="00E35333"/>
    <w:rsid w:val="00E37596"/>
    <w:rsid w:val="00E44FD3"/>
    <w:rsid w:val="00E45206"/>
    <w:rsid w:val="00ED3896"/>
    <w:rsid w:val="00EE7B67"/>
    <w:rsid w:val="00F010F8"/>
    <w:rsid w:val="00F064D3"/>
    <w:rsid w:val="00F10544"/>
    <w:rsid w:val="00F266DA"/>
    <w:rsid w:val="00F64BBC"/>
    <w:rsid w:val="00F92F65"/>
    <w:rsid w:val="00F93B35"/>
    <w:rsid w:val="00FA2E34"/>
    <w:rsid w:val="00FC2EF0"/>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16</Pages>
  <Words>3226</Words>
  <Characters>18390</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10</cp:revision>
  <dcterms:created xsi:type="dcterms:W3CDTF">2022-09-15T17:49:00Z</dcterms:created>
  <dcterms:modified xsi:type="dcterms:W3CDTF">2022-09-20T10:12:00Z</dcterms:modified>
</cp:coreProperties>
</file>