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voted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i)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6F02DCB0"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r w:rsidR="00B05A26">
        <w:rPr>
          <w:rFonts w:ascii="Calibri" w:hAnsi="Calibri" w:cs="Calibri"/>
          <w:color w:val="4472C4" w:themeColor="accent1"/>
          <w:sz w:val="24"/>
          <w:szCs w:val="24"/>
        </w:rPr>
        <w:fldChar w:fldCharType="begin" w:fldLock="1"/>
      </w:r>
      <w:r w:rsidR="009635C4">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B05A26" w:rsidRPr="00B05A26">
        <w:rPr>
          <w:rFonts w:ascii="Calibri" w:hAnsi="Calibri" w:cs="Calibri"/>
          <w:noProof/>
          <w:color w:val="4472C4" w:themeColor="accent1"/>
          <w:sz w:val="24"/>
          <w:szCs w:val="24"/>
        </w:rPr>
        <w:t>(Aastrup, 2018; Jensen &amp; Nørgaard, 2021; Risgaard, 2021)</w:t>
      </w:r>
      <w:r w:rsidR="00B05A26">
        <w:rPr>
          <w:rFonts w:ascii="Calibri" w:hAnsi="Calibri" w:cs="Calibri"/>
          <w:color w:val="4472C4" w:themeColor="accent1"/>
          <w:sz w:val="24"/>
          <w:szCs w:val="24"/>
        </w:rPr>
        <w:fldChar w:fldCharType="end"/>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commentRangeEnd w:id="0"/>
      <w:r w:rsidR="003B0D5B">
        <w:rPr>
          <w:rStyle w:val="Kommentarhenvisning"/>
        </w:rPr>
        <w:commentReference w:id="0"/>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1"/>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1"/>
      <w:r w:rsidR="00BF2693">
        <w:rPr>
          <w:rStyle w:val="Kommentarhenvisning"/>
        </w:rPr>
        <w:commentReference w:id="1"/>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Karabarbounis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Our paper contributes to the more recent literature by taking into account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proposed 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is able to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and compare the results with the baseline containing the policy effects.</w:t>
      </w:r>
      <w:r w:rsidR="001E0153">
        <w:rPr>
          <w:rFonts w:cstheme="minorHAnsi"/>
          <w:color w:val="000000" w:themeColor="text1"/>
          <w:sz w:val="24"/>
          <w:szCs w:val="24"/>
        </w:rPr>
        <w:t xml:space="preserve"> </w:t>
      </w:r>
      <w:commentRangeStart w:id="2"/>
      <w:r w:rsidR="008A33D8">
        <w:rPr>
          <w:rFonts w:cstheme="minorHAnsi"/>
          <w:color w:val="000000" w:themeColor="text1"/>
          <w:sz w:val="24"/>
          <w:szCs w:val="24"/>
        </w:rPr>
        <w:t xml:space="preserve">We find that reversing the public policy can both </w:t>
      </w:r>
      <w:r w:rsidR="008A33D8">
        <w:rPr>
          <w:rFonts w:cstheme="minorHAnsi"/>
          <w:color w:val="000000" w:themeColor="text1"/>
          <w:sz w:val="24"/>
          <w:szCs w:val="24"/>
        </w:rPr>
        <w:lastRenderedPageBreak/>
        <w:t>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2"/>
      <w:r w:rsidR="008A33D8">
        <w:rPr>
          <w:rStyle w:val="Kommentarhenvisning"/>
        </w:rPr>
        <w:commentReference w:id="2"/>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5AA37A38"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 </w:t>
      </w:r>
      <w:commentRangeStart w:id="3"/>
      <w:r w:rsidR="006631F3" w:rsidRPr="003E1997">
        <w:rPr>
          <w:sz w:val="24"/>
          <w:szCs w:val="24"/>
        </w:rPr>
        <w:t>other recent papers</w:t>
      </w:r>
      <w:commentRangeEnd w:id="3"/>
      <w:r w:rsidR="006A0C0A">
        <w:rPr>
          <w:rStyle w:val="Kommentarhenvisning"/>
        </w:rPr>
        <w:commentReference w:id="3"/>
      </w:r>
      <w:r w:rsidR="006631F3" w:rsidRPr="003E1997">
        <w:rPr>
          <w:sz w:val="24"/>
          <w:szCs w:val="24"/>
        </w:rPr>
        <w:t>?).</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Holmlund (1998); Krueger and Meyer (2002); cite: Unemployment duration and unemployment insurance: a comparative analysis based on Scandinavian micro data; more recent papers</w:t>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Diamond (1981), Mortensen (1982) and Pissarides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less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4066C47"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Diamond, Mortensen and Pissarides</w:t>
      </w:r>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4"/>
      <w:commentRangeStart w:id="5"/>
      <w:r w:rsidR="003952BB" w:rsidRPr="003B4D5B">
        <w:rPr>
          <w:rFonts w:cstheme="minorHAnsi"/>
          <w:color w:val="4472C4" w:themeColor="accent1"/>
          <w:sz w:val="24"/>
          <w:szCs w:val="24"/>
        </w:rPr>
        <w:t>citations</w:t>
      </w:r>
      <w:commentRangeEnd w:id="4"/>
      <w:r w:rsidR="0058143A">
        <w:rPr>
          <w:rStyle w:val="Kommentarhenvisning"/>
        </w:rPr>
        <w:commentReference w:id="4"/>
      </w:r>
      <w:commentRangeEnd w:id="5"/>
      <w:r w:rsidR="005D7A7B">
        <w:rPr>
          <w:rStyle w:val="Kommentarhenvisning"/>
        </w:rPr>
        <w:commentReference w:id="5"/>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6"/>
      <w:commentRangeStart w:id="7"/>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06B8">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Zweimüller","type":"article-journal"},"suppress-author":1,"uris":["http://www.mendeley.com/documents/?uuid=5b875fa6-4ab5-47ea-99c0-49aba806dd2d"]}],"mendeley":{"formattedCitation":"(2017)","plainTextFormattedCitation":"(2017)","previouslyFormattedCitation":"(Zweimüller, 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smaller/non-existent </w:t>
      </w:r>
      <w:r w:rsidR="00C71265">
        <w:rPr>
          <w:rFonts w:cstheme="minorHAnsi"/>
          <w:color w:val="FF0000"/>
          <w:sz w:val="24"/>
          <w:szCs w:val="24"/>
        </w:rPr>
        <w:t>when wages are rigid</w:t>
      </w:r>
      <w:r w:rsidR="00A906B8">
        <w:rPr>
          <w:rFonts w:cstheme="minorHAnsi"/>
          <w:color w:val="FF0000"/>
          <w:sz w:val="24"/>
          <w:szCs w:val="24"/>
        </w:rPr>
        <w:t>. He also shows how a falling marginal product of labor</w:t>
      </w:r>
      <w:r w:rsidR="00C71265">
        <w:rPr>
          <w:rFonts w:cstheme="minorHAnsi"/>
          <w:color w:val="FF0000"/>
          <w:sz w:val="24"/>
          <w:szCs w:val="24"/>
        </w:rPr>
        <w:t xml:space="preserve"> in contrast to assuming constant worker productivity, can in fact increase the number of vacancies when wages are ridged, thereby leading to a lower macro effect relatively to micro effects. </w:t>
      </w:r>
      <w:commentRangeEnd w:id="6"/>
      <w:r w:rsidR="00C71265">
        <w:rPr>
          <w:rStyle w:val="Kommentarhenvisning"/>
        </w:rPr>
        <w:commentReference w:id="6"/>
      </w:r>
      <w:commentRangeEnd w:id="7"/>
      <w:r w:rsidR="00C71265">
        <w:rPr>
          <w:rStyle w:val="Kommentarhenvisning"/>
        </w:rPr>
        <w:commentReference w:id="7"/>
      </w:r>
      <w:r w:rsidR="00753489">
        <w:rPr>
          <w:rFonts w:cstheme="minorHAnsi"/>
          <w:color w:val="000000" w:themeColor="text1"/>
          <w:sz w:val="24"/>
          <w:szCs w:val="24"/>
        </w:rPr>
        <w:t xml:space="preserve">On the </w:t>
      </w:r>
      <w:r w:rsidR="00753489">
        <w:rPr>
          <w:rFonts w:cstheme="minorHAnsi"/>
          <w:color w:val="000000" w:themeColor="text1"/>
          <w:sz w:val="24"/>
          <w:szCs w:val="24"/>
        </w:rPr>
        <w:lastRenderedPageBreak/>
        <w:t>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8"/>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8"/>
      <w:r w:rsidR="00986D5C">
        <w:rPr>
          <w:rStyle w:val="Kommentarhenvisning"/>
        </w:rPr>
        <w:commentReference w:id="8"/>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unemployment insurance while explicitly modeling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i)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i)</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558F7508" w14:textId="6F703004" w:rsidR="004138E6" w:rsidRPr="003E199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a number of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r w:rsidR="00690B9C">
        <w:rPr>
          <w:rFonts w:ascii="Calibri" w:hAnsi="Calibri" w:cs="Calibri"/>
          <w:sz w:val="24"/>
          <w:szCs w:val="24"/>
        </w:rPr>
        <w:t>(</w:t>
      </w:r>
      <w:r w:rsidR="00690B9C" w:rsidRPr="00690B9C">
        <w:rPr>
          <w:rFonts w:ascii="Calibri" w:hAnsi="Calibri" w:cs="Calibri"/>
          <w:color w:val="FF0000"/>
          <w:sz w:val="24"/>
          <w:szCs w:val="24"/>
        </w:rPr>
        <w:t>Here we should conclude the discussion by citing the criticism on the missing macro effects, which authors are those?)</w:t>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lastRenderedPageBreak/>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A71594">
        <w:rPr>
          <w:rFonts w:ascii="Calibri" w:eastAsiaTheme="minorEastAsia" w:hAnsi="Calibri" w:cs="Calibri"/>
          <w:color w:val="000000" w:themeColor="text1"/>
          <w:sz w:val="24"/>
          <w:szCs w:val="24"/>
        </w:rPr>
        <w:t xml:space="preserve">in a given year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a number of attempts to tighten UI. The government reduced the duration of UI from four to two years in 2010. </w:t>
      </w:r>
      <w:r w:rsidR="004652AD" w:rsidRPr="00F13EAB">
        <w:rPr>
          <w:rFonts w:ascii="Calibri" w:hAnsi="Calibri" w:cs="Calibri"/>
          <w:color w:val="000000" w:themeColor="text1"/>
          <w:sz w:val="24"/>
          <w:szCs w:val="24"/>
        </w:rPr>
        <w:t xml:space="preserve">A number of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lastRenderedPageBreak/>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r w:rsidR="00C562F5" w:rsidRPr="00DE0B6B">
        <w:rPr>
          <w:rFonts w:ascii="Calibri" w:eastAsiaTheme="minorEastAsia" w:hAnsi="Calibri" w:cs="Calibri"/>
          <w:i/>
          <w:iCs/>
          <w:color w:val="000000" w:themeColor="text1"/>
          <w:sz w:val="24"/>
          <w:szCs w:val="24"/>
        </w:rPr>
        <w:t>i</w:t>
      </w:r>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lastRenderedPageBreak/>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time period.</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We take these issues into consideration and later on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lastRenderedPageBreak/>
        <w:t xml:space="preserve">In contrast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labor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 xml:space="preserve">ur approach differentiate itself from most </w:t>
      </w:r>
      <w:r w:rsidR="000417B6" w:rsidRPr="003E1997">
        <w:rPr>
          <w:rFonts w:ascii="Calibri" w:hAnsi="Calibri" w:cs="Calibri"/>
          <w:sz w:val="24"/>
          <w:szCs w:val="24"/>
        </w:rPr>
        <w:lastRenderedPageBreak/>
        <w:t>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9"/>
      <w:commentRangeStart w:id="10"/>
      <w:commentRangeStart w:id="11"/>
      <w:commentRangeStart w:id="12"/>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9"/>
      <w:r w:rsidR="00590467" w:rsidRPr="003E1997">
        <w:rPr>
          <w:rStyle w:val="Kommentarhenvisning"/>
          <w:rFonts w:ascii="Calibri" w:hAnsi="Calibri" w:cs="Calibri"/>
          <w:sz w:val="24"/>
          <w:szCs w:val="24"/>
        </w:rPr>
        <w:commentReference w:id="9"/>
      </w:r>
      <w:commentRangeEnd w:id="10"/>
      <w:r w:rsidR="00C31F9C" w:rsidRPr="003E1997">
        <w:rPr>
          <w:rStyle w:val="Kommentarhenvisning"/>
          <w:rFonts w:ascii="Calibri" w:hAnsi="Calibri" w:cs="Calibri"/>
          <w:sz w:val="24"/>
          <w:szCs w:val="24"/>
        </w:rPr>
        <w:commentReference w:id="10"/>
      </w:r>
      <w:commentRangeEnd w:id="11"/>
      <w:r w:rsidR="00692E45" w:rsidRPr="003E1997">
        <w:rPr>
          <w:rStyle w:val="Kommentarhenvisning"/>
          <w:rFonts w:ascii="Calibri" w:hAnsi="Calibri" w:cs="Calibri"/>
          <w:sz w:val="24"/>
          <w:szCs w:val="24"/>
        </w:rPr>
        <w:commentReference w:id="11"/>
      </w:r>
      <w:commentRangeEnd w:id="12"/>
      <w:r w:rsidR="004E23C5" w:rsidRPr="003E1997">
        <w:rPr>
          <w:rStyle w:val="Kommentarhenvisning"/>
          <w:rFonts w:ascii="Calibri" w:hAnsi="Calibri" w:cs="Calibri"/>
          <w:sz w:val="24"/>
          <w:szCs w:val="24"/>
        </w:rPr>
        <w:commentReference w:id="12"/>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13"/>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case in reality</w:t>
      </w:r>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14"/>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14"/>
      <w:r w:rsidR="00BE79C7" w:rsidRPr="003E1997">
        <w:rPr>
          <w:rStyle w:val="Kommentarhenvisning"/>
          <w:rFonts w:ascii="Calibri" w:hAnsi="Calibri" w:cs="Calibri"/>
          <w:sz w:val="24"/>
          <w:szCs w:val="24"/>
        </w:rPr>
        <w:commentReference w:id="14"/>
      </w:r>
      <w:commentRangeEnd w:id="13"/>
      <w:r w:rsidR="000865A5">
        <w:rPr>
          <w:rStyle w:val="Kommentarhenvisning"/>
        </w:rPr>
        <w:commentReference w:id="13"/>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r w:rsidR="000865A5">
        <w:rPr>
          <w:rFonts w:ascii="Calibri" w:hAnsi="Calibri" w:cs="Calibri"/>
          <w:sz w:val="24"/>
          <w:szCs w:val="24"/>
        </w:rPr>
        <w:t xml:space="preserve">wages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in order to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drop in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lastRenderedPageBreak/>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s argued by Smith (2021), these types of reforms aimed at changing the incentives for people to participate in the labor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labor-force.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w:t>
      </w:r>
      <w:r w:rsidR="00D11D82" w:rsidRPr="003E1997">
        <w:rPr>
          <w:rFonts w:ascii="Calibri" w:eastAsiaTheme="minorEastAsia" w:hAnsi="Calibri" w:cs="Calibri"/>
          <w:sz w:val="24"/>
          <w:szCs w:val="24"/>
        </w:rPr>
        <w:lastRenderedPageBreak/>
        <w:t>increase in the part of household coming from social transfers. Unlike the situation in scenario 1 and 2, no crowding out effect on wages and prices can be found directly as a result of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 xml:space="preserve">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w:t>
      </w:r>
      <w:r w:rsidR="004C2E69" w:rsidRPr="003E1997">
        <w:rPr>
          <w:rFonts w:ascii="Calibri" w:hAnsi="Calibri" w:cs="Calibri"/>
          <w:sz w:val="24"/>
          <w:szCs w:val="24"/>
        </w:rPr>
        <w:lastRenderedPageBreak/>
        <w:t>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program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reason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 xml:space="preserve">should be set lower than </w:t>
      </w:r>
      <w:r w:rsidR="008C3542" w:rsidRPr="003E1997">
        <w:rPr>
          <w:rFonts w:ascii="Calibri" w:hAnsi="Calibri" w:cs="Calibri"/>
        </w:rPr>
        <w:lastRenderedPageBreak/>
        <w:t>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r w:rsidR="006434D7" w:rsidRPr="003E1997">
        <w:rPr>
          <w:rFonts w:ascii="Calibri" w:hAnsi="Calibri" w:cs="Calibri"/>
          <w:sz w:val="24"/>
          <w:szCs w:val="24"/>
        </w:rPr>
        <w:t>labor</w:t>
      </w:r>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labor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lastRenderedPageBreak/>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taking into account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w:t>
      </w:r>
      <w:r w:rsidR="008668D4" w:rsidRPr="003E1997">
        <w:rPr>
          <w:rFonts w:ascii="Calibri" w:eastAsiaTheme="minorEastAsia" w:hAnsi="Calibri" w:cs="Calibri"/>
          <w:sz w:val="24"/>
          <w:szCs w:val="24"/>
        </w:rPr>
        <w:lastRenderedPageBreak/>
        <w:t xml:space="preserve">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As they argue that changes in the level of income insurance 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ased on the question asked towards the ministry of labor</w:t>
      </w:r>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15"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15"/>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taking into account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 xml:space="preserve">This leaves us to </w:t>
      </w:r>
      <w:r w:rsidR="00D44FD0" w:rsidRPr="003E1997">
        <w:rPr>
          <w:rFonts w:ascii="Calibri" w:eastAsiaTheme="minorEastAsia" w:hAnsi="Calibri" w:cs="Calibri"/>
          <w:sz w:val="24"/>
          <w:szCs w:val="24"/>
        </w:rPr>
        <w:lastRenderedPageBreak/>
        <w:t>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16"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16"/>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ambigious,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17"/>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17"/>
      <w:r w:rsidR="0018198D" w:rsidRPr="003E1997">
        <w:rPr>
          <w:rStyle w:val="Kommentarhenvisning"/>
          <w:rFonts w:ascii="Calibri" w:hAnsi="Calibri" w:cs="Calibri"/>
          <w:sz w:val="24"/>
          <w:szCs w:val="24"/>
        </w:rPr>
        <w:commentReference w:id="17"/>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r>
        <w:rPr>
          <w:rFonts w:ascii="Calibri" w:eastAsiaTheme="minorEastAsia" w:hAnsi="Calibri" w:cs="Calibri"/>
          <w:sz w:val="24"/>
          <w:szCs w:val="24"/>
        </w:rPr>
        <w:t xml:space="preserve">6 </w:t>
      </w:r>
      <w:commentRangeStart w:id="18"/>
      <w:commentRangeStart w:id="19"/>
      <w:r w:rsidR="006409C0" w:rsidRPr="00D9286C">
        <w:rPr>
          <w:b/>
          <w:bCs/>
        </w:rPr>
        <w:t xml:space="preserve"> </w:t>
      </w:r>
      <w:r w:rsidR="004C5315" w:rsidRPr="00D9286C">
        <w:rPr>
          <w:b/>
          <w:bCs/>
        </w:rPr>
        <w:t>Conclusion</w:t>
      </w:r>
      <w:commentRangeEnd w:id="18"/>
      <w:r w:rsidR="00AC1E57" w:rsidRPr="00D9286C">
        <w:rPr>
          <w:b/>
          <w:bCs/>
        </w:rPr>
        <w:commentReference w:id="18"/>
      </w:r>
      <w:commentRangeEnd w:id="19"/>
      <w:r w:rsidR="004C7C78" w:rsidRPr="00D9286C">
        <w:rPr>
          <w:b/>
          <w:bCs/>
        </w:rPr>
        <w:commentReference w:id="19"/>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0"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w:t>
      </w:r>
      <w:r w:rsidRPr="003E1997">
        <w:rPr>
          <w:rFonts w:ascii="Calibri" w:hAnsi="Calibri" w:cs="Calibri"/>
          <w:sz w:val="24"/>
          <w:szCs w:val="24"/>
        </w:rPr>
        <w:lastRenderedPageBreak/>
        <w:t xml:space="preserve">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to analyze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0"/>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1"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1"/>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effect on demand, wages, insurance rate, labor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22"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22"/>
      <w:r w:rsidR="0062727A" w:rsidRPr="003E1997">
        <w:rPr>
          <w:rFonts w:ascii="Calibri" w:hAnsi="Calibri" w:cs="Calibri"/>
          <w:sz w:val="24"/>
          <w:szCs w:val="24"/>
        </w:rPr>
        <w:t xml:space="preserve"> </w:t>
      </w:r>
      <w:bookmarkStart w:id="23"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23"/>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24"/>
      <w:r w:rsidR="00560ED3" w:rsidRPr="003E1997">
        <w:rPr>
          <w:rFonts w:ascii="Calibri" w:hAnsi="Calibri" w:cs="Calibri"/>
          <w:sz w:val="24"/>
          <w:szCs w:val="24"/>
        </w:rPr>
        <w:t>1500</w:t>
      </w:r>
      <w:commentRangeEnd w:id="24"/>
      <w:r w:rsidR="0076761C" w:rsidRPr="003E1997">
        <w:rPr>
          <w:rStyle w:val="Kommentarhenvisning"/>
          <w:rFonts w:ascii="Calibri" w:hAnsi="Calibri" w:cs="Calibri"/>
          <w:sz w:val="24"/>
          <w:szCs w:val="24"/>
        </w:rPr>
        <w:commentReference w:id="24"/>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 xml:space="preserve">income insurance companies </w:t>
      </w:r>
      <w:r w:rsidR="00F20542" w:rsidRPr="003E1997">
        <w:rPr>
          <w:rFonts w:ascii="Calibri" w:hAnsi="Calibri" w:cs="Calibri"/>
          <w:sz w:val="24"/>
          <w:szCs w:val="24"/>
        </w:rPr>
        <w:lastRenderedPageBreak/>
        <w:t>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as a result of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25"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25"/>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26"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26"/>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Review of Economic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23C71DF4" w14:textId="6D4C8729" w:rsidR="00710873" w:rsidRPr="00710873" w:rsidRDefault="00333B3D" w:rsidP="00710873">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710873" w:rsidRPr="00710873">
        <w:rPr>
          <w:rFonts w:ascii="Calibri" w:hAnsi="Calibri" w:cs="Calibri"/>
          <w:noProof/>
          <w:sz w:val="24"/>
          <w:szCs w:val="24"/>
        </w:rPr>
        <w:t xml:space="preserve">Aastrup, M. (2018). 30 Års dagpengeforringelser. </w:t>
      </w:r>
      <w:r w:rsidR="00710873" w:rsidRPr="00710873">
        <w:rPr>
          <w:rFonts w:ascii="Calibri" w:hAnsi="Calibri" w:cs="Calibri"/>
          <w:i/>
          <w:iCs/>
          <w:noProof/>
          <w:sz w:val="24"/>
          <w:szCs w:val="24"/>
        </w:rPr>
        <w:t>Landsorganisationen</w:t>
      </w:r>
      <w:r w:rsidR="00710873" w:rsidRPr="00710873">
        <w:rPr>
          <w:rFonts w:ascii="Calibri" w:hAnsi="Calibri" w:cs="Calibri"/>
          <w:noProof/>
          <w:sz w:val="24"/>
          <w:szCs w:val="24"/>
        </w:rPr>
        <w:t xml:space="preserve">, </w:t>
      </w:r>
      <w:r w:rsidR="00710873" w:rsidRPr="00710873">
        <w:rPr>
          <w:rFonts w:ascii="Calibri" w:hAnsi="Calibri" w:cs="Calibri"/>
          <w:i/>
          <w:iCs/>
          <w:noProof/>
          <w:sz w:val="24"/>
          <w:szCs w:val="24"/>
        </w:rPr>
        <w:t>September 2018</w:t>
      </w:r>
      <w:r w:rsidR="00710873" w:rsidRPr="00710873">
        <w:rPr>
          <w:rFonts w:ascii="Calibri" w:hAnsi="Calibri" w:cs="Calibri"/>
          <w:noProof/>
          <w:sz w:val="24"/>
          <w:szCs w:val="24"/>
        </w:rPr>
        <w:t>.</w:t>
      </w:r>
    </w:p>
    <w:p w14:paraId="28D4DC8E"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Andersen, T. M., &amp; Svarer, M. (2006). Flexicurity: The Danish Labour-Market Model. </w:t>
      </w:r>
      <w:r w:rsidRPr="00710873">
        <w:rPr>
          <w:rFonts w:ascii="Calibri" w:hAnsi="Calibri" w:cs="Calibri"/>
          <w:i/>
          <w:iCs/>
          <w:noProof/>
          <w:sz w:val="24"/>
          <w:szCs w:val="24"/>
        </w:rPr>
        <w:t>Ekonomisk Debatt</w:t>
      </w:r>
      <w:r w:rsidRPr="00710873">
        <w:rPr>
          <w:rFonts w:ascii="Calibri" w:hAnsi="Calibri" w:cs="Calibri"/>
          <w:noProof/>
          <w:sz w:val="24"/>
          <w:szCs w:val="24"/>
        </w:rPr>
        <w:t xml:space="preserve">, </w:t>
      </w:r>
      <w:r w:rsidRPr="00710873">
        <w:rPr>
          <w:rFonts w:ascii="Calibri" w:hAnsi="Calibri" w:cs="Calibri"/>
          <w:i/>
          <w:iCs/>
          <w:noProof/>
          <w:sz w:val="24"/>
          <w:szCs w:val="24"/>
        </w:rPr>
        <w:t>1</w:t>
      </w:r>
      <w:r w:rsidRPr="00710873">
        <w:rPr>
          <w:rFonts w:ascii="Calibri" w:hAnsi="Calibri" w:cs="Calibri"/>
          <w:noProof/>
          <w:sz w:val="24"/>
          <w:szCs w:val="24"/>
        </w:rPr>
        <w:t>(April), 17–29.</w:t>
      </w:r>
    </w:p>
    <w:p w14:paraId="091DEEEF"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Andersen, T. M., Svarer, M., &amp; Vejlin, R. M. (2015). Litteraturreview af effekter af indretning af arbejdsunderstøttelsen. </w:t>
      </w:r>
      <w:r w:rsidRPr="00710873">
        <w:rPr>
          <w:rFonts w:ascii="Calibri" w:hAnsi="Calibri" w:cs="Calibri"/>
          <w:i/>
          <w:iCs/>
          <w:noProof/>
          <w:sz w:val="24"/>
          <w:szCs w:val="24"/>
        </w:rPr>
        <w:t>Beskæftigelsesministeriet</w:t>
      </w:r>
      <w:r w:rsidRPr="00710873">
        <w:rPr>
          <w:rFonts w:ascii="Calibri" w:hAnsi="Calibri" w:cs="Calibri"/>
          <w:noProof/>
          <w:sz w:val="24"/>
          <w:szCs w:val="24"/>
        </w:rPr>
        <w:t>, 1–99.</w:t>
      </w:r>
    </w:p>
    <w:p w14:paraId="5C63F4E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Boone, C., Dube, A., Goodman, L., &amp; Kaplan, E. (2021). Unemployment Insurance Generosity and Aggregate Employment. </w:t>
      </w:r>
      <w:r w:rsidRPr="00710873">
        <w:rPr>
          <w:rFonts w:ascii="Calibri" w:hAnsi="Calibri" w:cs="Calibri"/>
          <w:i/>
          <w:iCs/>
          <w:noProof/>
          <w:sz w:val="24"/>
          <w:szCs w:val="24"/>
        </w:rPr>
        <w:t>American Economic Journal: Economic Policy</w:t>
      </w:r>
      <w:r w:rsidRPr="00710873">
        <w:rPr>
          <w:rFonts w:ascii="Calibri" w:hAnsi="Calibri" w:cs="Calibri"/>
          <w:noProof/>
          <w:sz w:val="24"/>
          <w:szCs w:val="24"/>
        </w:rPr>
        <w:t xml:space="preserve">, </w:t>
      </w:r>
      <w:r w:rsidRPr="00710873">
        <w:rPr>
          <w:rFonts w:ascii="Calibri" w:hAnsi="Calibri" w:cs="Calibri"/>
          <w:i/>
          <w:iCs/>
          <w:noProof/>
          <w:sz w:val="24"/>
          <w:szCs w:val="24"/>
        </w:rPr>
        <w:t>13</w:t>
      </w:r>
      <w:r w:rsidRPr="00710873">
        <w:rPr>
          <w:rFonts w:ascii="Calibri" w:hAnsi="Calibri" w:cs="Calibri"/>
          <w:noProof/>
          <w:sz w:val="24"/>
          <w:szCs w:val="24"/>
        </w:rPr>
        <w:t>(2), 58–99. https://doi.org/10.1257/pol.20160613</w:t>
      </w:r>
    </w:p>
    <w:p w14:paraId="01B736F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Byrialsen, M. R., Raza, H., &amp; Valdecantos, S. (2022). </w:t>
      </w:r>
      <w:r w:rsidRPr="00710873">
        <w:rPr>
          <w:rFonts w:ascii="Calibri" w:hAnsi="Calibri" w:cs="Calibri"/>
          <w:i/>
          <w:iCs/>
          <w:noProof/>
          <w:sz w:val="24"/>
          <w:szCs w:val="24"/>
        </w:rPr>
        <w:t>QMDE : A QUARTERLY EMPIRICAL MODEL FOR THE DANISH ECONOMY : A STOCK-FLOW CONSISTENT APPROACH</w:t>
      </w:r>
      <w:r w:rsidRPr="00710873">
        <w:rPr>
          <w:rFonts w:ascii="Calibri" w:hAnsi="Calibri" w:cs="Calibri"/>
          <w:noProof/>
          <w:sz w:val="24"/>
          <w:szCs w:val="24"/>
        </w:rPr>
        <w:t xml:space="preserve">. </w:t>
      </w:r>
      <w:r w:rsidRPr="00710873">
        <w:rPr>
          <w:rFonts w:ascii="Calibri" w:hAnsi="Calibri" w:cs="Calibri"/>
          <w:i/>
          <w:iCs/>
          <w:noProof/>
          <w:sz w:val="24"/>
          <w:szCs w:val="24"/>
        </w:rPr>
        <w:t>79</w:t>
      </w:r>
      <w:r w:rsidRPr="00710873">
        <w:rPr>
          <w:rFonts w:ascii="Calibri" w:hAnsi="Calibri" w:cs="Calibri"/>
          <w:noProof/>
          <w:sz w:val="24"/>
          <w:szCs w:val="24"/>
        </w:rPr>
        <w:t>.</w:t>
      </w:r>
    </w:p>
    <w:p w14:paraId="6CC4243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710873">
        <w:rPr>
          <w:rFonts w:ascii="Calibri" w:hAnsi="Calibri" w:cs="Calibri"/>
          <w:i/>
          <w:iCs/>
          <w:noProof/>
          <w:sz w:val="24"/>
          <w:szCs w:val="24"/>
        </w:rPr>
        <w:t>American Economic Review</w:t>
      </w:r>
      <w:r w:rsidRPr="00710873">
        <w:rPr>
          <w:rFonts w:ascii="Calibri" w:hAnsi="Calibri" w:cs="Calibri"/>
          <w:noProof/>
          <w:sz w:val="24"/>
          <w:szCs w:val="24"/>
        </w:rPr>
        <w:t xml:space="preserve">, </w:t>
      </w:r>
      <w:r w:rsidRPr="00710873">
        <w:rPr>
          <w:rFonts w:ascii="Calibri" w:hAnsi="Calibri" w:cs="Calibri"/>
          <w:i/>
          <w:iCs/>
          <w:noProof/>
          <w:sz w:val="24"/>
          <w:szCs w:val="24"/>
        </w:rPr>
        <w:t>105</w:t>
      </w:r>
      <w:r w:rsidRPr="00710873">
        <w:rPr>
          <w:rFonts w:ascii="Calibri" w:hAnsi="Calibri" w:cs="Calibri"/>
          <w:noProof/>
          <w:sz w:val="24"/>
          <w:szCs w:val="24"/>
        </w:rPr>
        <w:t>(5), 126–130. https://doi.org/10.1257/aer.p20151061</w:t>
      </w:r>
    </w:p>
    <w:p w14:paraId="3BADB882"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Carling, K., Holmlund, B., &amp; Vejsiu, A. (2001). </w:t>
      </w:r>
      <w:r w:rsidRPr="00710873">
        <w:rPr>
          <w:rFonts w:ascii="Calibri" w:hAnsi="Calibri" w:cs="Calibri"/>
          <w:i/>
          <w:iCs/>
          <w:noProof/>
          <w:sz w:val="24"/>
          <w:szCs w:val="24"/>
        </w:rPr>
        <w:t>Do Benefit Cuts Boost Job Finding ? Swedish Evidence from the 1990s</w:t>
      </w:r>
      <w:r w:rsidRPr="00710873">
        <w:rPr>
          <w:rFonts w:ascii="Calibri" w:hAnsi="Calibri" w:cs="Calibri"/>
          <w:noProof/>
          <w:sz w:val="24"/>
          <w:szCs w:val="24"/>
        </w:rPr>
        <w:t xml:space="preserve">. </w:t>
      </w:r>
      <w:r w:rsidRPr="00710873">
        <w:rPr>
          <w:rFonts w:ascii="Calibri" w:hAnsi="Calibri" w:cs="Calibri"/>
          <w:i/>
          <w:iCs/>
          <w:noProof/>
          <w:sz w:val="24"/>
          <w:szCs w:val="24"/>
        </w:rPr>
        <w:t>111</w:t>
      </w:r>
      <w:r w:rsidRPr="00710873">
        <w:rPr>
          <w:rFonts w:ascii="Calibri" w:hAnsi="Calibri" w:cs="Calibri"/>
          <w:noProof/>
          <w:sz w:val="24"/>
          <w:szCs w:val="24"/>
        </w:rPr>
        <w:t>(474), 766–790.</w:t>
      </w:r>
    </w:p>
    <w:p w14:paraId="128C271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Chetty, R. (2006). A general formula for the optimal level of social insurance. </w:t>
      </w:r>
      <w:r w:rsidRPr="00710873">
        <w:rPr>
          <w:rFonts w:ascii="Calibri" w:hAnsi="Calibri" w:cs="Calibri"/>
          <w:i/>
          <w:iCs/>
          <w:noProof/>
          <w:sz w:val="24"/>
          <w:szCs w:val="24"/>
        </w:rPr>
        <w:t xml:space="preserve">Journal of Public </w:t>
      </w:r>
      <w:r w:rsidRPr="00710873">
        <w:rPr>
          <w:rFonts w:ascii="Calibri" w:hAnsi="Calibri" w:cs="Calibri"/>
          <w:i/>
          <w:iCs/>
          <w:noProof/>
          <w:sz w:val="24"/>
          <w:szCs w:val="24"/>
        </w:rPr>
        <w:lastRenderedPageBreak/>
        <w:t>Economics</w:t>
      </w:r>
      <w:r w:rsidRPr="00710873">
        <w:rPr>
          <w:rFonts w:ascii="Calibri" w:hAnsi="Calibri" w:cs="Calibri"/>
          <w:noProof/>
          <w:sz w:val="24"/>
          <w:szCs w:val="24"/>
        </w:rPr>
        <w:t xml:space="preserve">, </w:t>
      </w:r>
      <w:r w:rsidRPr="00710873">
        <w:rPr>
          <w:rFonts w:ascii="Calibri" w:hAnsi="Calibri" w:cs="Calibri"/>
          <w:i/>
          <w:iCs/>
          <w:noProof/>
          <w:sz w:val="24"/>
          <w:szCs w:val="24"/>
        </w:rPr>
        <w:t>90</w:t>
      </w:r>
      <w:r w:rsidRPr="00710873">
        <w:rPr>
          <w:rFonts w:ascii="Calibri" w:hAnsi="Calibri" w:cs="Calibri"/>
          <w:noProof/>
          <w:sz w:val="24"/>
          <w:szCs w:val="24"/>
        </w:rPr>
        <w:t>(10–11), 1879–1901. https://doi.org/10.1016/j.jpubeco.2006.01.004</w:t>
      </w:r>
    </w:p>
    <w:p w14:paraId="25C3C132"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DØRS. (2014). </w:t>
      </w:r>
      <w:r w:rsidRPr="00710873">
        <w:rPr>
          <w:rFonts w:ascii="Calibri" w:hAnsi="Calibri" w:cs="Calibri"/>
          <w:i/>
          <w:iCs/>
          <w:noProof/>
          <w:sz w:val="24"/>
          <w:szCs w:val="24"/>
        </w:rPr>
        <w:t>Dansk økonomi. Efterår 2014 : Konjunkturvurdering ; Dagpengesystemet</w:t>
      </w:r>
      <w:r w:rsidRPr="00710873">
        <w:rPr>
          <w:rFonts w:ascii="Calibri" w:hAnsi="Calibri" w:cs="Calibri"/>
          <w:noProof/>
          <w:sz w:val="24"/>
          <w:szCs w:val="24"/>
        </w:rPr>
        <w:t>.</w:t>
      </w:r>
    </w:p>
    <w:p w14:paraId="61D764F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DØRS. (2022). </w:t>
      </w:r>
      <w:r w:rsidRPr="00710873">
        <w:rPr>
          <w:rFonts w:ascii="Calibri" w:hAnsi="Calibri" w:cs="Calibri"/>
          <w:i/>
          <w:iCs/>
          <w:noProof/>
          <w:sz w:val="24"/>
          <w:szCs w:val="24"/>
        </w:rPr>
        <w:t>RAPPORT FRA FORMANDSKABET DANSK ØKONOMI FORÅR 2022</w:t>
      </w:r>
      <w:r w:rsidRPr="00710873">
        <w:rPr>
          <w:rFonts w:ascii="Calibri" w:hAnsi="Calibri" w:cs="Calibri"/>
          <w:noProof/>
          <w:sz w:val="24"/>
          <w:szCs w:val="24"/>
        </w:rPr>
        <w:t>. https://dors.dk/raad-vismaend/loven.</w:t>
      </w:r>
    </w:p>
    <w:p w14:paraId="1F4954B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DREAM. (2013). </w:t>
      </w:r>
      <w:r w:rsidRPr="00710873">
        <w:rPr>
          <w:rFonts w:ascii="Calibri" w:hAnsi="Calibri" w:cs="Calibri"/>
          <w:i/>
          <w:iCs/>
          <w:noProof/>
          <w:sz w:val="24"/>
          <w:szCs w:val="24"/>
        </w:rPr>
        <w:t>Langsigtet økonomisk fremskrivning 2013</w:t>
      </w:r>
      <w:r w:rsidRPr="00710873">
        <w:rPr>
          <w:rFonts w:ascii="Calibri" w:hAnsi="Calibri" w:cs="Calibri"/>
          <w:noProof/>
          <w:sz w:val="24"/>
          <w:szCs w:val="24"/>
        </w:rPr>
        <w:t xml:space="preserve">. </w:t>
      </w:r>
      <w:r w:rsidRPr="00710873">
        <w:rPr>
          <w:rFonts w:ascii="Calibri" w:hAnsi="Calibri" w:cs="Calibri"/>
          <w:i/>
          <w:iCs/>
          <w:noProof/>
          <w:sz w:val="24"/>
          <w:szCs w:val="24"/>
        </w:rPr>
        <w:t>August</w:t>
      </w:r>
      <w:r w:rsidRPr="00710873">
        <w:rPr>
          <w:rFonts w:ascii="Calibri" w:hAnsi="Calibri" w:cs="Calibri"/>
          <w:noProof/>
          <w:sz w:val="24"/>
          <w:szCs w:val="24"/>
        </w:rPr>
        <w:t>.</w:t>
      </w:r>
    </w:p>
    <w:p w14:paraId="5B43A30E"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Falch, N. S. (2015). </w:t>
      </w:r>
      <w:r w:rsidRPr="00710873">
        <w:rPr>
          <w:rFonts w:ascii="Calibri" w:hAnsi="Calibri" w:cs="Calibri"/>
          <w:i/>
          <w:iCs/>
          <w:noProof/>
          <w:sz w:val="24"/>
          <w:szCs w:val="24"/>
        </w:rPr>
        <w:t>Three essays on unemployment insurance</w:t>
      </w:r>
      <w:r w:rsidRPr="00710873">
        <w:rPr>
          <w:rFonts w:ascii="Calibri" w:hAnsi="Calibri" w:cs="Calibri"/>
          <w:noProof/>
          <w:sz w:val="24"/>
          <w:szCs w:val="24"/>
        </w:rPr>
        <w:t xml:space="preserve">. </w:t>
      </w:r>
      <w:r w:rsidRPr="00710873">
        <w:rPr>
          <w:rFonts w:ascii="Calibri" w:hAnsi="Calibri" w:cs="Calibri"/>
          <w:i/>
          <w:iCs/>
          <w:noProof/>
          <w:sz w:val="24"/>
          <w:szCs w:val="24"/>
        </w:rPr>
        <w:t>April</w:t>
      </w:r>
      <w:r w:rsidRPr="00710873">
        <w:rPr>
          <w:rFonts w:ascii="Calibri" w:hAnsi="Calibri" w:cs="Calibri"/>
          <w:noProof/>
          <w:sz w:val="24"/>
          <w:szCs w:val="24"/>
        </w:rPr>
        <w:t>.</w:t>
      </w:r>
    </w:p>
    <w:p w14:paraId="4CD3413A"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Finkelstein, A., &amp; Chetty, R. (2012). </w:t>
      </w:r>
      <w:r w:rsidRPr="00710873">
        <w:rPr>
          <w:rFonts w:ascii="Calibri" w:hAnsi="Calibri" w:cs="Calibri"/>
          <w:i/>
          <w:iCs/>
          <w:noProof/>
          <w:sz w:val="24"/>
          <w:szCs w:val="24"/>
        </w:rPr>
        <w:t>SOCIAL INSURANCE: CONNECTING THEORY TO DATA</w:t>
      </w:r>
      <w:r w:rsidRPr="00710873">
        <w:rPr>
          <w:rFonts w:ascii="Calibri" w:hAnsi="Calibri" w:cs="Calibri"/>
          <w:noProof/>
          <w:sz w:val="24"/>
          <w:szCs w:val="24"/>
        </w:rPr>
        <w:t>.</w:t>
      </w:r>
    </w:p>
    <w:p w14:paraId="5F7A328C"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Fredriksson, P., &amp; Söderström, M. (2020). The equilibrium impact of unemployment insurance on unemployment: Evidence from a non-linear policy rule. </w:t>
      </w:r>
      <w:r w:rsidRPr="00710873">
        <w:rPr>
          <w:rFonts w:ascii="Calibri" w:hAnsi="Calibri" w:cs="Calibri"/>
          <w:i/>
          <w:iCs/>
          <w:noProof/>
          <w:sz w:val="24"/>
          <w:szCs w:val="24"/>
        </w:rPr>
        <w:t>Journal of Public Economics</w:t>
      </w:r>
      <w:r w:rsidRPr="00710873">
        <w:rPr>
          <w:rFonts w:ascii="Calibri" w:hAnsi="Calibri" w:cs="Calibri"/>
          <w:noProof/>
          <w:sz w:val="24"/>
          <w:szCs w:val="24"/>
        </w:rPr>
        <w:t xml:space="preserve">, </w:t>
      </w:r>
      <w:r w:rsidRPr="00710873">
        <w:rPr>
          <w:rFonts w:ascii="Calibri" w:hAnsi="Calibri" w:cs="Calibri"/>
          <w:i/>
          <w:iCs/>
          <w:noProof/>
          <w:sz w:val="24"/>
          <w:szCs w:val="24"/>
        </w:rPr>
        <w:t>187</w:t>
      </w:r>
      <w:r w:rsidRPr="00710873">
        <w:rPr>
          <w:rFonts w:ascii="Calibri" w:hAnsi="Calibri" w:cs="Calibri"/>
          <w:noProof/>
          <w:sz w:val="24"/>
          <w:szCs w:val="24"/>
        </w:rPr>
        <w:t>, 104199. https://doi.org/10.1016/j.jpubeco.2020.104199</w:t>
      </w:r>
    </w:p>
    <w:p w14:paraId="6DF214F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Ganong, P., Greig, F., Noel, P., Sullivan, D. M., &amp; Vavra, J. (2021). Micro and Macro Disincentive Effects of Expanded Unemployment Benefits. </w:t>
      </w:r>
      <w:r w:rsidRPr="00710873">
        <w:rPr>
          <w:rFonts w:ascii="Calibri" w:hAnsi="Calibri" w:cs="Calibri"/>
          <w:i/>
          <w:iCs/>
          <w:noProof/>
          <w:sz w:val="24"/>
          <w:szCs w:val="24"/>
        </w:rPr>
        <w:t>Working Paper</w:t>
      </w:r>
      <w:r w:rsidRPr="00710873">
        <w:rPr>
          <w:rFonts w:ascii="Calibri" w:hAnsi="Calibri" w:cs="Calibri"/>
          <w:noProof/>
          <w:sz w:val="24"/>
          <w:szCs w:val="24"/>
        </w:rPr>
        <w:t>.</w:t>
      </w:r>
    </w:p>
    <w:p w14:paraId="7B1AA449"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Hummelgaard, P. (2021). </w:t>
      </w:r>
      <w:r w:rsidRPr="00710873">
        <w:rPr>
          <w:rFonts w:ascii="Calibri" w:hAnsi="Calibri" w:cs="Calibri"/>
          <w:i/>
          <w:iCs/>
          <w:noProof/>
          <w:sz w:val="24"/>
          <w:szCs w:val="24"/>
        </w:rPr>
        <w:t>Spørgsmål nr:270</w:t>
      </w:r>
      <w:r w:rsidRPr="00710873">
        <w:rPr>
          <w:rFonts w:ascii="Calibri" w:hAnsi="Calibri" w:cs="Calibri"/>
          <w:noProof/>
          <w:sz w:val="24"/>
          <w:szCs w:val="24"/>
        </w:rPr>
        <w:t>. Beskæftigelses Ministeriet. https://www.ft.dk/samling/20201/almdel/beu/spm/270/svar/1776624/2384360/index.htm</w:t>
      </w:r>
    </w:p>
    <w:p w14:paraId="481D8805"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IS-Commission. (2015). </w:t>
      </w:r>
      <w:r w:rsidRPr="00710873">
        <w:rPr>
          <w:rFonts w:ascii="Calibri" w:hAnsi="Calibri" w:cs="Calibri"/>
          <w:i/>
          <w:iCs/>
          <w:noProof/>
          <w:sz w:val="24"/>
          <w:szCs w:val="24"/>
        </w:rPr>
        <w:t>Dagpengemodellen teknisk analyserapport</w:t>
      </w:r>
      <w:r w:rsidRPr="00710873">
        <w:rPr>
          <w:rFonts w:ascii="Calibri" w:hAnsi="Calibri" w:cs="Calibri"/>
          <w:noProof/>
          <w:sz w:val="24"/>
          <w:szCs w:val="24"/>
        </w:rPr>
        <w:t>.</w:t>
      </w:r>
    </w:p>
    <w:p w14:paraId="2FF7F944"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Jensen, M. T., &amp; Nørgaard, A. (2021). Prisen for at løfte dagpengene overdrives. </w:t>
      </w:r>
      <w:r w:rsidRPr="00710873">
        <w:rPr>
          <w:rFonts w:ascii="Calibri" w:hAnsi="Calibri" w:cs="Calibri"/>
          <w:i/>
          <w:iCs/>
          <w:noProof/>
          <w:sz w:val="24"/>
          <w:szCs w:val="24"/>
        </w:rPr>
        <w:t>Cevea</w:t>
      </w:r>
      <w:r w:rsidRPr="00710873">
        <w:rPr>
          <w:rFonts w:ascii="Calibri" w:hAnsi="Calibri" w:cs="Calibri"/>
          <w:noProof/>
          <w:sz w:val="24"/>
          <w:szCs w:val="24"/>
        </w:rPr>
        <w:t>, 1–10.</w:t>
      </w:r>
    </w:p>
    <w:p w14:paraId="57226A30"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Jurajda, Š. (2002). Estimating the effect of unemployment insurance compensation on the labor market histories of displaced workers. </w:t>
      </w:r>
      <w:r w:rsidRPr="00710873">
        <w:rPr>
          <w:rFonts w:ascii="Calibri" w:hAnsi="Calibri" w:cs="Calibri"/>
          <w:i/>
          <w:iCs/>
          <w:noProof/>
          <w:sz w:val="24"/>
          <w:szCs w:val="24"/>
        </w:rPr>
        <w:t>Journal of Econometrics</w:t>
      </w:r>
      <w:r w:rsidRPr="00710873">
        <w:rPr>
          <w:rFonts w:ascii="Calibri" w:hAnsi="Calibri" w:cs="Calibri"/>
          <w:noProof/>
          <w:sz w:val="24"/>
          <w:szCs w:val="24"/>
        </w:rPr>
        <w:t xml:space="preserve">, </w:t>
      </w:r>
      <w:r w:rsidRPr="00710873">
        <w:rPr>
          <w:rFonts w:ascii="Calibri" w:hAnsi="Calibri" w:cs="Calibri"/>
          <w:i/>
          <w:iCs/>
          <w:noProof/>
          <w:sz w:val="24"/>
          <w:szCs w:val="24"/>
        </w:rPr>
        <w:t>108</w:t>
      </w:r>
      <w:r w:rsidRPr="00710873">
        <w:rPr>
          <w:rFonts w:ascii="Calibri" w:hAnsi="Calibri" w:cs="Calibri"/>
          <w:noProof/>
          <w:sz w:val="24"/>
          <w:szCs w:val="24"/>
        </w:rPr>
        <w:t>(2), 227–252. https://doi.org/10.1016/S0304-4076(01)00135-X</w:t>
      </w:r>
    </w:p>
    <w:p w14:paraId="5E508E0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Lalive, B. R., Landais, C., &amp; Zweimüller, J. (2015). </w:t>
      </w:r>
      <w:r w:rsidRPr="00710873">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710873">
        <w:rPr>
          <w:rFonts w:ascii="Calibri" w:hAnsi="Calibri" w:cs="Calibri"/>
          <w:noProof/>
          <w:sz w:val="24"/>
          <w:szCs w:val="24"/>
        </w:rPr>
        <w:t xml:space="preserve">. </w:t>
      </w:r>
      <w:r w:rsidRPr="00710873">
        <w:rPr>
          <w:rFonts w:ascii="Calibri" w:hAnsi="Calibri" w:cs="Calibri"/>
          <w:i/>
          <w:iCs/>
          <w:noProof/>
          <w:sz w:val="24"/>
          <w:szCs w:val="24"/>
        </w:rPr>
        <w:t>105</w:t>
      </w:r>
      <w:r w:rsidRPr="00710873">
        <w:rPr>
          <w:rFonts w:ascii="Calibri" w:hAnsi="Calibri" w:cs="Calibri"/>
          <w:noProof/>
          <w:sz w:val="24"/>
          <w:szCs w:val="24"/>
        </w:rPr>
        <w:t>(12), 3564–3596.</w:t>
      </w:r>
    </w:p>
    <w:p w14:paraId="53656D2C"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Michaillat, P. (2012). </w:t>
      </w:r>
      <w:r w:rsidRPr="00710873">
        <w:rPr>
          <w:rFonts w:ascii="Calibri" w:hAnsi="Calibri" w:cs="Calibri"/>
          <w:i/>
          <w:iCs/>
          <w:noProof/>
          <w:sz w:val="24"/>
          <w:szCs w:val="24"/>
        </w:rPr>
        <w:t>American Economic Association Do Matching Frictions Explain Unemployment ? Not in Bad Times Author ( s ): Pascal Michaillat Source : The American Economic Review , Vol . 102 , No . 4 ( JUNE 2012 ), pp . 1721-1750 Published by : American Economic Associati</w:t>
      </w:r>
      <w:r w:rsidRPr="00710873">
        <w:rPr>
          <w:rFonts w:ascii="Calibri" w:hAnsi="Calibri" w:cs="Calibri"/>
          <w:noProof/>
          <w:sz w:val="24"/>
          <w:szCs w:val="24"/>
        </w:rPr>
        <w:t xml:space="preserve">. </w:t>
      </w:r>
      <w:r w:rsidRPr="00710873">
        <w:rPr>
          <w:rFonts w:ascii="Calibri" w:hAnsi="Calibri" w:cs="Calibri"/>
          <w:i/>
          <w:iCs/>
          <w:noProof/>
          <w:sz w:val="24"/>
          <w:szCs w:val="24"/>
        </w:rPr>
        <w:t>102</w:t>
      </w:r>
      <w:r w:rsidRPr="00710873">
        <w:rPr>
          <w:rFonts w:ascii="Calibri" w:hAnsi="Calibri" w:cs="Calibri"/>
          <w:noProof/>
          <w:sz w:val="24"/>
          <w:szCs w:val="24"/>
        </w:rPr>
        <w:t>(4), 1721–1750.</w:t>
      </w:r>
    </w:p>
    <w:p w14:paraId="751A078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Risgaard, L. (2021). </w:t>
      </w:r>
      <w:r w:rsidRPr="00710873">
        <w:rPr>
          <w:rFonts w:ascii="Calibri" w:hAnsi="Calibri" w:cs="Calibri"/>
          <w:i/>
          <w:iCs/>
          <w:noProof/>
          <w:sz w:val="24"/>
          <w:szCs w:val="24"/>
        </w:rPr>
        <w:t>Mere tryghed til lønmodtagerne</w:t>
      </w:r>
      <w:r w:rsidRPr="00710873">
        <w:rPr>
          <w:rFonts w:ascii="Calibri" w:hAnsi="Calibri" w:cs="Calibri"/>
          <w:noProof/>
          <w:sz w:val="24"/>
          <w:szCs w:val="24"/>
        </w:rPr>
        <w:t>.</w:t>
      </w:r>
    </w:p>
    <w:p w14:paraId="029F9805"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Røed, K., &amp; Zhang, T. (2005). Unemployment duration and economic incentives - A quasi random-assignment approach. </w:t>
      </w:r>
      <w:r w:rsidRPr="00710873">
        <w:rPr>
          <w:rFonts w:ascii="Calibri" w:hAnsi="Calibri" w:cs="Calibri"/>
          <w:i/>
          <w:iCs/>
          <w:noProof/>
          <w:sz w:val="24"/>
          <w:szCs w:val="24"/>
        </w:rPr>
        <w:t>European Economic Review</w:t>
      </w:r>
      <w:r w:rsidRPr="00710873">
        <w:rPr>
          <w:rFonts w:ascii="Calibri" w:hAnsi="Calibri" w:cs="Calibri"/>
          <w:noProof/>
          <w:sz w:val="24"/>
          <w:szCs w:val="24"/>
        </w:rPr>
        <w:t xml:space="preserve">, </w:t>
      </w:r>
      <w:r w:rsidRPr="00710873">
        <w:rPr>
          <w:rFonts w:ascii="Calibri" w:hAnsi="Calibri" w:cs="Calibri"/>
          <w:i/>
          <w:iCs/>
          <w:noProof/>
          <w:sz w:val="24"/>
          <w:szCs w:val="24"/>
        </w:rPr>
        <w:t>49</w:t>
      </w:r>
      <w:r w:rsidRPr="00710873">
        <w:rPr>
          <w:rFonts w:ascii="Calibri" w:hAnsi="Calibri" w:cs="Calibri"/>
          <w:noProof/>
          <w:sz w:val="24"/>
          <w:szCs w:val="24"/>
        </w:rPr>
        <w:t>(7), 1799–1825. https://doi.org/10.1016/j.euroecorev.2004.04.001</w:t>
      </w:r>
    </w:p>
    <w:p w14:paraId="3F97A081"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Topel, B. R. H. (1983). </w:t>
      </w:r>
      <w:r w:rsidRPr="00710873">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710873">
        <w:rPr>
          <w:rFonts w:ascii="Calibri" w:hAnsi="Calibri" w:cs="Calibri"/>
          <w:noProof/>
          <w:sz w:val="24"/>
          <w:szCs w:val="24"/>
        </w:rPr>
        <w:t xml:space="preserve">. </w:t>
      </w:r>
      <w:r w:rsidRPr="00710873">
        <w:rPr>
          <w:rFonts w:ascii="Calibri" w:hAnsi="Calibri" w:cs="Calibri"/>
          <w:i/>
          <w:iCs/>
          <w:noProof/>
          <w:sz w:val="24"/>
          <w:szCs w:val="24"/>
        </w:rPr>
        <w:t>73</w:t>
      </w:r>
      <w:r w:rsidRPr="00710873">
        <w:rPr>
          <w:rFonts w:ascii="Calibri" w:hAnsi="Calibri" w:cs="Calibri"/>
          <w:noProof/>
          <w:sz w:val="24"/>
          <w:szCs w:val="24"/>
        </w:rPr>
        <w:t>(4), 541–559.</w:t>
      </w:r>
    </w:p>
    <w:p w14:paraId="36F5408B"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rPr>
      </w:pPr>
      <w:r w:rsidRPr="00710873">
        <w:rPr>
          <w:rFonts w:ascii="Calibri" w:hAnsi="Calibri" w:cs="Calibri"/>
          <w:noProof/>
          <w:sz w:val="24"/>
          <w:szCs w:val="24"/>
        </w:rPr>
        <w:t xml:space="preserve">Zweimüller, J. (2017). </w:t>
      </w:r>
      <w:r w:rsidRPr="00710873">
        <w:rPr>
          <w:rFonts w:ascii="Calibri" w:hAnsi="Calibri" w:cs="Calibri"/>
          <w:i/>
          <w:iCs/>
          <w:noProof/>
          <w:sz w:val="24"/>
          <w:szCs w:val="24"/>
        </w:rPr>
        <w:t xml:space="preserve">Unemployment insurance and the labor market University of Zurich </w:t>
      </w:r>
      <w:r w:rsidRPr="00710873">
        <w:rPr>
          <w:rFonts w:ascii="Calibri" w:hAnsi="Calibri" w:cs="Calibri"/>
          <w:i/>
          <w:iCs/>
          <w:noProof/>
          <w:sz w:val="24"/>
          <w:szCs w:val="24"/>
        </w:rPr>
        <w:lastRenderedPageBreak/>
        <w:t>Department of Economics Unemployment Insurance and the Labor Market Josef Zweimüller</w:t>
      </w:r>
      <w:r w:rsidRPr="00710873">
        <w:rPr>
          <w:rFonts w:ascii="Calibri" w:hAnsi="Calibri" w:cs="Calibri"/>
          <w:noProof/>
          <w:sz w:val="24"/>
          <w:szCs w:val="24"/>
        </w:rPr>
        <w:t xml:space="preserve">. </w:t>
      </w:r>
      <w:r w:rsidRPr="00710873">
        <w:rPr>
          <w:rFonts w:ascii="Calibri" w:hAnsi="Calibri" w:cs="Calibri"/>
          <w:i/>
          <w:iCs/>
          <w:noProof/>
          <w:sz w:val="24"/>
          <w:szCs w:val="24"/>
        </w:rPr>
        <w:t>276</w:t>
      </w:r>
      <w:r w:rsidRPr="00710873">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Zhang, J. (2017). Unemployment benefits and matching efficiency in an estimated DSGE model with labor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27"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27"/>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28"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28"/>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In an attempt to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consumption and export function. In the last plot we see </w:t>
      </w:r>
      <w:r w:rsidRPr="003E1997">
        <w:rPr>
          <w:rFonts w:ascii="Calibri" w:hAnsi="Calibri" w:cs="Calibri"/>
          <w:sz w:val="24"/>
          <w:szCs w:val="24"/>
        </w:rPr>
        <w:t>that the increase in consumption is actually larger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29"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29"/>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0"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0"/>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Labor-force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Noninal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issued by Financial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Appendix 4: estimation of behavioral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Benefits received by Households subtracted with the amount paid in income insurance</w:t>
      </w:r>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Labor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0T08:05:00Z" w:initials="ST">
    <w:p w14:paraId="20B6D792" w14:textId="77777777" w:rsidR="003B0D5B" w:rsidRDefault="003B0D5B" w:rsidP="008C08BD">
      <w:pPr>
        <w:pStyle w:val="Kommentartekst"/>
      </w:pPr>
      <w:r>
        <w:rPr>
          <w:rStyle w:val="Kommentarhenvisning"/>
        </w:rPr>
        <w:annotationRef/>
      </w:r>
      <w:r>
        <w:t>LO, Cevea, FH</w:t>
      </w:r>
    </w:p>
  </w:comment>
  <w:comment w:id="1" w:author="Simon Thomsen" w:date="2023-02-20T10:55:00Z" w:initials="ST">
    <w:p w14:paraId="3782EC00" w14:textId="77777777" w:rsidR="00BF2693" w:rsidRDefault="00BF2693" w:rsidP="00D063F0">
      <w:pPr>
        <w:pStyle w:val="Kommentartekst"/>
      </w:pPr>
      <w:r>
        <w:rPr>
          <w:rStyle w:val="Kommentarhenvisning"/>
        </w:rPr>
        <w:annotationRef/>
      </w:r>
      <w:r>
        <w:t>Added more citations. (Mostly used the lit review by Andersen)</w:t>
      </w:r>
    </w:p>
  </w:comment>
  <w:comment w:id="2"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3" w:author="Simon Thomsen" w:date="2023-02-20T11:03:00Z" w:initials="ST">
    <w:p w14:paraId="1932D058" w14:textId="77777777" w:rsidR="006A0C0A" w:rsidRDefault="006A0C0A" w:rsidP="00436AE1">
      <w:pPr>
        <w:pStyle w:val="Kommentartekst"/>
      </w:pPr>
      <w:r>
        <w:rPr>
          <w:rStyle w:val="Kommentarhenvisning"/>
        </w:rPr>
        <w:annotationRef/>
      </w:r>
      <w:r>
        <w:t xml:space="preserve">UI benefits also come at the cost of distorting incentives to look for a job. A sizable literature from the 1970s to 1990s estimated the magnitudes of these costs and benefits and these papers have been summarized in excellent reviews, for example by Meyer (2002) and Krueger and Meyer (2002) </w:t>
      </w:r>
    </w:p>
  </w:comment>
  <w:comment w:id="4" w:author="Simon Thomsen" w:date="2023-02-20T10:41:00Z" w:initials="ST">
    <w:p w14:paraId="688F98A3" w14:textId="7BF3601E" w:rsidR="0058143A" w:rsidRDefault="0058143A" w:rsidP="00675FD6">
      <w:pPr>
        <w:pStyle w:val="Kommentartekst"/>
      </w:pPr>
      <w:r>
        <w:rPr>
          <w:rStyle w:val="Kommentarhenvisning"/>
        </w:rPr>
        <w:annotationRef/>
      </w:r>
      <w:r>
        <w:t xml:space="preserve">(Diamond 1982; Mortensen and Pissarides 1994) </w:t>
      </w:r>
    </w:p>
  </w:comment>
  <w:comment w:id="5"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6"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assumption of other variables such as, wage adjustment, labour participation rate, and productivity citation: (e.g., see the discussion on micro vs macro effects in Unemployment Insurance and the Labor Market</w:t>
      </w:r>
      <w:r>
        <w:rPr>
          <w:color w:val="FF0000"/>
          <w:lang/>
        </w:rPr>
        <w:t>∗</w:t>
      </w:r>
      <w:r>
        <w:rPr>
          <w:color w:val="FF0000"/>
        </w:rPr>
        <w:t xml:space="preserve"> Josef Zweimuller) – In which cases, the macro effects can be larger or smaller than the micro effects should be explain in detail here! </w:t>
      </w:r>
    </w:p>
  </w:comment>
  <w:comment w:id="7"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8"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9" w:author="Simon Fløj Thomsen" w:date="2022-12-21T14:37:00Z" w:initials="SFT">
    <w:p w14:paraId="1D029492" w14:textId="1AFCCFC8" w:rsidR="00590467" w:rsidRDefault="00590467" w:rsidP="00AA6F4A">
      <w:pPr>
        <w:pStyle w:val="Kommentartekst"/>
      </w:pPr>
      <w:r>
        <w:rPr>
          <w:rStyle w:val="Kommentarhenvisning"/>
        </w:rPr>
        <w:annotationRef/>
      </w:r>
      <w:r>
        <w:t>Kommer meget pludseligt</w:t>
      </w:r>
    </w:p>
  </w:comment>
  <w:comment w:id="10"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1"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2"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4"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3"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17"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18"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9"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24"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B6D792" w15:done="0"/>
  <w15:commentEx w15:paraId="3782EC00" w15:done="0"/>
  <w15:commentEx w15:paraId="43298958" w15:done="0"/>
  <w15:commentEx w15:paraId="1932D058"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DA82E" w16cex:dateUtc="2023-02-20T07:05:00Z"/>
  <w16cex:commentExtensible w16cex:durableId="279DD036" w16cex:dateUtc="2023-02-20T09:55:00Z"/>
  <w16cex:commentExtensible w16cex:durableId="279DB319" w16cex:dateUtc="2023-02-20T07:51:00Z"/>
  <w16cex:commentExtensible w16cex:durableId="279DD217" w16cex:dateUtc="2023-02-20T10:03: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B6D792" w16cid:durableId="279DA82E"/>
  <w16cid:commentId w16cid:paraId="3782EC00" w16cid:durableId="279DD036"/>
  <w16cid:commentId w16cid:paraId="43298958" w16cid:durableId="279DB319"/>
  <w16cid:commentId w16cid:paraId="1932D058" w16cid:durableId="279DD217"/>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C82E7" w14:textId="77777777" w:rsidR="005E461E" w:rsidRDefault="005E461E" w:rsidP="005F6ED0">
      <w:pPr>
        <w:spacing w:after="0" w:line="240" w:lineRule="auto"/>
      </w:pPr>
      <w:r>
        <w:separator/>
      </w:r>
    </w:p>
  </w:endnote>
  <w:endnote w:type="continuationSeparator" w:id="0">
    <w:p w14:paraId="6DADA88A" w14:textId="77777777" w:rsidR="005E461E" w:rsidRDefault="005E461E" w:rsidP="005F6ED0">
      <w:pPr>
        <w:spacing w:after="0" w:line="240" w:lineRule="auto"/>
      </w:pPr>
      <w:r>
        <w:continuationSeparator/>
      </w:r>
    </w:p>
  </w:endnote>
  <w:endnote w:type="continuationNotice" w:id="1">
    <w:p w14:paraId="1F62C03D" w14:textId="77777777" w:rsidR="005E461E" w:rsidRDefault="005E46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8A1EA" w14:textId="77777777" w:rsidR="005E461E" w:rsidRDefault="005E461E" w:rsidP="005F6ED0">
      <w:pPr>
        <w:spacing w:after="0" w:line="240" w:lineRule="auto"/>
      </w:pPr>
      <w:r>
        <w:separator/>
      </w:r>
    </w:p>
  </w:footnote>
  <w:footnote w:type="continuationSeparator" w:id="0">
    <w:p w14:paraId="2A5C4741" w14:textId="77777777" w:rsidR="005E461E" w:rsidRDefault="005E461E" w:rsidP="005F6ED0">
      <w:pPr>
        <w:spacing w:after="0" w:line="240" w:lineRule="auto"/>
      </w:pPr>
      <w:r>
        <w:continuationSeparator/>
      </w:r>
    </w:p>
  </w:footnote>
  <w:footnote w:type="continuationNotice" w:id="1">
    <w:p w14:paraId="23E76401" w14:textId="77777777" w:rsidR="005E461E" w:rsidRDefault="005E461E">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little </w:t>
      </w:r>
      <w:r w:rsidR="00556E2C">
        <w:t>cautions.</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55</Pages>
  <Words>23641</Words>
  <Characters>134757</Characters>
  <Application>Microsoft Office Word</Application>
  <DocSecurity>0</DocSecurity>
  <Lines>1122</Lines>
  <Paragraphs>316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158082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8</cp:revision>
  <cp:lastPrinted>2022-11-30T09:36:00Z</cp:lastPrinted>
  <dcterms:created xsi:type="dcterms:W3CDTF">2023-02-19T15:24:00Z</dcterms:created>
  <dcterms:modified xsi:type="dcterms:W3CDTF">2023-02-20T12:51:00Z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