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6F02DCB0"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r w:rsidR="00B05A26">
        <w:rPr>
          <w:rFonts w:ascii="Calibri" w:hAnsi="Calibri" w:cs="Calibri"/>
          <w:color w:val="4472C4" w:themeColor="accent1"/>
          <w:sz w:val="24"/>
          <w:szCs w:val="24"/>
        </w:rPr>
        <w:fldChar w:fldCharType="begin" w:fldLock="1"/>
      </w:r>
      <w:r w:rsidR="009635C4">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B05A26" w:rsidRPr="00B05A26">
        <w:rPr>
          <w:rFonts w:ascii="Calibri" w:hAnsi="Calibri" w:cs="Calibri"/>
          <w:noProof/>
          <w:color w:val="4472C4" w:themeColor="accent1"/>
          <w:sz w:val="24"/>
          <w:szCs w:val="24"/>
        </w:rPr>
        <w:t>(Aastrup, 2018; Jensen &amp; Nørgaard, 2021; Risgaard, 2021)</w:t>
      </w:r>
      <w:r w:rsidR="00B05A26">
        <w:rPr>
          <w:rFonts w:ascii="Calibri" w:hAnsi="Calibri" w:cs="Calibri"/>
          <w:color w:val="4472C4" w:themeColor="accent1"/>
          <w:sz w:val="24"/>
          <w:szCs w:val="24"/>
        </w:rPr>
        <w:fldChar w:fldCharType="end"/>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commentRangeEnd w:id="0"/>
      <w:r w:rsidR="003B0D5B">
        <w:rPr>
          <w:rStyle w:val="Kommentarhenvisning"/>
        </w:rPr>
        <w:commentReference w:id="0"/>
      </w:r>
    </w:p>
    <w:p w14:paraId="7C7BAF45" w14:textId="4C6BA73A"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 xml:space="preserve">Earlier literature on unemployment insurance policy heavily draws on microeconomic aspects, finding that lowering unemployment insurance in most cases can increase the exit-rate from unemployment </w:t>
      </w:r>
      <w:commentRangeStart w:id="1"/>
      <w:r w:rsidR="00557218" w:rsidRPr="003E1997">
        <w:rPr>
          <w:rFonts w:ascii="Calibri" w:hAnsi="Calibri" w:cs="Calibri"/>
          <w:color w:val="000000" w:themeColor="text1"/>
          <w:sz w:val="24"/>
          <w:szCs w:val="24"/>
        </w:rPr>
        <w:t>(</w:t>
      </w:r>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BF2693" w:rsidRPr="00BF2693">
        <w:rPr>
          <w:rFonts w:cstheme="minorHAnsi"/>
          <w:noProof/>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Carling et al.</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1990s","type":"article-journal","volume":"111"},"suppress-author":1,"uris":["http://www.mendeley.com/documents/?uuid=f1297ccd-d50f-4c85-9ce4-fe97a04650cf"]}],"mendeley":{"formattedCitation":"(2001)","manualFormatting":" (2001)","plainTextFormattedCitation":"(2001)","previouslyFormattedCitation":"(2001)"},"properties":{"noteIndex":0},"schema":"https://github.com/citation-style-language/schema/raw/master/csl-citation.json"}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Pr>
          <w:rFonts w:cstheme="minorHAnsi"/>
          <w:noProof/>
          <w:color w:val="000000" w:themeColor="text1"/>
          <w:sz w:val="24"/>
          <w:szCs w:val="24"/>
          <w:shd w:val="clear" w:color="auto" w:fill="FFFFFF"/>
        </w:rPr>
        <w:t xml:space="preserve"> </w:t>
      </w:r>
      <w:r w:rsidR="00BF2693" w:rsidRPr="00BF2693">
        <w:rPr>
          <w:rFonts w:cstheme="minorHAnsi"/>
          <w:noProof/>
          <w:color w:val="000000" w:themeColor="text1"/>
          <w:sz w:val="24"/>
          <w:szCs w:val="24"/>
          <w:shd w:val="clear" w:color="auto" w:fill="FFFFFF"/>
        </w:rPr>
        <w:t>(2001)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Røed &amp; Zhang</w:t>
      </w:r>
      <w:r w:rsidR="00BF2693">
        <w:rPr>
          <w:rFonts w:cstheme="minorHAnsi"/>
          <w:noProof/>
          <w:color w:val="000000" w:themeColor="text1"/>
          <w:sz w:val="24"/>
          <w:szCs w:val="24"/>
          <w:shd w:val="clear" w:color="auto" w:fill="FFFFFF"/>
        </w:rPr>
        <w:t xml:space="preserve"> </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suppress-author":1,"uris":["http://www.mendeley.com/documents/?uuid=a96865d1-9443-4f65-b5e6-1b271f71790a"]}],"mendeley":{"formattedCitation":"(2005)","plainTextFormattedCitation":"(2005)","previouslyFormattedCitation":"(2005)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9635C4">
        <w:rPr>
          <w:rFonts w:cstheme="minorHAnsi"/>
          <w:noProof/>
          <w:color w:val="000000" w:themeColor="text1"/>
          <w:sz w:val="24"/>
          <w:szCs w:val="24"/>
          <w:shd w:val="clear" w:color="auto" w:fill="FFFFFF"/>
        </w:rPr>
        <w:t>Card et al.</w:t>
      </w:r>
      <w:r w:rsidR="00BF2693">
        <w:rPr>
          <w:rFonts w:cstheme="minorHAnsi"/>
          <w:color w:val="000000" w:themeColor="text1"/>
          <w:sz w:val="24"/>
          <w:szCs w:val="24"/>
          <w:shd w:val="clear" w:color="auto" w:fill="FFFFFF"/>
        </w:rPr>
        <w:t xml:space="preserve"> </w:t>
      </w:r>
      <w:r w:rsidR="009635C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suppress-author":1,"uris":["http://www.mendeley.com/documents/?uuid=115bf599-d0e7-43fd-9291-278b4dc5b6c1"]}],"mendeley":{"formattedCitation":"(2015)","plainTextFormattedCitation":"(2015)","previouslyFormattedCitation":"(2015)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BF2693">
        <w:rPr>
          <w:rFonts w:ascii="Calibri" w:hAnsi="Calibri" w:cs="Calibri"/>
          <w:color w:val="000000" w:themeColor="text1"/>
          <w:sz w:val="24"/>
          <w:szCs w:val="24"/>
        </w:rPr>
        <w:t xml:space="preserve"> 2015; </w:t>
      </w:r>
      <w:r w:rsidR="00BF2693" w:rsidRPr="00BF2693">
        <w:rPr>
          <w:rFonts w:ascii="Calibri" w:hAnsi="Calibri" w:cs="Calibri"/>
          <w:noProof/>
          <w:color w:val="000000" w:themeColor="text1"/>
          <w:sz w:val="24"/>
          <w:szCs w:val="24"/>
        </w:rPr>
        <w:t>Ganong et al.</w:t>
      </w:r>
      <w:r w:rsidR="00BF2693">
        <w:rPr>
          <w:rFonts w:ascii="Calibri" w:hAnsi="Calibri" w:cs="Calibri"/>
          <w:color w:val="000000" w:themeColor="text1"/>
          <w:sz w:val="24"/>
          <w:szCs w:val="24"/>
        </w:rPr>
        <w:t xml:space="preserve"> </w:t>
      </w:r>
      <w:r w:rsidR="00BF2693">
        <w:rPr>
          <w:rFonts w:ascii="Calibri" w:hAnsi="Calibri" w:cs="Calibri"/>
          <w:color w:val="000000" w:themeColor="text1"/>
          <w:sz w:val="24"/>
          <w:szCs w:val="24"/>
        </w:rPr>
        <w:fldChar w:fldCharType="begin" w:fldLock="1"/>
      </w:r>
      <w:r w:rsidR="00852B11">
        <w:rPr>
          <w:rFonts w:ascii="Calibri" w:hAnsi="Calibri" w:cs="Calibri"/>
          <w:color w:val="000000" w:themeColor="text1"/>
          <w:sz w:val="24"/>
          <w:szCs w:val="24"/>
        </w:rPr>
        <w:instrText>ADDIN CSL_CITATION {"citationItems":[{"id":"ITEM-1","itemData":{"author":[{"dropping-particle":"","family":"Ganong","given":"Peter","non-dropping-particle":"","parse-names":false,"suffix":""},{"dropping-particle":"","family":"Greig","given":"Fiona","non-dropping-particle":"","parse-names":false,"suffix":""},{"dropping-particle":"","family":"Noel","given":"Pascal","non-dropping-particle":"","parse-names":false,"suffix":""},{"dropping-particle":"","family":"Sullivan","given":"Daniel M.","non-dropping-particle":"","parse-names":false,"suffix":""},{"dropping-particle":"","family":"Vavra","given":"Joseph","non-dropping-particle":"","parse-names":false,"suffix":""}],"container-title":"Working Paper","id":"ITEM-1","issued":{"date-parts":[["2021"]]},"title":"Micro and Macro Disincentive Effects of Expanded Unemployment Benefits","type":"article-journal"},"suppress-author":1,"uris":["http://www.mendeley.com/documents/?uuid=57c27349-7d02-4c16-a171-71e13a9e8dc8"]}],"mendeley":{"formattedCitation":"(2021)","plainTextFormattedCitation":"(2021)","previouslyFormattedCitation":"(2021)"},"properties":{"noteIndex":0},"schema":"https://github.com/citation-style-language/schema/raw/master/csl-citation.json"}</w:instrText>
      </w:r>
      <w:r w:rsidR="00BF2693">
        <w:rPr>
          <w:rFonts w:ascii="Calibri" w:hAnsi="Calibri" w:cs="Calibri"/>
          <w:color w:val="000000" w:themeColor="text1"/>
          <w:sz w:val="24"/>
          <w:szCs w:val="24"/>
        </w:rPr>
        <w:fldChar w:fldCharType="separate"/>
      </w:r>
      <w:r w:rsidR="00BF2693" w:rsidRPr="00BF2693">
        <w:rPr>
          <w:rFonts w:ascii="Calibri" w:hAnsi="Calibri" w:cs="Calibri"/>
          <w:noProof/>
          <w:color w:val="000000" w:themeColor="text1"/>
          <w:sz w:val="24"/>
          <w:szCs w:val="24"/>
        </w:rPr>
        <w:t>(2021)</w:t>
      </w:r>
      <w:r w:rsidR="00BF2693">
        <w:rPr>
          <w:rFonts w:ascii="Calibri" w:hAnsi="Calibri" w:cs="Calibri"/>
          <w:color w:val="000000" w:themeColor="text1"/>
          <w:sz w:val="24"/>
          <w:szCs w:val="24"/>
        </w:rPr>
        <w:fldChar w:fldCharType="end"/>
      </w:r>
      <w:r w:rsidR="00BF2693">
        <w:rPr>
          <w:rFonts w:ascii="Calibri" w:hAnsi="Calibri" w:cs="Calibri"/>
          <w:color w:val="000000" w:themeColor="text1"/>
          <w:sz w:val="24"/>
          <w:szCs w:val="24"/>
        </w:rPr>
        <w:t>)</w:t>
      </w:r>
      <w:r w:rsidR="00BF2693">
        <w:rPr>
          <w:rStyle w:val="Kommentarhenvisning"/>
        </w:rPr>
        <w:t xml:space="preserve"> </w:t>
      </w:r>
      <w:commentRangeEnd w:id="1"/>
      <w:r w:rsidR="00BF2693">
        <w:rPr>
          <w:rStyle w:val="Kommentarhenvisning"/>
        </w:rPr>
        <w:commentReference w:id="1"/>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Our paper contributes to the more recent literature by </w:t>
      </w:r>
      <w:proofErr w:type="gramStart"/>
      <w:r w:rsidR="00557218" w:rsidRPr="00D242AC">
        <w:rPr>
          <w:rFonts w:ascii="Calibri" w:hAnsi="Calibri" w:cs="Calibri"/>
          <w:color w:val="000000" w:themeColor="text1"/>
          <w:sz w:val="24"/>
          <w:szCs w:val="24"/>
        </w:rPr>
        <w:t>taking into account</w:t>
      </w:r>
      <w:proofErr w:type="gramEnd"/>
      <w:r w:rsidR="00557218" w:rsidRPr="00D242AC">
        <w:rPr>
          <w:rFonts w:ascii="Calibri" w:hAnsi="Calibri" w:cs="Calibri"/>
          <w:color w:val="000000" w:themeColor="text1"/>
          <w:sz w:val="24"/>
          <w:szCs w:val="24"/>
        </w:rPr>
        <w:t xml:space="preserve">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 xml:space="preserve">proposed </w:t>
      </w:r>
      <w:proofErr w:type="gramStart"/>
      <w:r w:rsidR="008422E9" w:rsidRPr="003E1997">
        <w:rPr>
          <w:rFonts w:cstheme="minorHAnsi"/>
          <w:color w:val="18110A"/>
          <w:sz w:val="24"/>
          <w:szCs w:val="24"/>
          <w:shd w:val="clear" w:color="auto" w:fill="FFFFFF"/>
        </w:rPr>
        <w:t>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w:t>
      </w:r>
      <w:proofErr w:type="gramEnd"/>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w:t>
      </w:r>
      <w:proofErr w:type="gramStart"/>
      <w:r w:rsidR="00526425" w:rsidRPr="003E1997">
        <w:rPr>
          <w:rFonts w:cstheme="minorHAnsi"/>
          <w:color w:val="000000" w:themeColor="text1"/>
          <w:sz w:val="24"/>
          <w:szCs w:val="24"/>
        </w:rPr>
        <w:t>is able to</w:t>
      </w:r>
      <w:proofErr w:type="gramEnd"/>
      <w:r w:rsidR="00526425" w:rsidRPr="003E1997">
        <w:rPr>
          <w:rFonts w:cstheme="minorHAnsi"/>
          <w:color w:val="000000" w:themeColor="text1"/>
          <w:sz w:val="24"/>
          <w:szCs w:val="24"/>
        </w:rPr>
        <w:t xml:space="preserve">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and compare the results with the baseline containing the policy effects.</w:t>
      </w:r>
      <w:r w:rsidR="001E0153">
        <w:rPr>
          <w:rFonts w:cstheme="minorHAnsi"/>
          <w:color w:val="000000" w:themeColor="text1"/>
          <w:sz w:val="24"/>
          <w:szCs w:val="24"/>
        </w:rPr>
        <w:t xml:space="preserve"> </w:t>
      </w:r>
      <w:commentRangeStart w:id="2"/>
      <w:r w:rsidR="008A33D8">
        <w:rPr>
          <w:rFonts w:cstheme="minorHAnsi"/>
          <w:color w:val="000000" w:themeColor="text1"/>
          <w:sz w:val="24"/>
          <w:szCs w:val="24"/>
        </w:rPr>
        <w:t xml:space="preserve">We find that reversing the public policy can both </w:t>
      </w:r>
      <w:r w:rsidR="008A33D8">
        <w:rPr>
          <w:rFonts w:cstheme="minorHAnsi"/>
          <w:color w:val="000000" w:themeColor="text1"/>
          <w:sz w:val="24"/>
          <w:szCs w:val="24"/>
        </w:rPr>
        <w:lastRenderedPageBreak/>
        <w:t>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2"/>
      <w:r w:rsidR="008A33D8">
        <w:rPr>
          <w:rStyle w:val="Kommentarhenvisning"/>
        </w:rPr>
        <w:commentReference w:id="2"/>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4BD8ACAE"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w:t>
      </w:r>
      <w:r w:rsidR="0035606B">
        <w:rPr>
          <w:sz w:val="24"/>
          <w:szCs w:val="24"/>
        </w:rPr>
        <w:t xml:space="preserve"> </w:t>
      </w:r>
      <w:commentRangeStart w:id="3"/>
      <w:commentRangeStart w:id="4"/>
      <w:r w:rsidR="0035606B" w:rsidRPr="0035606B">
        <w:rPr>
          <w:color w:val="FF0000"/>
          <w:sz w:val="24"/>
          <w:szCs w:val="24"/>
        </w:rPr>
        <w:t>The economics of job-search</w:t>
      </w:r>
      <w:r w:rsidR="0035606B">
        <w:rPr>
          <w:color w:val="FF0000"/>
          <w:sz w:val="24"/>
          <w:szCs w:val="24"/>
        </w:rPr>
        <w:t>: A Survey by Steven Lippman &amp; John J. McCall</w:t>
      </w:r>
      <w:r w:rsidR="00564798">
        <w:rPr>
          <w:color w:val="FF0000"/>
          <w:sz w:val="24"/>
          <w:szCs w:val="24"/>
        </w:rPr>
        <w:t>; Job search and unemployment insurance: New evidence from time use data by *Krueger &amp; Mueller 2010</w:t>
      </w:r>
      <w:r w:rsidR="006631F3" w:rsidRPr="0035606B">
        <w:rPr>
          <w:color w:val="FF0000"/>
          <w:sz w:val="24"/>
          <w:szCs w:val="24"/>
        </w:rPr>
        <w:t xml:space="preserve"> </w:t>
      </w:r>
      <w:commentRangeEnd w:id="3"/>
      <w:r w:rsidR="00564798">
        <w:rPr>
          <w:rStyle w:val="Kommentarhenvisning"/>
        </w:rPr>
        <w:commentReference w:id="3"/>
      </w:r>
      <w:commentRangeEnd w:id="4"/>
      <w:r w:rsidR="00564798">
        <w:rPr>
          <w:rStyle w:val="Kommentarhenvisning"/>
        </w:rPr>
        <w:commentReference w:id="4"/>
      </w:r>
      <w:r w:rsidR="006631F3" w:rsidRPr="003E1997">
        <w:rPr>
          <w:sz w:val="24"/>
          <w:szCs w:val="24"/>
        </w:rPr>
        <w:t>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 xml:space="preserve">Holmlund (1998); Krueger and Meyer (2002); cite: Unemployment duration and unemployment insurance: a comparative analysis based on Scandinavian micro data; </w:t>
      </w:r>
      <w:commentRangeStart w:id="5"/>
      <w:r w:rsidR="00564798">
        <w:rPr>
          <w:color w:val="4472C4" w:themeColor="accent1"/>
          <w:sz w:val="24"/>
          <w:szCs w:val="24"/>
        </w:rPr>
        <w:t>The consumption smoothing benefits of unemployment insurance by Jonathan Gruber</w:t>
      </w:r>
      <w:commentRangeEnd w:id="5"/>
      <w:r w:rsidR="00564798">
        <w:rPr>
          <w:rStyle w:val="Kommentarhenvisning"/>
        </w:rPr>
        <w:commentReference w:id="5"/>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w:t>
      </w:r>
      <w:proofErr w:type="gramStart"/>
      <w:r w:rsidRPr="003E1997">
        <w:rPr>
          <w:sz w:val="24"/>
          <w:szCs w:val="24"/>
        </w:rPr>
        <w:t>less</w:t>
      </w:r>
      <w:proofErr w:type="gramEnd"/>
      <w:r w:rsidRPr="003E1997">
        <w:rPr>
          <w:sz w:val="24"/>
          <w:szCs w:val="24"/>
        </w:rPr>
        <w:t xml:space="preserve">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not only increase unemployment spells</w:t>
      </w:r>
      <w:r w:rsidR="00A4234C">
        <w:rPr>
          <w:sz w:val="24"/>
          <w:szCs w:val="24"/>
        </w:rPr>
        <w:t>,</w:t>
      </w:r>
      <w:r w:rsidRPr="003E1997">
        <w:rPr>
          <w:sz w:val="24"/>
          <w:szCs w:val="24"/>
        </w:rPr>
        <w:t xml:space="preserve"> but</w:t>
      </w:r>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54066C47" w:rsidR="00813E13" w:rsidRPr="00C71265" w:rsidRDefault="00545AA3" w:rsidP="003E1997">
      <w:pPr>
        <w:spacing w:line="240" w:lineRule="auto"/>
        <w:rPr>
          <w:rFonts w:cstheme="minorHAnsi"/>
          <w:color w:val="FF0000"/>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commentRangeStart w:id="6"/>
      <w:commentRangeStart w:id="7"/>
      <w:r w:rsidR="003952BB" w:rsidRPr="003B4D5B">
        <w:rPr>
          <w:rFonts w:cstheme="minorHAnsi"/>
          <w:color w:val="4472C4" w:themeColor="accent1"/>
          <w:sz w:val="24"/>
          <w:szCs w:val="24"/>
        </w:rPr>
        <w:t>citations</w:t>
      </w:r>
      <w:commentRangeEnd w:id="6"/>
      <w:r w:rsidR="0058143A">
        <w:rPr>
          <w:rStyle w:val="Kommentarhenvisning"/>
        </w:rPr>
        <w:commentReference w:id="6"/>
      </w:r>
      <w:commentRangeEnd w:id="7"/>
      <w:r w:rsidR="005D7A7B">
        <w:rPr>
          <w:rStyle w:val="Kommentarhenvisning"/>
        </w:rPr>
        <w:commentReference w:id="7"/>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w:t>
      </w:r>
      <w:commentRangeStart w:id="8"/>
      <w:commentRangeStart w:id="9"/>
      <w:r w:rsidR="00852B11">
        <w:rPr>
          <w:rFonts w:cstheme="minorHAnsi"/>
          <w:color w:val="FF0000"/>
          <w:sz w:val="24"/>
          <w:szCs w:val="24"/>
        </w:rPr>
        <w:t>assumptions made.</w:t>
      </w:r>
      <w:r w:rsidR="00A906B8">
        <w:rPr>
          <w:rFonts w:cstheme="minorHAnsi"/>
          <w:color w:val="FF0000"/>
          <w:sz w:val="24"/>
          <w:szCs w:val="24"/>
        </w:rPr>
        <w:t xml:space="preserve"> </w:t>
      </w:r>
      <w:r w:rsidR="00A906B8" w:rsidRPr="00710873">
        <w:rPr>
          <w:rFonts w:cstheme="minorHAnsi"/>
          <w:noProof/>
          <w:color w:val="FF0000"/>
          <w:sz w:val="24"/>
          <w:szCs w:val="24"/>
        </w:rPr>
        <w:t>Zweimüller</w:t>
      </w:r>
      <w:r w:rsidR="00A906B8">
        <w:rPr>
          <w:rFonts w:cstheme="minorHAnsi"/>
          <w:color w:val="FF0000"/>
          <w:sz w:val="24"/>
          <w:szCs w:val="24"/>
        </w:rPr>
        <w:t xml:space="preserve"> </w:t>
      </w:r>
      <w:r w:rsidR="00A906B8">
        <w:rPr>
          <w:rFonts w:cstheme="minorHAnsi"/>
          <w:color w:val="FF0000"/>
          <w:sz w:val="24"/>
          <w:szCs w:val="24"/>
        </w:rPr>
        <w:fldChar w:fldCharType="begin" w:fldLock="1"/>
      </w:r>
      <w:r w:rsidR="00A906B8">
        <w:rPr>
          <w:rFonts w:cstheme="minorHAnsi"/>
          <w:color w:val="FF0000"/>
          <w:sz w:val="24"/>
          <w:szCs w:val="24"/>
        </w:rPr>
        <w:instrText>ADDIN CSL_CITATION {"citationItems":[{"id":"ITEM-1","itemData":{"author":[{"dropping-particle":"","family":"Zweimüller","given":"Josef","non-dropping-particle":"","parse-names":false,"suffix":""}],"id":"ITEM-1","issue":"276","issued":{"date-parts":[["2017"]]},"title":"Unemployment insurance and the labor market University of Zurich Department of Economics Unemployment Insurance and the Labor Market Josef Zweimüller","type":"article-journal"},"suppress-author":1,"uris":["http://www.mendeley.com/documents/?uuid=5b875fa6-4ab5-47ea-99c0-49aba806dd2d"]}],"mendeley":{"formattedCitation":"(2017)","plainTextFormattedCitation":"(2017)","previouslyFormattedCitation":"(Zweimüller, 2017)"},"properties":{"noteIndex":0},"schema":"https://github.com/citation-style-language/schema/raw/master/csl-citation.json"}</w:instrText>
      </w:r>
      <w:r w:rsidR="00A906B8">
        <w:rPr>
          <w:rFonts w:cstheme="minorHAnsi"/>
          <w:color w:val="FF0000"/>
          <w:sz w:val="24"/>
          <w:szCs w:val="24"/>
        </w:rPr>
        <w:fldChar w:fldCharType="separate"/>
      </w:r>
      <w:r w:rsidR="00A906B8" w:rsidRPr="00710873">
        <w:rPr>
          <w:rFonts w:cstheme="minorHAnsi"/>
          <w:noProof/>
          <w:color w:val="FF0000"/>
          <w:sz w:val="24"/>
          <w:szCs w:val="24"/>
        </w:rPr>
        <w:t>(2017)</w:t>
      </w:r>
      <w:r w:rsidR="00A906B8">
        <w:rPr>
          <w:rFonts w:cstheme="minorHAnsi"/>
          <w:color w:val="FF0000"/>
          <w:sz w:val="24"/>
          <w:szCs w:val="24"/>
        </w:rPr>
        <w:fldChar w:fldCharType="end"/>
      </w:r>
      <w:r w:rsidR="00A906B8">
        <w:rPr>
          <w:rFonts w:cstheme="minorHAnsi"/>
          <w:color w:val="FF0000"/>
          <w:sz w:val="24"/>
          <w:szCs w:val="24"/>
        </w:rPr>
        <w:t xml:space="preserve"> shows how differences in the wage adjustment process can lead to mixed conclusion</w:t>
      </w:r>
      <w:r w:rsidR="00C71265">
        <w:rPr>
          <w:rFonts w:cstheme="minorHAnsi"/>
          <w:color w:val="FF0000"/>
          <w:sz w:val="24"/>
          <w:szCs w:val="24"/>
        </w:rPr>
        <w:t xml:space="preserve"> when increasing UI</w:t>
      </w:r>
      <w:r w:rsidR="00A906B8">
        <w:rPr>
          <w:rFonts w:cstheme="minorHAnsi"/>
          <w:color w:val="FF0000"/>
          <w:sz w:val="24"/>
          <w:szCs w:val="24"/>
        </w:rPr>
        <w:t>, fully flexible wages will increase firms hiring costs thereby reducing vacancies, leading to larger macro effects of UI relative to micro effect</w:t>
      </w:r>
      <w:r w:rsidR="00802688">
        <w:rPr>
          <w:rFonts w:cstheme="minorHAnsi"/>
          <w:color w:val="FF0000"/>
          <w:sz w:val="24"/>
          <w:szCs w:val="24"/>
        </w:rPr>
        <w:t xml:space="preserve">, whereas this effect will be smaller/non-existent </w:t>
      </w:r>
      <w:r w:rsidR="00C71265">
        <w:rPr>
          <w:rFonts w:cstheme="minorHAnsi"/>
          <w:color w:val="FF0000"/>
          <w:sz w:val="24"/>
          <w:szCs w:val="24"/>
        </w:rPr>
        <w:t>when wages are rigid</w:t>
      </w:r>
      <w:r w:rsidR="00A906B8">
        <w:rPr>
          <w:rFonts w:cstheme="minorHAnsi"/>
          <w:color w:val="FF0000"/>
          <w:sz w:val="24"/>
          <w:szCs w:val="24"/>
        </w:rPr>
        <w:t xml:space="preserve">. He also shows how a falling marginal product of </w:t>
      </w:r>
      <w:proofErr w:type="spellStart"/>
      <w:r w:rsidR="00A906B8">
        <w:rPr>
          <w:rFonts w:cstheme="minorHAnsi"/>
          <w:color w:val="FF0000"/>
          <w:sz w:val="24"/>
          <w:szCs w:val="24"/>
        </w:rPr>
        <w:t>labor</w:t>
      </w:r>
      <w:proofErr w:type="spellEnd"/>
      <w:r w:rsidR="00C71265">
        <w:rPr>
          <w:rFonts w:cstheme="minorHAnsi"/>
          <w:color w:val="FF0000"/>
          <w:sz w:val="24"/>
          <w:szCs w:val="24"/>
        </w:rPr>
        <w:t xml:space="preserve"> </w:t>
      </w:r>
      <w:r w:rsidR="00C71265">
        <w:rPr>
          <w:rFonts w:cstheme="minorHAnsi"/>
          <w:color w:val="FF0000"/>
          <w:sz w:val="24"/>
          <w:szCs w:val="24"/>
        </w:rPr>
        <w:lastRenderedPageBreak/>
        <w:t xml:space="preserve">in contrast to assuming constant worker productivity, can in fact increase the number of vacancies when wages are ridged, thereby leading to a lower macro effect relatively to micro effects. </w:t>
      </w:r>
      <w:commentRangeEnd w:id="8"/>
      <w:r w:rsidR="00C71265">
        <w:rPr>
          <w:rStyle w:val="Kommentarhenvisning"/>
        </w:rPr>
        <w:commentReference w:id="8"/>
      </w:r>
      <w:commentRangeEnd w:id="9"/>
      <w:r w:rsidR="00C71265">
        <w:rPr>
          <w:rStyle w:val="Kommentarhenvisning"/>
        </w:rPr>
        <w:commentReference w:id="9"/>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10"/>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10"/>
      <w:r w:rsidR="00986D5C">
        <w:rPr>
          <w:rStyle w:val="Kommentarhenvisning"/>
        </w:rPr>
        <w:commentReference w:id="10"/>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lastRenderedPageBreak/>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model, and lastly a re-earning 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558F7508" w14:textId="6F703004" w:rsidR="004138E6" w:rsidRPr="003E199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w:t>
      </w:r>
      <w:proofErr w:type="gramStart"/>
      <w:r>
        <w:rPr>
          <w:rFonts w:ascii="Calibri" w:hAnsi="Calibri" w:cs="Calibri"/>
          <w:sz w:val="24"/>
          <w:szCs w:val="24"/>
        </w:rPr>
        <w:t>a number of</w:t>
      </w:r>
      <w:proofErr w:type="gramEnd"/>
      <w:r>
        <w:rPr>
          <w:rFonts w:ascii="Calibri" w:hAnsi="Calibri" w:cs="Calibri"/>
          <w:sz w:val="24"/>
          <w:szCs w:val="24"/>
        </w:rPr>
        <w:t xml:space="preserve">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r w:rsidR="00690B9C">
        <w:rPr>
          <w:rFonts w:ascii="Calibri" w:hAnsi="Calibri" w:cs="Calibri"/>
          <w:sz w:val="24"/>
          <w:szCs w:val="24"/>
        </w:rPr>
        <w:t>(</w:t>
      </w:r>
      <w:r w:rsidR="00690B9C" w:rsidRPr="00690B9C">
        <w:rPr>
          <w:rFonts w:ascii="Calibri" w:hAnsi="Calibri" w:cs="Calibri"/>
          <w:color w:val="FF0000"/>
          <w:sz w:val="24"/>
          <w:szCs w:val="24"/>
        </w:rPr>
        <w:t>Here we should conclude the discussion by citing the criticism on the missing macro effects, which authors are those?)</w:t>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It is worth noting at this point that the vast majority of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lastRenderedPageBreak/>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proofErr w:type="gramStart"/>
      <w:r w:rsidR="00A71594">
        <w:rPr>
          <w:rFonts w:ascii="Calibri" w:eastAsiaTheme="minorEastAsia" w:hAnsi="Calibri" w:cs="Calibri"/>
          <w:color w:val="000000" w:themeColor="text1"/>
          <w:sz w:val="24"/>
          <w:szCs w:val="24"/>
        </w:rPr>
        <w:t>in a given year</w:t>
      </w:r>
      <w:proofErr w:type="gramEnd"/>
      <w:r w:rsidR="00A71594">
        <w:rPr>
          <w:rFonts w:ascii="Calibri" w:eastAsiaTheme="minorEastAsia" w:hAnsi="Calibri" w:cs="Calibri"/>
          <w:color w:val="000000" w:themeColor="text1"/>
          <w:sz w:val="24"/>
          <w:szCs w:val="24"/>
        </w:rPr>
        <w:t xml:space="preserve">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w:t>
      </w:r>
      <w:proofErr w:type="gramStart"/>
      <w:r w:rsidRPr="00F13EAB">
        <w:rPr>
          <w:rFonts w:ascii="Calibri" w:hAnsi="Calibri" w:cs="Calibri"/>
          <w:color w:val="000000" w:themeColor="text1"/>
          <w:sz w:val="24"/>
          <w:szCs w:val="24"/>
        </w:rPr>
        <w:t>a number of</w:t>
      </w:r>
      <w:proofErr w:type="gramEnd"/>
      <w:r w:rsidRPr="00F13EAB">
        <w:rPr>
          <w:rFonts w:ascii="Calibri" w:hAnsi="Calibri" w:cs="Calibri"/>
          <w:color w:val="000000" w:themeColor="text1"/>
          <w:sz w:val="24"/>
          <w:szCs w:val="24"/>
        </w:rPr>
        <w:t xml:space="preserve"> attempts to tighten UI. The government reduced the duration of UI from four to two years in 2010. </w:t>
      </w:r>
      <w:proofErr w:type="gramStart"/>
      <w:r w:rsidR="004652AD" w:rsidRPr="00F13EAB">
        <w:rPr>
          <w:rFonts w:ascii="Calibri" w:hAnsi="Calibri" w:cs="Calibri"/>
          <w:color w:val="000000" w:themeColor="text1"/>
          <w:sz w:val="24"/>
          <w:szCs w:val="24"/>
        </w:rPr>
        <w:t>A number of</w:t>
      </w:r>
      <w:proofErr w:type="gramEnd"/>
      <w:r w:rsidR="004652AD" w:rsidRPr="00F13EAB">
        <w:rPr>
          <w:rFonts w:ascii="Calibri" w:hAnsi="Calibri" w:cs="Calibri"/>
          <w:color w:val="000000" w:themeColor="text1"/>
          <w:sz w:val="24"/>
          <w:szCs w:val="24"/>
        </w:rPr>
        <w:t xml:space="preserve">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lastRenderedPageBreak/>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lastRenderedPageBreak/>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proofErr w:type="spellStart"/>
      <w:r>
        <w:rPr>
          <w:rFonts w:ascii="Calibri" w:eastAsiaTheme="minorEastAsia" w:hAnsi="Calibri" w:cs="Calibri"/>
          <w:color w:val="000000" w:themeColor="text1"/>
          <w:sz w:val="24"/>
          <w:szCs w:val="24"/>
        </w:rPr>
        <w:t>ing</w:t>
      </w:r>
      <w:proofErr w:type="spellEnd"/>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w:t>
      </w:r>
      <w:proofErr w:type="gramStart"/>
      <w:r w:rsidR="00061079" w:rsidRPr="00A30D19">
        <w:rPr>
          <w:rFonts w:ascii="Calibri" w:eastAsiaTheme="minorEastAsia" w:hAnsi="Calibri" w:cs="Calibri"/>
          <w:sz w:val="24"/>
          <w:szCs w:val="24"/>
        </w:rPr>
        <w:t>time period</w:t>
      </w:r>
      <w:proofErr w:type="gramEnd"/>
      <w:r w:rsidR="00061079" w:rsidRPr="00A30D19">
        <w:rPr>
          <w:rFonts w:ascii="Calibri" w:eastAsiaTheme="minorEastAsia" w:hAnsi="Calibri" w:cs="Calibri"/>
          <w:sz w:val="24"/>
          <w:szCs w:val="24"/>
        </w:rPr>
        <w:t>.</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 xml:space="preserve">We take these issues into consideration and </w:t>
      </w:r>
      <w:proofErr w:type="gramStart"/>
      <w:r w:rsidR="00857898">
        <w:rPr>
          <w:rFonts w:ascii="Calibri" w:hAnsi="Calibri" w:cs="Calibri"/>
          <w:sz w:val="24"/>
          <w:szCs w:val="24"/>
        </w:rPr>
        <w:t>later on</w:t>
      </w:r>
      <w:proofErr w:type="gramEnd"/>
      <w:r w:rsidR="00857898">
        <w:rPr>
          <w:rFonts w:ascii="Calibri" w:hAnsi="Calibri" w:cs="Calibri"/>
          <w:sz w:val="24"/>
          <w:szCs w:val="24"/>
        </w:rPr>
        <w:t xml:space="preserve">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lastRenderedPageBreak/>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 xml:space="preserve">ur approach differentiate itself from most </w:t>
      </w:r>
      <w:r w:rsidR="000417B6" w:rsidRPr="003E1997">
        <w:rPr>
          <w:rFonts w:ascii="Calibri" w:hAnsi="Calibri" w:cs="Calibri"/>
          <w:sz w:val="24"/>
          <w:szCs w:val="24"/>
        </w:rPr>
        <w:lastRenderedPageBreak/>
        <w:t>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11"/>
      <w:commentRangeStart w:id="12"/>
      <w:commentRangeStart w:id="13"/>
      <w:commentRangeStart w:id="14"/>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11"/>
      <w:r w:rsidR="00590467" w:rsidRPr="003E1997">
        <w:rPr>
          <w:rStyle w:val="Kommentarhenvisning"/>
          <w:rFonts w:ascii="Calibri" w:hAnsi="Calibri" w:cs="Calibri"/>
          <w:sz w:val="24"/>
          <w:szCs w:val="24"/>
        </w:rPr>
        <w:commentReference w:id="11"/>
      </w:r>
      <w:commentRangeEnd w:id="12"/>
      <w:r w:rsidR="00C31F9C" w:rsidRPr="003E1997">
        <w:rPr>
          <w:rStyle w:val="Kommentarhenvisning"/>
          <w:rFonts w:ascii="Calibri" w:hAnsi="Calibri" w:cs="Calibri"/>
          <w:sz w:val="24"/>
          <w:szCs w:val="24"/>
        </w:rPr>
        <w:commentReference w:id="12"/>
      </w:r>
      <w:commentRangeEnd w:id="13"/>
      <w:r w:rsidR="00692E45" w:rsidRPr="003E1997">
        <w:rPr>
          <w:rStyle w:val="Kommentarhenvisning"/>
          <w:rFonts w:ascii="Calibri" w:hAnsi="Calibri" w:cs="Calibri"/>
          <w:sz w:val="24"/>
          <w:szCs w:val="24"/>
        </w:rPr>
        <w:commentReference w:id="13"/>
      </w:r>
      <w:commentRangeEnd w:id="14"/>
      <w:r w:rsidR="004E23C5" w:rsidRPr="003E1997">
        <w:rPr>
          <w:rStyle w:val="Kommentarhenvisning"/>
          <w:rFonts w:ascii="Calibri" w:hAnsi="Calibri" w:cs="Calibri"/>
          <w:sz w:val="24"/>
          <w:szCs w:val="24"/>
        </w:rPr>
        <w:commentReference w:id="14"/>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15"/>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w:t>
      </w:r>
      <w:proofErr w:type="gramStart"/>
      <w:r w:rsidR="00C57F78" w:rsidRPr="003E1997">
        <w:rPr>
          <w:rFonts w:ascii="Calibri" w:hAnsi="Calibri" w:cs="Calibri"/>
          <w:sz w:val="24"/>
          <w:szCs w:val="24"/>
        </w:rPr>
        <w:t>case in reality</w:t>
      </w:r>
      <w:proofErr w:type="gramEnd"/>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16"/>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16"/>
      <w:r w:rsidR="00BE79C7" w:rsidRPr="003E1997">
        <w:rPr>
          <w:rStyle w:val="Kommentarhenvisning"/>
          <w:rFonts w:ascii="Calibri" w:hAnsi="Calibri" w:cs="Calibri"/>
          <w:sz w:val="24"/>
          <w:szCs w:val="24"/>
        </w:rPr>
        <w:commentReference w:id="16"/>
      </w:r>
      <w:commentRangeEnd w:id="15"/>
      <w:r w:rsidR="000865A5">
        <w:rPr>
          <w:rStyle w:val="Kommentarhenvisning"/>
        </w:rPr>
        <w:commentReference w:id="15"/>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proofErr w:type="gramStart"/>
      <w:r w:rsidR="000865A5">
        <w:rPr>
          <w:rFonts w:ascii="Calibri" w:hAnsi="Calibri" w:cs="Calibri"/>
          <w:sz w:val="24"/>
          <w:szCs w:val="24"/>
        </w:rPr>
        <w:t>wages</w:t>
      </w:r>
      <w:proofErr w:type="gramEnd"/>
      <w:r w:rsidR="000865A5">
        <w:rPr>
          <w:rFonts w:ascii="Calibri" w:hAnsi="Calibri" w:cs="Calibri"/>
          <w:sz w:val="24"/>
          <w:szCs w:val="24"/>
        </w:rPr>
        <w:t xml:space="preserve">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w:t>
      </w:r>
      <w:proofErr w:type="gramStart"/>
      <w:r w:rsidR="00712973" w:rsidRPr="003E1997">
        <w:rPr>
          <w:rFonts w:ascii="Calibri" w:hAnsi="Calibri" w:cs="Calibri"/>
          <w:sz w:val="24"/>
          <w:szCs w:val="24"/>
        </w:rPr>
        <w:t>in order to</w:t>
      </w:r>
      <w:proofErr w:type="gramEnd"/>
      <w:r w:rsidR="00712973" w:rsidRPr="003E1997">
        <w:rPr>
          <w:rFonts w:ascii="Calibri" w:hAnsi="Calibri" w:cs="Calibri"/>
          <w:sz w:val="24"/>
          <w:szCs w:val="24"/>
        </w:rPr>
        <w:t xml:space="preserve">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w:t>
      </w:r>
      <w:proofErr w:type="gramStart"/>
      <w:r w:rsidR="0001379B">
        <w:rPr>
          <w:rFonts w:ascii="Calibri" w:hAnsi="Calibri" w:cs="Calibri"/>
          <w:sz w:val="24"/>
          <w:szCs w:val="24"/>
        </w:rPr>
        <w:t>drop in</w:t>
      </w:r>
      <w:proofErr w:type="gramEnd"/>
      <w:r w:rsidR="0001379B">
        <w:rPr>
          <w:rFonts w:ascii="Calibri" w:hAnsi="Calibri" w:cs="Calibri"/>
          <w:sz w:val="24"/>
          <w:szCs w:val="24"/>
        </w:rPr>
        <w:t xml:space="preserve">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lastRenderedPageBreak/>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w:t>
      </w:r>
      <w:r w:rsidR="00D11D82" w:rsidRPr="003E1997">
        <w:rPr>
          <w:rFonts w:ascii="Calibri" w:eastAsiaTheme="minorEastAsia" w:hAnsi="Calibri" w:cs="Calibri"/>
          <w:sz w:val="24"/>
          <w:szCs w:val="24"/>
        </w:rPr>
        <w:lastRenderedPageBreak/>
        <w:t xml:space="preserve">increase in the part of household coming from social transfers. Unlike the situation in scenario 1 and 2, no crowding out effect on wages and prices can be found directly </w:t>
      </w:r>
      <w:proofErr w:type="gramStart"/>
      <w:r w:rsidR="00D11D82" w:rsidRPr="003E1997">
        <w:rPr>
          <w:rFonts w:ascii="Calibri" w:eastAsiaTheme="minorEastAsia" w:hAnsi="Calibri" w:cs="Calibri"/>
          <w:sz w:val="24"/>
          <w:szCs w:val="24"/>
        </w:rPr>
        <w:t>as a result of</w:t>
      </w:r>
      <w:proofErr w:type="gramEnd"/>
      <w:r w:rsidR="00D11D82" w:rsidRPr="003E1997">
        <w:rPr>
          <w:rFonts w:ascii="Calibri" w:eastAsiaTheme="minorEastAsia" w:hAnsi="Calibri" w:cs="Calibri"/>
          <w:sz w:val="24"/>
          <w:szCs w:val="24"/>
        </w:rPr>
        <w:t xml:space="preserve">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 xml:space="preserve">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w:t>
      </w:r>
      <w:r w:rsidR="004C2E69" w:rsidRPr="003E1997">
        <w:rPr>
          <w:rFonts w:ascii="Calibri" w:hAnsi="Calibri" w:cs="Calibri"/>
          <w:sz w:val="24"/>
          <w:szCs w:val="24"/>
        </w:rPr>
        <w:lastRenderedPageBreak/>
        <w:t>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w:t>
      </w:r>
      <w:proofErr w:type="gramStart"/>
      <w:r w:rsidR="0013694F" w:rsidRPr="00D9286C">
        <w:rPr>
          <w:b/>
          <w:bCs/>
        </w:rPr>
        <w:t>program</w:t>
      </w:r>
      <w:proofErr w:type="gramEnd"/>
      <w:r w:rsidR="0013694F" w:rsidRPr="00D9286C">
        <w:rPr>
          <w:b/>
          <w:bCs/>
        </w:rPr>
        <w:t xml:space="preserve">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w:t>
      </w:r>
      <w:proofErr w:type="gramStart"/>
      <w:r w:rsidR="0018198D" w:rsidRPr="003E1997">
        <w:rPr>
          <w:rFonts w:ascii="Calibri" w:hAnsi="Calibri" w:cs="Calibri"/>
        </w:rPr>
        <w:t>reason</w:t>
      </w:r>
      <w:proofErr w:type="gramEnd"/>
      <w:r w:rsidR="0018198D" w:rsidRPr="003E1997">
        <w:rPr>
          <w:rFonts w:ascii="Calibri" w:hAnsi="Calibri" w:cs="Calibri"/>
        </w:rPr>
        <w:t xml:space="preserve">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 xml:space="preserve">should be set lower than </w:t>
      </w:r>
      <w:r w:rsidR="008C3542" w:rsidRPr="003E1997">
        <w:rPr>
          <w:rFonts w:ascii="Calibri" w:hAnsi="Calibri" w:cs="Calibri"/>
        </w:rPr>
        <w:lastRenderedPageBreak/>
        <w:t>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lastRenderedPageBreak/>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w:t>
      </w:r>
      <w:proofErr w:type="gramStart"/>
      <w:r w:rsidRPr="003E1997">
        <w:rPr>
          <w:rFonts w:ascii="Calibri" w:hAnsi="Calibri" w:cs="Calibri"/>
          <w:sz w:val="24"/>
          <w:szCs w:val="24"/>
        </w:rPr>
        <w:t>taking into account</w:t>
      </w:r>
      <w:proofErr w:type="gramEnd"/>
      <w:r w:rsidRPr="003E1997">
        <w:rPr>
          <w:rFonts w:ascii="Calibri" w:hAnsi="Calibri" w:cs="Calibri"/>
          <w:sz w:val="24"/>
          <w:szCs w:val="24"/>
        </w:rPr>
        <w:t xml:space="preserve">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Second, the drop in consumption a</w:t>
      </w:r>
      <w:proofErr w:type="spellStart"/>
      <w:r w:rsidR="00573A0D" w:rsidRPr="003E1997">
        <w:rPr>
          <w:rFonts w:ascii="Calibri" w:hAnsi="Calibri" w:cs="Calibri"/>
          <w:sz w:val="24"/>
          <w:szCs w:val="24"/>
        </w:rPr>
        <w:t>s</w:t>
      </w:r>
      <w:proofErr w:type="spellEnd"/>
      <w:r w:rsidR="00573A0D" w:rsidRPr="003E1997">
        <w:rPr>
          <w:rFonts w:ascii="Calibri" w:hAnsi="Calibri" w:cs="Calibri"/>
          <w:sz w:val="24"/>
          <w:szCs w:val="24"/>
        </w:rPr>
        <w:t xml:space="preserve">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w:t>
      </w:r>
      <w:r w:rsidR="008668D4" w:rsidRPr="003E1997">
        <w:rPr>
          <w:rFonts w:ascii="Calibri" w:eastAsiaTheme="minorEastAsia" w:hAnsi="Calibri" w:cs="Calibri"/>
          <w:sz w:val="24"/>
          <w:szCs w:val="24"/>
        </w:rPr>
        <w:lastRenderedPageBreak/>
        <w:t xml:space="preserve">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As they argue that changes in the level of income insurance 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17"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17"/>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w:t>
      </w:r>
      <w:proofErr w:type="gramStart"/>
      <w:r w:rsidR="00D44FD0" w:rsidRPr="003E1997">
        <w:rPr>
          <w:rFonts w:ascii="Calibri" w:eastAsiaTheme="minorEastAsia" w:hAnsi="Calibri" w:cs="Calibri"/>
          <w:sz w:val="24"/>
          <w:szCs w:val="24"/>
        </w:rPr>
        <w:t>taking into account</w:t>
      </w:r>
      <w:proofErr w:type="gramEnd"/>
      <w:r w:rsidR="00D44FD0" w:rsidRPr="003E1997">
        <w:rPr>
          <w:rFonts w:ascii="Calibri" w:eastAsiaTheme="minorEastAsia" w:hAnsi="Calibri" w:cs="Calibri"/>
          <w:sz w:val="24"/>
          <w:szCs w:val="24"/>
        </w:rPr>
        <w:t xml:space="preserve">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 xml:space="preserve">This leaves us to </w:t>
      </w:r>
      <w:r w:rsidR="00D44FD0" w:rsidRPr="003E1997">
        <w:rPr>
          <w:rFonts w:ascii="Calibri" w:eastAsiaTheme="minorEastAsia" w:hAnsi="Calibri" w:cs="Calibri"/>
          <w:sz w:val="24"/>
          <w:szCs w:val="24"/>
        </w:rPr>
        <w:lastRenderedPageBreak/>
        <w:t>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18"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18"/>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19"/>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19"/>
      <w:r w:rsidR="0018198D" w:rsidRPr="003E1997">
        <w:rPr>
          <w:rStyle w:val="Kommentarhenvisning"/>
          <w:rFonts w:ascii="Calibri" w:hAnsi="Calibri" w:cs="Calibri"/>
          <w:sz w:val="24"/>
          <w:szCs w:val="24"/>
        </w:rPr>
        <w:commentReference w:id="19"/>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proofErr w:type="gramStart"/>
      <w:r>
        <w:rPr>
          <w:rFonts w:ascii="Calibri" w:eastAsiaTheme="minorEastAsia" w:hAnsi="Calibri" w:cs="Calibri"/>
          <w:sz w:val="24"/>
          <w:szCs w:val="24"/>
        </w:rPr>
        <w:t xml:space="preserve">6 </w:t>
      </w:r>
      <w:commentRangeStart w:id="20"/>
      <w:commentRangeStart w:id="21"/>
      <w:r w:rsidR="006409C0" w:rsidRPr="00D9286C">
        <w:rPr>
          <w:b/>
          <w:bCs/>
        </w:rPr>
        <w:t xml:space="preserve"> </w:t>
      </w:r>
      <w:r w:rsidR="004C5315" w:rsidRPr="00D9286C">
        <w:rPr>
          <w:b/>
          <w:bCs/>
        </w:rPr>
        <w:t>Conclusion</w:t>
      </w:r>
      <w:commentRangeEnd w:id="20"/>
      <w:proofErr w:type="gramEnd"/>
      <w:r w:rsidR="00AC1E57" w:rsidRPr="00D9286C">
        <w:rPr>
          <w:b/>
          <w:bCs/>
        </w:rPr>
        <w:commentReference w:id="20"/>
      </w:r>
      <w:commentRangeEnd w:id="21"/>
      <w:r w:rsidR="004C7C78" w:rsidRPr="00D9286C">
        <w:rPr>
          <w:b/>
          <w:bCs/>
        </w:rPr>
        <w:commentReference w:id="21"/>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22"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w:t>
      </w:r>
      <w:r w:rsidRPr="003E1997">
        <w:rPr>
          <w:rFonts w:ascii="Calibri" w:hAnsi="Calibri" w:cs="Calibri"/>
          <w:sz w:val="24"/>
          <w:szCs w:val="24"/>
        </w:rPr>
        <w:lastRenderedPageBreak/>
        <w:t xml:space="preserve">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22"/>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23"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23"/>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24"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24"/>
      <w:r w:rsidR="0062727A" w:rsidRPr="003E1997">
        <w:rPr>
          <w:rFonts w:ascii="Calibri" w:hAnsi="Calibri" w:cs="Calibri"/>
          <w:sz w:val="24"/>
          <w:szCs w:val="24"/>
        </w:rPr>
        <w:t xml:space="preserve"> </w:t>
      </w:r>
      <w:bookmarkStart w:id="25"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25"/>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26"/>
      <w:r w:rsidR="00560ED3" w:rsidRPr="003E1997">
        <w:rPr>
          <w:rFonts w:ascii="Calibri" w:hAnsi="Calibri" w:cs="Calibri"/>
          <w:sz w:val="24"/>
          <w:szCs w:val="24"/>
        </w:rPr>
        <w:t>1500</w:t>
      </w:r>
      <w:commentRangeEnd w:id="26"/>
      <w:r w:rsidR="0076761C" w:rsidRPr="003E1997">
        <w:rPr>
          <w:rStyle w:val="Kommentarhenvisning"/>
          <w:rFonts w:ascii="Calibri" w:hAnsi="Calibri" w:cs="Calibri"/>
          <w:sz w:val="24"/>
          <w:szCs w:val="24"/>
        </w:rPr>
        <w:commentReference w:id="26"/>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 xml:space="preserve">income insurance companies </w:t>
      </w:r>
      <w:r w:rsidR="00F20542" w:rsidRPr="003E1997">
        <w:rPr>
          <w:rFonts w:ascii="Calibri" w:hAnsi="Calibri" w:cs="Calibri"/>
          <w:sz w:val="24"/>
          <w:szCs w:val="24"/>
        </w:rPr>
        <w:lastRenderedPageBreak/>
        <w:t>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w:t>
      </w:r>
      <w:proofErr w:type="gramStart"/>
      <w:r w:rsidR="00830830" w:rsidRPr="003E1997">
        <w:rPr>
          <w:rFonts w:ascii="Calibri" w:hAnsi="Calibri" w:cs="Calibri"/>
          <w:sz w:val="24"/>
          <w:szCs w:val="24"/>
        </w:rPr>
        <w:t>as a result of</w:t>
      </w:r>
      <w:proofErr w:type="gramEnd"/>
      <w:r w:rsidR="00830830" w:rsidRPr="003E1997">
        <w:rPr>
          <w:rFonts w:ascii="Calibri" w:hAnsi="Calibri" w:cs="Calibri"/>
          <w:sz w:val="24"/>
          <w:szCs w:val="24"/>
        </w:rPr>
        <w:t xml:space="preserve">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27"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27"/>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28"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28"/>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23C71DF4" w14:textId="6D4C8729" w:rsidR="00710873" w:rsidRPr="00710873" w:rsidRDefault="00333B3D" w:rsidP="00710873">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710873" w:rsidRPr="00710873">
        <w:rPr>
          <w:rFonts w:ascii="Calibri" w:hAnsi="Calibri" w:cs="Calibri"/>
          <w:noProof/>
          <w:sz w:val="24"/>
          <w:szCs w:val="24"/>
        </w:rPr>
        <w:t xml:space="preserve">Aastrup, M. (2018). 30 Års dagpengeforringelser. </w:t>
      </w:r>
      <w:r w:rsidR="00710873" w:rsidRPr="00710873">
        <w:rPr>
          <w:rFonts w:ascii="Calibri" w:hAnsi="Calibri" w:cs="Calibri"/>
          <w:i/>
          <w:iCs/>
          <w:noProof/>
          <w:sz w:val="24"/>
          <w:szCs w:val="24"/>
        </w:rPr>
        <w:t>Landsorganisationen</w:t>
      </w:r>
      <w:r w:rsidR="00710873" w:rsidRPr="00710873">
        <w:rPr>
          <w:rFonts w:ascii="Calibri" w:hAnsi="Calibri" w:cs="Calibri"/>
          <w:noProof/>
          <w:sz w:val="24"/>
          <w:szCs w:val="24"/>
        </w:rPr>
        <w:t xml:space="preserve">, </w:t>
      </w:r>
      <w:r w:rsidR="00710873" w:rsidRPr="00710873">
        <w:rPr>
          <w:rFonts w:ascii="Calibri" w:hAnsi="Calibri" w:cs="Calibri"/>
          <w:i/>
          <w:iCs/>
          <w:noProof/>
          <w:sz w:val="24"/>
          <w:szCs w:val="24"/>
        </w:rPr>
        <w:t>September 2018</w:t>
      </w:r>
      <w:r w:rsidR="00710873" w:rsidRPr="00710873">
        <w:rPr>
          <w:rFonts w:ascii="Calibri" w:hAnsi="Calibri" w:cs="Calibri"/>
          <w:noProof/>
          <w:sz w:val="24"/>
          <w:szCs w:val="24"/>
        </w:rPr>
        <w:t>.</w:t>
      </w:r>
    </w:p>
    <w:p w14:paraId="28D4DC8E"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Andersen, T. M., &amp; Svarer, M. (2006). Flexicurity: The Danish Labour-Market Model. </w:t>
      </w:r>
      <w:r w:rsidRPr="00710873">
        <w:rPr>
          <w:rFonts w:ascii="Calibri" w:hAnsi="Calibri" w:cs="Calibri"/>
          <w:i/>
          <w:iCs/>
          <w:noProof/>
          <w:sz w:val="24"/>
          <w:szCs w:val="24"/>
        </w:rPr>
        <w:t>Ekonomisk Debatt</w:t>
      </w:r>
      <w:r w:rsidRPr="00710873">
        <w:rPr>
          <w:rFonts w:ascii="Calibri" w:hAnsi="Calibri" w:cs="Calibri"/>
          <w:noProof/>
          <w:sz w:val="24"/>
          <w:szCs w:val="24"/>
        </w:rPr>
        <w:t xml:space="preserve">, </w:t>
      </w:r>
      <w:r w:rsidRPr="00710873">
        <w:rPr>
          <w:rFonts w:ascii="Calibri" w:hAnsi="Calibri" w:cs="Calibri"/>
          <w:i/>
          <w:iCs/>
          <w:noProof/>
          <w:sz w:val="24"/>
          <w:szCs w:val="24"/>
        </w:rPr>
        <w:t>1</w:t>
      </w:r>
      <w:r w:rsidRPr="00710873">
        <w:rPr>
          <w:rFonts w:ascii="Calibri" w:hAnsi="Calibri" w:cs="Calibri"/>
          <w:noProof/>
          <w:sz w:val="24"/>
          <w:szCs w:val="24"/>
        </w:rPr>
        <w:t>(April), 17–29.</w:t>
      </w:r>
    </w:p>
    <w:p w14:paraId="091DEEEF"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Andersen, T. M., Svarer, M., &amp; Vejlin, R. M. (2015). Litteraturreview af effekter af indretning af arbejdsunderstøttelsen. </w:t>
      </w:r>
      <w:r w:rsidRPr="00710873">
        <w:rPr>
          <w:rFonts w:ascii="Calibri" w:hAnsi="Calibri" w:cs="Calibri"/>
          <w:i/>
          <w:iCs/>
          <w:noProof/>
          <w:sz w:val="24"/>
          <w:szCs w:val="24"/>
        </w:rPr>
        <w:t>Beskæftigelsesministeriet</w:t>
      </w:r>
      <w:r w:rsidRPr="00710873">
        <w:rPr>
          <w:rFonts w:ascii="Calibri" w:hAnsi="Calibri" w:cs="Calibri"/>
          <w:noProof/>
          <w:sz w:val="24"/>
          <w:szCs w:val="24"/>
        </w:rPr>
        <w:t>, 1–99.</w:t>
      </w:r>
    </w:p>
    <w:p w14:paraId="5C63F4E7"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Boone, C., Dube, A., Goodman, L., &amp; Kaplan, E. (2021). Unemployment Insurance Generosity and Aggregate Employment. </w:t>
      </w:r>
      <w:r w:rsidRPr="00710873">
        <w:rPr>
          <w:rFonts w:ascii="Calibri" w:hAnsi="Calibri" w:cs="Calibri"/>
          <w:i/>
          <w:iCs/>
          <w:noProof/>
          <w:sz w:val="24"/>
          <w:szCs w:val="24"/>
        </w:rPr>
        <w:t>American Economic Journal: Economic Policy</w:t>
      </w:r>
      <w:r w:rsidRPr="00710873">
        <w:rPr>
          <w:rFonts w:ascii="Calibri" w:hAnsi="Calibri" w:cs="Calibri"/>
          <w:noProof/>
          <w:sz w:val="24"/>
          <w:szCs w:val="24"/>
        </w:rPr>
        <w:t xml:space="preserve">, </w:t>
      </w:r>
      <w:r w:rsidRPr="00710873">
        <w:rPr>
          <w:rFonts w:ascii="Calibri" w:hAnsi="Calibri" w:cs="Calibri"/>
          <w:i/>
          <w:iCs/>
          <w:noProof/>
          <w:sz w:val="24"/>
          <w:szCs w:val="24"/>
        </w:rPr>
        <w:t>13</w:t>
      </w:r>
      <w:r w:rsidRPr="00710873">
        <w:rPr>
          <w:rFonts w:ascii="Calibri" w:hAnsi="Calibri" w:cs="Calibri"/>
          <w:noProof/>
          <w:sz w:val="24"/>
          <w:szCs w:val="24"/>
        </w:rPr>
        <w:t>(2), 58–99. https://doi.org/10.1257/pol.20160613</w:t>
      </w:r>
    </w:p>
    <w:p w14:paraId="01B736F6"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Byrialsen, M. R., Raza, H., &amp; Valdecantos, S. (2022). </w:t>
      </w:r>
      <w:r w:rsidRPr="00710873">
        <w:rPr>
          <w:rFonts w:ascii="Calibri" w:hAnsi="Calibri" w:cs="Calibri"/>
          <w:i/>
          <w:iCs/>
          <w:noProof/>
          <w:sz w:val="24"/>
          <w:szCs w:val="24"/>
        </w:rPr>
        <w:t>QMDE : A QUARTERLY EMPIRICAL MODEL FOR THE DANISH ECONOMY : A STOCK-FLOW CONSISTENT APPROACH</w:t>
      </w:r>
      <w:r w:rsidRPr="00710873">
        <w:rPr>
          <w:rFonts w:ascii="Calibri" w:hAnsi="Calibri" w:cs="Calibri"/>
          <w:noProof/>
          <w:sz w:val="24"/>
          <w:szCs w:val="24"/>
        </w:rPr>
        <w:t xml:space="preserve">. </w:t>
      </w:r>
      <w:r w:rsidRPr="00710873">
        <w:rPr>
          <w:rFonts w:ascii="Calibri" w:hAnsi="Calibri" w:cs="Calibri"/>
          <w:i/>
          <w:iCs/>
          <w:noProof/>
          <w:sz w:val="24"/>
          <w:szCs w:val="24"/>
        </w:rPr>
        <w:t>79</w:t>
      </w:r>
      <w:r w:rsidRPr="00710873">
        <w:rPr>
          <w:rFonts w:ascii="Calibri" w:hAnsi="Calibri" w:cs="Calibri"/>
          <w:noProof/>
          <w:sz w:val="24"/>
          <w:szCs w:val="24"/>
        </w:rPr>
        <w:t>.</w:t>
      </w:r>
    </w:p>
    <w:p w14:paraId="6CC42433"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710873">
        <w:rPr>
          <w:rFonts w:ascii="Calibri" w:hAnsi="Calibri" w:cs="Calibri"/>
          <w:i/>
          <w:iCs/>
          <w:noProof/>
          <w:sz w:val="24"/>
          <w:szCs w:val="24"/>
        </w:rPr>
        <w:t>American Economic Review</w:t>
      </w:r>
      <w:r w:rsidRPr="00710873">
        <w:rPr>
          <w:rFonts w:ascii="Calibri" w:hAnsi="Calibri" w:cs="Calibri"/>
          <w:noProof/>
          <w:sz w:val="24"/>
          <w:szCs w:val="24"/>
        </w:rPr>
        <w:t xml:space="preserve">, </w:t>
      </w:r>
      <w:r w:rsidRPr="00710873">
        <w:rPr>
          <w:rFonts w:ascii="Calibri" w:hAnsi="Calibri" w:cs="Calibri"/>
          <w:i/>
          <w:iCs/>
          <w:noProof/>
          <w:sz w:val="24"/>
          <w:szCs w:val="24"/>
        </w:rPr>
        <w:t>105</w:t>
      </w:r>
      <w:r w:rsidRPr="00710873">
        <w:rPr>
          <w:rFonts w:ascii="Calibri" w:hAnsi="Calibri" w:cs="Calibri"/>
          <w:noProof/>
          <w:sz w:val="24"/>
          <w:szCs w:val="24"/>
        </w:rPr>
        <w:t>(5), 126–130. https://doi.org/10.1257/aer.p20151061</w:t>
      </w:r>
    </w:p>
    <w:p w14:paraId="3BADB882"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Carling, K., Holmlund, B., &amp; Vejsiu, A. (2001). </w:t>
      </w:r>
      <w:r w:rsidRPr="00710873">
        <w:rPr>
          <w:rFonts w:ascii="Calibri" w:hAnsi="Calibri" w:cs="Calibri"/>
          <w:i/>
          <w:iCs/>
          <w:noProof/>
          <w:sz w:val="24"/>
          <w:szCs w:val="24"/>
        </w:rPr>
        <w:t>Do Benefit Cuts Boost Job Finding ? Swedish Evidence from the 1990s</w:t>
      </w:r>
      <w:r w:rsidRPr="00710873">
        <w:rPr>
          <w:rFonts w:ascii="Calibri" w:hAnsi="Calibri" w:cs="Calibri"/>
          <w:noProof/>
          <w:sz w:val="24"/>
          <w:szCs w:val="24"/>
        </w:rPr>
        <w:t xml:space="preserve">. </w:t>
      </w:r>
      <w:r w:rsidRPr="00710873">
        <w:rPr>
          <w:rFonts w:ascii="Calibri" w:hAnsi="Calibri" w:cs="Calibri"/>
          <w:i/>
          <w:iCs/>
          <w:noProof/>
          <w:sz w:val="24"/>
          <w:szCs w:val="24"/>
        </w:rPr>
        <w:t>111</w:t>
      </w:r>
      <w:r w:rsidRPr="00710873">
        <w:rPr>
          <w:rFonts w:ascii="Calibri" w:hAnsi="Calibri" w:cs="Calibri"/>
          <w:noProof/>
          <w:sz w:val="24"/>
          <w:szCs w:val="24"/>
        </w:rPr>
        <w:t>(474), 766–790.</w:t>
      </w:r>
    </w:p>
    <w:p w14:paraId="128C2713"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Chetty, R. (2006). A general formula for the optimal level of social insurance. </w:t>
      </w:r>
      <w:r w:rsidRPr="00710873">
        <w:rPr>
          <w:rFonts w:ascii="Calibri" w:hAnsi="Calibri" w:cs="Calibri"/>
          <w:i/>
          <w:iCs/>
          <w:noProof/>
          <w:sz w:val="24"/>
          <w:szCs w:val="24"/>
        </w:rPr>
        <w:t xml:space="preserve">Journal of Public </w:t>
      </w:r>
      <w:r w:rsidRPr="00710873">
        <w:rPr>
          <w:rFonts w:ascii="Calibri" w:hAnsi="Calibri" w:cs="Calibri"/>
          <w:i/>
          <w:iCs/>
          <w:noProof/>
          <w:sz w:val="24"/>
          <w:szCs w:val="24"/>
        </w:rPr>
        <w:lastRenderedPageBreak/>
        <w:t>Economics</w:t>
      </w:r>
      <w:r w:rsidRPr="00710873">
        <w:rPr>
          <w:rFonts w:ascii="Calibri" w:hAnsi="Calibri" w:cs="Calibri"/>
          <w:noProof/>
          <w:sz w:val="24"/>
          <w:szCs w:val="24"/>
        </w:rPr>
        <w:t xml:space="preserve">, </w:t>
      </w:r>
      <w:r w:rsidRPr="00710873">
        <w:rPr>
          <w:rFonts w:ascii="Calibri" w:hAnsi="Calibri" w:cs="Calibri"/>
          <w:i/>
          <w:iCs/>
          <w:noProof/>
          <w:sz w:val="24"/>
          <w:szCs w:val="24"/>
        </w:rPr>
        <w:t>90</w:t>
      </w:r>
      <w:r w:rsidRPr="00710873">
        <w:rPr>
          <w:rFonts w:ascii="Calibri" w:hAnsi="Calibri" w:cs="Calibri"/>
          <w:noProof/>
          <w:sz w:val="24"/>
          <w:szCs w:val="24"/>
        </w:rPr>
        <w:t>(10–11), 1879–1901. https://doi.org/10.1016/j.jpubeco.2006.01.004</w:t>
      </w:r>
    </w:p>
    <w:p w14:paraId="25C3C132"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DØRS. (2014). </w:t>
      </w:r>
      <w:r w:rsidRPr="00710873">
        <w:rPr>
          <w:rFonts w:ascii="Calibri" w:hAnsi="Calibri" w:cs="Calibri"/>
          <w:i/>
          <w:iCs/>
          <w:noProof/>
          <w:sz w:val="24"/>
          <w:szCs w:val="24"/>
        </w:rPr>
        <w:t>Dansk økonomi. Efterår 2014 : Konjunkturvurdering ; Dagpengesystemet</w:t>
      </w:r>
      <w:r w:rsidRPr="00710873">
        <w:rPr>
          <w:rFonts w:ascii="Calibri" w:hAnsi="Calibri" w:cs="Calibri"/>
          <w:noProof/>
          <w:sz w:val="24"/>
          <w:szCs w:val="24"/>
        </w:rPr>
        <w:t>.</w:t>
      </w:r>
    </w:p>
    <w:p w14:paraId="61D764F7"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DØRS. (2022). </w:t>
      </w:r>
      <w:r w:rsidRPr="00710873">
        <w:rPr>
          <w:rFonts w:ascii="Calibri" w:hAnsi="Calibri" w:cs="Calibri"/>
          <w:i/>
          <w:iCs/>
          <w:noProof/>
          <w:sz w:val="24"/>
          <w:szCs w:val="24"/>
        </w:rPr>
        <w:t>RAPPORT FRA FORMANDSKABET DANSK ØKONOMI FORÅR 2022</w:t>
      </w:r>
      <w:r w:rsidRPr="00710873">
        <w:rPr>
          <w:rFonts w:ascii="Calibri" w:hAnsi="Calibri" w:cs="Calibri"/>
          <w:noProof/>
          <w:sz w:val="24"/>
          <w:szCs w:val="24"/>
        </w:rPr>
        <w:t>. https://dors.dk/raad-vismaend/loven.</w:t>
      </w:r>
    </w:p>
    <w:p w14:paraId="1F4954B7"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DREAM. (2013). </w:t>
      </w:r>
      <w:r w:rsidRPr="00710873">
        <w:rPr>
          <w:rFonts w:ascii="Calibri" w:hAnsi="Calibri" w:cs="Calibri"/>
          <w:i/>
          <w:iCs/>
          <w:noProof/>
          <w:sz w:val="24"/>
          <w:szCs w:val="24"/>
        </w:rPr>
        <w:t>Langsigtet økonomisk fremskrivning 2013</w:t>
      </w:r>
      <w:r w:rsidRPr="00710873">
        <w:rPr>
          <w:rFonts w:ascii="Calibri" w:hAnsi="Calibri" w:cs="Calibri"/>
          <w:noProof/>
          <w:sz w:val="24"/>
          <w:szCs w:val="24"/>
        </w:rPr>
        <w:t xml:space="preserve">. </w:t>
      </w:r>
      <w:r w:rsidRPr="00710873">
        <w:rPr>
          <w:rFonts w:ascii="Calibri" w:hAnsi="Calibri" w:cs="Calibri"/>
          <w:i/>
          <w:iCs/>
          <w:noProof/>
          <w:sz w:val="24"/>
          <w:szCs w:val="24"/>
        </w:rPr>
        <w:t>August</w:t>
      </w:r>
      <w:r w:rsidRPr="00710873">
        <w:rPr>
          <w:rFonts w:ascii="Calibri" w:hAnsi="Calibri" w:cs="Calibri"/>
          <w:noProof/>
          <w:sz w:val="24"/>
          <w:szCs w:val="24"/>
        </w:rPr>
        <w:t>.</w:t>
      </w:r>
    </w:p>
    <w:p w14:paraId="5B43A30E"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Falch, N. S. (2015). </w:t>
      </w:r>
      <w:r w:rsidRPr="00710873">
        <w:rPr>
          <w:rFonts w:ascii="Calibri" w:hAnsi="Calibri" w:cs="Calibri"/>
          <w:i/>
          <w:iCs/>
          <w:noProof/>
          <w:sz w:val="24"/>
          <w:szCs w:val="24"/>
        </w:rPr>
        <w:t>Three essays on unemployment insurance</w:t>
      </w:r>
      <w:r w:rsidRPr="00710873">
        <w:rPr>
          <w:rFonts w:ascii="Calibri" w:hAnsi="Calibri" w:cs="Calibri"/>
          <w:noProof/>
          <w:sz w:val="24"/>
          <w:szCs w:val="24"/>
        </w:rPr>
        <w:t xml:space="preserve">. </w:t>
      </w:r>
      <w:r w:rsidRPr="00710873">
        <w:rPr>
          <w:rFonts w:ascii="Calibri" w:hAnsi="Calibri" w:cs="Calibri"/>
          <w:i/>
          <w:iCs/>
          <w:noProof/>
          <w:sz w:val="24"/>
          <w:szCs w:val="24"/>
        </w:rPr>
        <w:t>April</w:t>
      </w:r>
      <w:r w:rsidRPr="00710873">
        <w:rPr>
          <w:rFonts w:ascii="Calibri" w:hAnsi="Calibri" w:cs="Calibri"/>
          <w:noProof/>
          <w:sz w:val="24"/>
          <w:szCs w:val="24"/>
        </w:rPr>
        <w:t>.</w:t>
      </w:r>
    </w:p>
    <w:p w14:paraId="4CD3413A"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Finkelstein, A., &amp; Chetty, R. (2012). </w:t>
      </w:r>
      <w:r w:rsidRPr="00710873">
        <w:rPr>
          <w:rFonts w:ascii="Calibri" w:hAnsi="Calibri" w:cs="Calibri"/>
          <w:i/>
          <w:iCs/>
          <w:noProof/>
          <w:sz w:val="24"/>
          <w:szCs w:val="24"/>
        </w:rPr>
        <w:t>SOCIAL INSURANCE: CONNECTING THEORY TO DATA</w:t>
      </w:r>
      <w:r w:rsidRPr="00710873">
        <w:rPr>
          <w:rFonts w:ascii="Calibri" w:hAnsi="Calibri" w:cs="Calibri"/>
          <w:noProof/>
          <w:sz w:val="24"/>
          <w:szCs w:val="24"/>
        </w:rPr>
        <w:t>.</w:t>
      </w:r>
    </w:p>
    <w:p w14:paraId="5F7A328C"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Fredriksson, P., &amp; Söderström, M. (2020). The equilibrium impact of unemployment insurance on unemployment: Evidence from a non-linear policy rule. </w:t>
      </w:r>
      <w:r w:rsidRPr="00710873">
        <w:rPr>
          <w:rFonts w:ascii="Calibri" w:hAnsi="Calibri" w:cs="Calibri"/>
          <w:i/>
          <w:iCs/>
          <w:noProof/>
          <w:sz w:val="24"/>
          <w:szCs w:val="24"/>
        </w:rPr>
        <w:t>Journal of Public Economics</w:t>
      </w:r>
      <w:r w:rsidRPr="00710873">
        <w:rPr>
          <w:rFonts w:ascii="Calibri" w:hAnsi="Calibri" w:cs="Calibri"/>
          <w:noProof/>
          <w:sz w:val="24"/>
          <w:szCs w:val="24"/>
        </w:rPr>
        <w:t xml:space="preserve">, </w:t>
      </w:r>
      <w:r w:rsidRPr="00710873">
        <w:rPr>
          <w:rFonts w:ascii="Calibri" w:hAnsi="Calibri" w:cs="Calibri"/>
          <w:i/>
          <w:iCs/>
          <w:noProof/>
          <w:sz w:val="24"/>
          <w:szCs w:val="24"/>
        </w:rPr>
        <w:t>187</w:t>
      </w:r>
      <w:r w:rsidRPr="00710873">
        <w:rPr>
          <w:rFonts w:ascii="Calibri" w:hAnsi="Calibri" w:cs="Calibri"/>
          <w:noProof/>
          <w:sz w:val="24"/>
          <w:szCs w:val="24"/>
        </w:rPr>
        <w:t>, 104199. https://doi.org/10.1016/j.jpubeco.2020.104199</w:t>
      </w:r>
    </w:p>
    <w:p w14:paraId="6DF214F3"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Ganong, P., Greig, F., Noel, P., Sullivan, D. M., &amp; Vavra, J. (2021). Micro and Macro Disincentive Effects of Expanded Unemployment Benefits. </w:t>
      </w:r>
      <w:r w:rsidRPr="00710873">
        <w:rPr>
          <w:rFonts w:ascii="Calibri" w:hAnsi="Calibri" w:cs="Calibri"/>
          <w:i/>
          <w:iCs/>
          <w:noProof/>
          <w:sz w:val="24"/>
          <w:szCs w:val="24"/>
        </w:rPr>
        <w:t>Working Paper</w:t>
      </w:r>
      <w:r w:rsidRPr="00710873">
        <w:rPr>
          <w:rFonts w:ascii="Calibri" w:hAnsi="Calibri" w:cs="Calibri"/>
          <w:noProof/>
          <w:sz w:val="24"/>
          <w:szCs w:val="24"/>
        </w:rPr>
        <w:t>.</w:t>
      </w:r>
    </w:p>
    <w:p w14:paraId="7B1AA449"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Hummelgaard, P. (2021). </w:t>
      </w:r>
      <w:r w:rsidRPr="00710873">
        <w:rPr>
          <w:rFonts w:ascii="Calibri" w:hAnsi="Calibri" w:cs="Calibri"/>
          <w:i/>
          <w:iCs/>
          <w:noProof/>
          <w:sz w:val="24"/>
          <w:szCs w:val="24"/>
        </w:rPr>
        <w:t>Spørgsmål nr:270</w:t>
      </w:r>
      <w:r w:rsidRPr="00710873">
        <w:rPr>
          <w:rFonts w:ascii="Calibri" w:hAnsi="Calibri" w:cs="Calibri"/>
          <w:noProof/>
          <w:sz w:val="24"/>
          <w:szCs w:val="24"/>
        </w:rPr>
        <w:t>. Beskæftigelses Ministeriet. https://www.ft.dk/samling/20201/almdel/beu/spm/270/svar/1776624/2384360/index.htm</w:t>
      </w:r>
    </w:p>
    <w:p w14:paraId="481D8805"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IS-Commission. (2015). </w:t>
      </w:r>
      <w:r w:rsidRPr="00710873">
        <w:rPr>
          <w:rFonts w:ascii="Calibri" w:hAnsi="Calibri" w:cs="Calibri"/>
          <w:i/>
          <w:iCs/>
          <w:noProof/>
          <w:sz w:val="24"/>
          <w:szCs w:val="24"/>
        </w:rPr>
        <w:t>Dagpengemodellen teknisk analyserapport</w:t>
      </w:r>
      <w:r w:rsidRPr="00710873">
        <w:rPr>
          <w:rFonts w:ascii="Calibri" w:hAnsi="Calibri" w:cs="Calibri"/>
          <w:noProof/>
          <w:sz w:val="24"/>
          <w:szCs w:val="24"/>
        </w:rPr>
        <w:t>.</w:t>
      </w:r>
    </w:p>
    <w:p w14:paraId="2FF7F944"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Jensen, M. T., &amp; Nørgaard, A. (2021). Prisen for at løfte dagpengene overdrives. </w:t>
      </w:r>
      <w:r w:rsidRPr="00710873">
        <w:rPr>
          <w:rFonts w:ascii="Calibri" w:hAnsi="Calibri" w:cs="Calibri"/>
          <w:i/>
          <w:iCs/>
          <w:noProof/>
          <w:sz w:val="24"/>
          <w:szCs w:val="24"/>
        </w:rPr>
        <w:t>Cevea</w:t>
      </w:r>
      <w:r w:rsidRPr="00710873">
        <w:rPr>
          <w:rFonts w:ascii="Calibri" w:hAnsi="Calibri" w:cs="Calibri"/>
          <w:noProof/>
          <w:sz w:val="24"/>
          <w:szCs w:val="24"/>
        </w:rPr>
        <w:t>, 1–10.</w:t>
      </w:r>
    </w:p>
    <w:p w14:paraId="57226A30"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Jurajda, Š. (2002). Estimating the effect of unemployment insurance compensation on the labor market histories of displaced workers. </w:t>
      </w:r>
      <w:r w:rsidRPr="00710873">
        <w:rPr>
          <w:rFonts w:ascii="Calibri" w:hAnsi="Calibri" w:cs="Calibri"/>
          <w:i/>
          <w:iCs/>
          <w:noProof/>
          <w:sz w:val="24"/>
          <w:szCs w:val="24"/>
        </w:rPr>
        <w:t>Journal of Econometrics</w:t>
      </w:r>
      <w:r w:rsidRPr="00710873">
        <w:rPr>
          <w:rFonts w:ascii="Calibri" w:hAnsi="Calibri" w:cs="Calibri"/>
          <w:noProof/>
          <w:sz w:val="24"/>
          <w:szCs w:val="24"/>
        </w:rPr>
        <w:t xml:space="preserve">, </w:t>
      </w:r>
      <w:r w:rsidRPr="00710873">
        <w:rPr>
          <w:rFonts w:ascii="Calibri" w:hAnsi="Calibri" w:cs="Calibri"/>
          <w:i/>
          <w:iCs/>
          <w:noProof/>
          <w:sz w:val="24"/>
          <w:szCs w:val="24"/>
        </w:rPr>
        <w:t>108</w:t>
      </w:r>
      <w:r w:rsidRPr="00710873">
        <w:rPr>
          <w:rFonts w:ascii="Calibri" w:hAnsi="Calibri" w:cs="Calibri"/>
          <w:noProof/>
          <w:sz w:val="24"/>
          <w:szCs w:val="24"/>
        </w:rPr>
        <w:t>(2), 227–252. https://doi.org/10.1016/S0304-4076(01)00135-X</w:t>
      </w:r>
    </w:p>
    <w:p w14:paraId="5E508E06"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Lalive, B. R., Landais, C., &amp; Zweimüller, J. (2015). </w:t>
      </w:r>
      <w:r w:rsidRPr="00710873">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710873">
        <w:rPr>
          <w:rFonts w:ascii="Calibri" w:hAnsi="Calibri" w:cs="Calibri"/>
          <w:noProof/>
          <w:sz w:val="24"/>
          <w:szCs w:val="24"/>
        </w:rPr>
        <w:t xml:space="preserve">. </w:t>
      </w:r>
      <w:r w:rsidRPr="00710873">
        <w:rPr>
          <w:rFonts w:ascii="Calibri" w:hAnsi="Calibri" w:cs="Calibri"/>
          <w:i/>
          <w:iCs/>
          <w:noProof/>
          <w:sz w:val="24"/>
          <w:szCs w:val="24"/>
        </w:rPr>
        <w:t>105</w:t>
      </w:r>
      <w:r w:rsidRPr="00710873">
        <w:rPr>
          <w:rFonts w:ascii="Calibri" w:hAnsi="Calibri" w:cs="Calibri"/>
          <w:noProof/>
          <w:sz w:val="24"/>
          <w:szCs w:val="24"/>
        </w:rPr>
        <w:t>(12), 3564–3596.</w:t>
      </w:r>
    </w:p>
    <w:p w14:paraId="53656D2C"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Michaillat, P. (2012). </w:t>
      </w:r>
      <w:r w:rsidRPr="00710873">
        <w:rPr>
          <w:rFonts w:ascii="Calibri" w:hAnsi="Calibri" w:cs="Calibri"/>
          <w:i/>
          <w:iCs/>
          <w:noProof/>
          <w:sz w:val="24"/>
          <w:szCs w:val="24"/>
        </w:rPr>
        <w:t>American Economic Association Do Matching Frictions Explain Unemployment ? Not in Bad Times Author ( s ): Pascal Michaillat Source : The American Economic Review , Vol . 102 , No . 4 ( JUNE 2012 ), pp . 1721-1750 Published by : American Economic Associati</w:t>
      </w:r>
      <w:r w:rsidRPr="00710873">
        <w:rPr>
          <w:rFonts w:ascii="Calibri" w:hAnsi="Calibri" w:cs="Calibri"/>
          <w:noProof/>
          <w:sz w:val="24"/>
          <w:szCs w:val="24"/>
        </w:rPr>
        <w:t xml:space="preserve">. </w:t>
      </w:r>
      <w:r w:rsidRPr="00710873">
        <w:rPr>
          <w:rFonts w:ascii="Calibri" w:hAnsi="Calibri" w:cs="Calibri"/>
          <w:i/>
          <w:iCs/>
          <w:noProof/>
          <w:sz w:val="24"/>
          <w:szCs w:val="24"/>
        </w:rPr>
        <w:t>102</w:t>
      </w:r>
      <w:r w:rsidRPr="00710873">
        <w:rPr>
          <w:rFonts w:ascii="Calibri" w:hAnsi="Calibri" w:cs="Calibri"/>
          <w:noProof/>
          <w:sz w:val="24"/>
          <w:szCs w:val="24"/>
        </w:rPr>
        <w:t>(4), 1721–1750.</w:t>
      </w:r>
    </w:p>
    <w:p w14:paraId="751A0786"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Risgaard, L. (2021). </w:t>
      </w:r>
      <w:r w:rsidRPr="00710873">
        <w:rPr>
          <w:rFonts w:ascii="Calibri" w:hAnsi="Calibri" w:cs="Calibri"/>
          <w:i/>
          <w:iCs/>
          <w:noProof/>
          <w:sz w:val="24"/>
          <w:szCs w:val="24"/>
        </w:rPr>
        <w:t>Mere tryghed til lønmodtagerne</w:t>
      </w:r>
      <w:r w:rsidRPr="00710873">
        <w:rPr>
          <w:rFonts w:ascii="Calibri" w:hAnsi="Calibri" w:cs="Calibri"/>
          <w:noProof/>
          <w:sz w:val="24"/>
          <w:szCs w:val="24"/>
        </w:rPr>
        <w:t>.</w:t>
      </w:r>
    </w:p>
    <w:p w14:paraId="029F9805"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Røed, K., &amp; Zhang, T. (2005). Unemployment duration and economic incentives - A quasi random-assignment approach. </w:t>
      </w:r>
      <w:r w:rsidRPr="00710873">
        <w:rPr>
          <w:rFonts w:ascii="Calibri" w:hAnsi="Calibri" w:cs="Calibri"/>
          <w:i/>
          <w:iCs/>
          <w:noProof/>
          <w:sz w:val="24"/>
          <w:szCs w:val="24"/>
        </w:rPr>
        <w:t>European Economic Review</w:t>
      </w:r>
      <w:r w:rsidRPr="00710873">
        <w:rPr>
          <w:rFonts w:ascii="Calibri" w:hAnsi="Calibri" w:cs="Calibri"/>
          <w:noProof/>
          <w:sz w:val="24"/>
          <w:szCs w:val="24"/>
        </w:rPr>
        <w:t xml:space="preserve">, </w:t>
      </w:r>
      <w:r w:rsidRPr="00710873">
        <w:rPr>
          <w:rFonts w:ascii="Calibri" w:hAnsi="Calibri" w:cs="Calibri"/>
          <w:i/>
          <w:iCs/>
          <w:noProof/>
          <w:sz w:val="24"/>
          <w:szCs w:val="24"/>
        </w:rPr>
        <w:t>49</w:t>
      </w:r>
      <w:r w:rsidRPr="00710873">
        <w:rPr>
          <w:rFonts w:ascii="Calibri" w:hAnsi="Calibri" w:cs="Calibri"/>
          <w:noProof/>
          <w:sz w:val="24"/>
          <w:szCs w:val="24"/>
        </w:rPr>
        <w:t>(7), 1799–1825. https://doi.org/10.1016/j.euroecorev.2004.04.001</w:t>
      </w:r>
    </w:p>
    <w:p w14:paraId="3F97A081"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szCs w:val="24"/>
        </w:rPr>
      </w:pPr>
      <w:r w:rsidRPr="00710873">
        <w:rPr>
          <w:rFonts w:ascii="Calibri" w:hAnsi="Calibri" w:cs="Calibri"/>
          <w:noProof/>
          <w:sz w:val="24"/>
          <w:szCs w:val="24"/>
        </w:rPr>
        <w:t xml:space="preserve">Topel, B. R. H. (1983). </w:t>
      </w:r>
      <w:r w:rsidRPr="00710873">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710873">
        <w:rPr>
          <w:rFonts w:ascii="Calibri" w:hAnsi="Calibri" w:cs="Calibri"/>
          <w:noProof/>
          <w:sz w:val="24"/>
          <w:szCs w:val="24"/>
        </w:rPr>
        <w:t xml:space="preserve">. </w:t>
      </w:r>
      <w:r w:rsidRPr="00710873">
        <w:rPr>
          <w:rFonts w:ascii="Calibri" w:hAnsi="Calibri" w:cs="Calibri"/>
          <w:i/>
          <w:iCs/>
          <w:noProof/>
          <w:sz w:val="24"/>
          <w:szCs w:val="24"/>
        </w:rPr>
        <w:t>73</w:t>
      </w:r>
      <w:r w:rsidRPr="00710873">
        <w:rPr>
          <w:rFonts w:ascii="Calibri" w:hAnsi="Calibri" w:cs="Calibri"/>
          <w:noProof/>
          <w:sz w:val="24"/>
          <w:szCs w:val="24"/>
        </w:rPr>
        <w:t>(4), 541–559.</w:t>
      </w:r>
    </w:p>
    <w:p w14:paraId="36F5408B" w14:textId="77777777" w:rsidR="00710873" w:rsidRPr="00710873" w:rsidRDefault="00710873" w:rsidP="00710873">
      <w:pPr>
        <w:widowControl w:val="0"/>
        <w:autoSpaceDE w:val="0"/>
        <w:autoSpaceDN w:val="0"/>
        <w:adjustRightInd w:val="0"/>
        <w:spacing w:line="240" w:lineRule="auto"/>
        <w:ind w:left="480" w:hanging="480"/>
        <w:rPr>
          <w:rFonts w:ascii="Calibri" w:hAnsi="Calibri" w:cs="Calibri"/>
          <w:noProof/>
          <w:sz w:val="24"/>
        </w:rPr>
      </w:pPr>
      <w:r w:rsidRPr="00710873">
        <w:rPr>
          <w:rFonts w:ascii="Calibri" w:hAnsi="Calibri" w:cs="Calibri"/>
          <w:noProof/>
          <w:sz w:val="24"/>
          <w:szCs w:val="24"/>
        </w:rPr>
        <w:t xml:space="preserve">Zweimüller, J. (2017). </w:t>
      </w:r>
      <w:r w:rsidRPr="00710873">
        <w:rPr>
          <w:rFonts w:ascii="Calibri" w:hAnsi="Calibri" w:cs="Calibri"/>
          <w:i/>
          <w:iCs/>
          <w:noProof/>
          <w:sz w:val="24"/>
          <w:szCs w:val="24"/>
        </w:rPr>
        <w:t xml:space="preserve">Unemployment insurance and the labor market University of Zurich </w:t>
      </w:r>
      <w:r w:rsidRPr="00710873">
        <w:rPr>
          <w:rFonts w:ascii="Calibri" w:hAnsi="Calibri" w:cs="Calibri"/>
          <w:i/>
          <w:iCs/>
          <w:noProof/>
          <w:sz w:val="24"/>
          <w:szCs w:val="24"/>
        </w:rPr>
        <w:lastRenderedPageBreak/>
        <w:t>Department of Economics Unemployment Insurance and the Labor Market Josef Zweimüller</w:t>
      </w:r>
      <w:r w:rsidRPr="00710873">
        <w:rPr>
          <w:rFonts w:ascii="Calibri" w:hAnsi="Calibri" w:cs="Calibri"/>
          <w:noProof/>
          <w:sz w:val="24"/>
          <w:szCs w:val="24"/>
        </w:rPr>
        <w:t xml:space="preserve">. </w:t>
      </w:r>
      <w:r w:rsidRPr="00710873">
        <w:rPr>
          <w:rFonts w:ascii="Calibri" w:hAnsi="Calibri" w:cs="Calibri"/>
          <w:i/>
          <w:iCs/>
          <w:noProof/>
          <w:sz w:val="24"/>
          <w:szCs w:val="24"/>
        </w:rPr>
        <w:t>276</w:t>
      </w:r>
      <w:r w:rsidRPr="00710873">
        <w:rPr>
          <w:rFonts w:ascii="Calibri" w:hAnsi="Calibri" w:cs="Calibri"/>
          <w:noProof/>
          <w:sz w:val="24"/>
          <w:szCs w:val="24"/>
        </w:rPr>
        <w:t>.</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29"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29"/>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30"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30"/>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w:t>
      </w:r>
      <w:proofErr w:type="gramStart"/>
      <w:r w:rsidR="00181228" w:rsidRPr="003E1997">
        <w:rPr>
          <w:rFonts w:ascii="Calibri" w:hAnsi="Calibri" w:cs="Calibri"/>
          <w:sz w:val="24"/>
          <w:szCs w:val="24"/>
        </w:rPr>
        <w:t>In an attempt to</w:t>
      </w:r>
      <w:proofErr w:type="gramEnd"/>
      <w:r w:rsidR="00181228" w:rsidRPr="003E1997">
        <w:rPr>
          <w:rFonts w:ascii="Calibri" w:hAnsi="Calibri" w:cs="Calibri"/>
          <w:sz w:val="24"/>
          <w:szCs w:val="24"/>
        </w:rPr>
        <w:t xml:space="preserve">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w:t>
      </w:r>
      <w:proofErr w:type="gramStart"/>
      <w:r w:rsidR="00572960" w:rsidRPr="003E1997">
        <w:rPr>
          <w:rFonts w:ascii="Calibri" w:hAnsi="Calibri" w:cs="Calibri"/>
          <w:sz w:val="24"/>
          <w:szCs w:val="24"/>
        </w:rPr>
        <w:t>consumption</w:t>
      </w:r>
      <w:proofErr w:type="gramEnd"/>
      <w:r w:rsidR="00572960" w:rsidRPr="003E1997">
        <w:rPr>
          <w:rFonts w:ascii="Calibri" w:hAnsi="Calibri" w:cs="Calibri"/>
          <w:sz w:val="24"/>
          <w:szCs w:val="24"/>
        </w:rPr>
        <w:t xml:space="preserve"> and export function. In the last plot we see </w:t>
      </w:r>
      <w:r w:rsidRPr="003E1997">
        <w:rPr>
          <w:rFonts w:ascii="Calibri" w:hAnsi="Calibri" w:cs="Calibri"/>
          <w:sz w:val="24"/>
          <w:szCs w:val="24"/>
        </w:rPr>
        <w:t xml:space="preserve">that the increase in consumption is </w:t>
      </w:r>
      <w:proofErr w:type="gramStart"/>
      <w:r w:rsidRPr="003E1997">
        <w:rPr>
          <w:rFonts w:ascii="Calibri" w:hAnsi="Calibri" w:cs="Calibri"/>
          <w:sz w:val="24"/>
          <w:szCs w:val="24"/>
        </w:rPr>
        <w:t>actually larger</w:t>
      </w:r>
      <w:proofErr w:type="gramEnd"/>
      <w:r w:rsidRPr="003E1997">
        <w:rPr>
          <w:rFonts w:ascii="Calibri" w:hAnsi="Calibri" w:cs="Calibri"/>
          <w:sz w:val="24"/>
          <w:szCs w:val="24"/>
        </w:rPr>
        <w:t xml:space="preserve">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31"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31"/>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32"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32"/>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Domestic securities issued by </w:t>
            </w:r>
            <w:proofErr w:type="gramStart"/>
            <w:r w:rsidRPr="003E1997">
              <w:rPr>
                <w:rFonts w:ascii="Calibri" w:hAnsi="Calibri" w:cs="Calibri"/>
                <w:sz w:val="24"/>
                <w:szCs w:val="24"/>
              </w:rPr>
              <w:t>Financial</w:t>
            </w:r>
            <w:proofErr w:type="gramEnd"/>
            <w:r w:rsidRPr="003E1997">
              <w:rPr>
                <w:rFonts w:ascii="Calibri" w:hAnsi="Calibri" w:cs="Calibri"/>
                <w:sz w:val="24"/>
                <w:szCs w:val="24"/>
              </w:rPr>
              <w:t xml:space="preserve">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xml:space="preserve">: Benefits received by Households subtracted with the amount paid in income </w:t>
      </w:r>
      <w:proofErr w:type="gramStart"/>
      <w:r w:rsidRPr="003E1997">
        <w:rPr>
          <w:rFonts w:ascii="Calibri" w:hAnsi="Calibri" w:cs="Calibri"/>
          <w:sz w:val="24"/>
          <w:szCs w:val="24"/>
        </w:rPr>
        <w:t>insurance</w:t>
      </w:r>
      <w:proofErr w:type="gramEnd"/>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0T08:05:00Z" w:initials="ST">
    <w:p w14:paraId="20B6D792" w14:textId="77777777" w:rsidR="003B0D5B" w:rsidRDefault="003B0D5B" w:rsidP="008C08BD">
      <w:pPr>
        <w:pStyle w:val="Kommentartekst"/>
      </w:pPr>
      <w:r>
        <w:rPr>
          <w:rStyle w:val="Kommentarhenvisning"/>
        </w:rPr>
        <w:annotationRef/>
      </w:r>
      <w:r>
        <w:t>LO, Cevea, FH</w:t>
      </w:r>
    </w:p>
  </w:comment>
  <w:comment w:id="1" w:author="Simon Thomsen" w:date="2023-02-20T10:55:00Z" w:initials="ST">
    <w:p w14:paraId="3782EC00" w14:textId="77777777" w:rsidR="00BF2693" w:rsidRDefault="00BF2693" w:rsidP="00D063F0">
      <w:pPr>
        <w:pStyle w:val="Kommentartekst"/>
      </w:pPr>
      <w:r>
        <w:rPr>
          <w:rStyle w:val="Kommentarhenvisning"/>
        </w:rPr>
        <w:annotationRef/>
      </w:r>
      <w:r>
        <w:t>Added more citations. (Mostly used the lit review by Andersen)</w:t>
      </w:r>
    </w:p>
  </w:comment>
  <w:comment w:id="2" w:author="Simon Thomsen" w:date="2023-02-20T08:51:00Z" w:initials="ST">
    <w:p w14:paraId="43298958" w14:textId="1FDDB3C5" w:rsidR="008A33D8" w:rsidRDefault="008A33D8" w:rsidP="00513D32">
      <w:pPr>
        <w:pStyle w:val="Kommentartekst"/>
      </w:pPr>
      <w:r>
        <w:rPr>
          <w:rStyle w:val="Kommentarhenvisning"/>
        </w:rPr>
        <w:annotationRef/>
      </w:r>
      <w:r>
        <w:rPr>
          <w:color w:val="FF0000"/>
        </w:rPr>
        <w:t>(What is the broader/main conclusion in one-two sentences?)</w:t>
      </w:r>
    </w:p>
  </w:comment>
  <w:comment w:id="3" w:author="Simon Thomsen" w:date="2023-02-21T12:39:00Z" w:initials="ST">
    <w:p w14:paraId="52655BB4" w14:textId="77777777" w:rsidR="00564798" w:rsidRDefault="00564798" w:rsidP="009C2F95">
      <w:pPr>
        <w:pStyle w:val="Kommentartekst"/>
      </w:pPr>
      <w:r>
        <w:rPr>
          <w:rStyle w:val="Kommentarhenvisning"/>
        </w:rPr>
        <w:annotationRef/>
      </w:r>
      <w:r>
        <w:t>added</w:t>
      </w:r>
    </w:p>
  </w:comment>
  <w:comment w:id="4" w:author="Simon Thomsen" w:date="2023-02-21T12:42:00Z" w:initials="ST">
    <w:p w14:paraId="5B1700D4" w14:textId="77777777" w:rsidR="00564798" w:rsidRDefault="00564798" w:rsidP="007C627C">
      <w:pPr>
        <w:pStyle w:val="Kommentartekst"/>
      </w:pPr>
      <w:r>
        <w:rPr>
          <w:rStyle w:val="Kommentarhenvisning"/>
        </w:rPr>
        <w:annotationRef/>
      </w:r>
      <w:r>
        <w:t>Dont know if there should be new lit (the one from 2010)</w:t>
      </w:r>
    </w:p>
  </w:comment>
  <w:comment w:id="5" w:author="Simon Thomsen" w:date="2023-02-21T12:37:00Z" w:initials="ST">
    <w:p w14:paraId="75044DC1" w14:textId="69C866A4" w:rsidR="00564798" w:rsidRDefault="00564798" w:rsidP="00AA6378">
      <w:pPr>
        <w:pStyle w:val="Kommentartekst"/>
      </w:pPr>
      <w:r>
        <w:rPr>
          <w:rStyle w:val="Kommentarhenvisning"/>
        </w:rPr>
        <w:annotationRef/>
      </w:r>
      <w:r>
        <w:t>added</w:t>
      </w:r>
    </w:p>
  </w:comment>
  <w:comment w:id="6" w:author="Simon Thomsen" w:date="2023-02-20T10:41:00Z" w:initials="ST">
    <w:p w14:paraId="688F98A3" w14:textId="6414B4CC" w:rsidR="0058143A" w:rsidRDefault="0058143A" w:rsidP="00675FD6">
      <w:pPr>
        <w:pStyle w:val="Kommentartekst"/>
      </w:pPr>
      <w:r>
        <w:rPr>
          <w:rStyle w:val="Kommentarhenvisning"/>
        </w:rPr>
        <w:annotationRef/>
      </w:r>
      <w:r>
        <w:t xml:space="preserve">(Diamond 1982; Mortensen and Pissarides 1994) </w:t>
      </w:r>
    </w:p>
  </w:comment>
  <w:comment w:id="7" w:author="Simon Thomsen" w:date="2023-02-20T11:19:00Z" w:initials="ST">
    <w:p w14:paraId="1E8C8315" w14:textId="77777777" w:rsidR="005D7A7B" w:rsidRDefault="005D7A7B" w:rsidP="009E34B3">
      <w:pPr>
        <w:pStyle w:val="Kommentartekst"/>
      </w:pPr>
      <w:r>
        <w:rPr>
          <w:rStyle w:val="Kommentarhenvisning"/>
        </w:rPr>
        <w:annotationRef/>
      </w:r>
      <w:r>
        <w:t>Or should it be lit using their model?</w:t>
      </w:r>
    </w:p>
  </w:comment>
  <w:comment w:id="8" w:author="Simon Thomsen" w:date="2023-02-20T13:49:00Z" w:initials="ST">
    <w:p w14:paraId="405CC06D" w14:textId="77777777" w:rsidR="00C71265" w:rsidRDefault="00C71265" w:rsidP="00795DCA">
      <w:pPr>
        <w:pStyle w:val="Kommentartekst"/>
      </w:pPr>
      <w:r>
        <w:rPr>
          <w:rStyle w:val="Kommentarhenvisning"/>
        </w:rPr>
        <w:annotationRef/>
      </w:r>
      <w:r>
        <w:rPr>
          <w:color w:val="FF0000"/>
        </w:rPr>
        <w:t xml:space="preserve">assumption of other variables such as, wage adjustment, labour participation rate, and productivity citation: (e.g., see the discussion on micro vs macro effects in Unemployment Insurance and the Labor Market∗ Josef Zweimuller) – In which cases, the macro effects can be larger or smaller than the micro effects should be explain in detail here! </w:t>
      </w:r>
    </w:p>
  </w:comment>
  <w:comment w:id="9" w:author="Simon Thomsen" w:date="2023-02-20T13:50:00Z" w:initials="ST">
    <w:p w14:paraId="257B4015" w14:textId="77777777" w:rsidR="00C71265" w:rsidRDefault="00C71265" w:rsidP="00A36AD4">
      <w:pPr>
        <w:pStyle w:val="Kommentartekst"/>
      </w:pPr>
      <w:r>
        <w:rPr>
          <w:rStyle w:val="Kommentarhenvisning"/>
        </w:rPr>
        <w:annotationRef/>
      </w:r>
      <w:r>
        <w:t xml:space="preserve">What does Hamid think? </w:t>
      </w:r>
    </w:p>
  </w:comment>
  <w:comment w:id="10" w:author="Simon Thomsen" w:date="2023-02-20T09:48:00Z" w:initials="ST">
    <w:p w14:paraId="415442DB" w14:textId="044BEFB1"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11" w:author="Simon Fløj Thomsen" w:date="2022-12-21T14:37:00Z" w:initials="SFT">
    <w:p w14:paraId="1D029492" w14:textId="1AFCCFC8" w:rsidR="00590467" w:rsidRDefault="00590467" w:rsidP="00AA6F4A">
      <w:pPr>
        <w:pStyle w:val="Kommentartekst"/>
      </w:pPr>
      <w:r>
        <w:rPr>
          <w:rStyle w:val="Kommentarhenvisning"/>
        </w:rPr>
        <w:annotationRef/>
      </w:r>
      <w:r>
        <w:t>Kommer meget pludseligt</w:t>
      </w:r>
    </w:p>
  </w:comment>
  <w:comment w:id="12"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3"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4"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16"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5"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19"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20"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21"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26"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B6D792" w15:done="0"/>
  <w15:commentEx w15:paraId="3782EC00" w15:done="0"/>
  <w15:commentEx w15:paraId="43298958" w15:done="0"/>
  <w15:commentEx w15:paraId="52655BB4" w15:done="0"/>
  <w15:commentEx w15:paraId="5B1700D4" w15:paraIdParent="52655BB4" w15:done="0"/>
  <w15:commentEx w15:paraId="75044DC1" w15:done="0"/>
  <w15:commentEx w15:paraId="688F98A3" w15:done="0"/>
  <w15:commentEx w15:paraId="1E8C8315" w15:paraIdParent="688F98A3" w15:done="0"/>
  <w15:commentEx w15:paraId="405CC06D" w15:done="0"/>
  <w15:commentEx w15:paraId="257B4015" w15:paraIdParent="405CC06D" w15:done="0"/>
  <w15:commentEx w15:paraId="415442DB"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DA82E" w16cex:dateUtc="2023-02-20T07:05:00Z"/>
  <w16cex:commentExtensible w16cex:durableId="279DD036" w16cex:dateUtc="2023-02-20T09:55:00Z"/>
  <w16cex:commentExtensible w16cex:durableId="279DB319" w16cex:dateUtc="2023-02-20T07:51:00Z"/>
  <w16cex:commentExtensible w16cex:durableId="279F39FE" w16cex:dateUtc="2023-02-21T11:39:00Z"/>
  <w16cex:commentExtensible w16cex:durableId="279F3AA2" w16cex:dateUtc="2023-02-21T11:42:00Z"/>
  <w16cex:commentExtensible w16cex:durableId="279F3974" w16cex:dateUtc="2023-02-21T11:37:00Z"/>
  <w16cex:commentExtensible w16cex:durableId="279DCCE9" w16cex:dateUtc="2023-02-20T09:41:00Z"/>
  <w16cex:commentExtensible w16cex:durableId="279DD5D7" w16cex:dateUtc="2023-02-20T10:19:00Z"/>
  <w16cex:commentExtensible w16cex:durableId="279DF8FF" w16cex:dateUtc="2023-02-20T12:49:00Z"/>
  <w16cex:commentExtensible w16cex:durableId="279DF915" w16cex:dateUtc="2023-02-20T12:50:00Z"/>
  <w16cex:commentExtensible w16cex:durableId="279DC059" w16cex:dateUtc="2023-02-20T08:48: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B6D792" w16cid:durableId="279DA82E"/>
  <w16cid:commentId w16cid:paraId="3782EC00" w16cid:durableId="279DD036"/>
  <w16cid:commentId w16cid:paraId="43298958" w16cid:durableId="279DB319"/>
  <w16cid:commentId w16cid:paraId="52655BB4" w16cid:durableId="279F39FE"/>
  <w16cid:commentId w16cid:paraId="5B1700D4" w16cid:durableId="279F3AA2"/>
  <w16cid:commentId w16cid:paraId="75044DC1" w16cid:durableId="279F3974"/>
  <w16cid:commentId w16cid:paraId="688F98A3" w16cid:durableId="279DCCE9"/>
  <w16cid:commentId w16cid:paraId="1E8C8315" w16cid:durableId="279DD5D7"/>
  <w16cid:commentId w16cid:paraId="405CC06D" w16cid:durableId="279DF8FF"/>
  <w16cid:commentId w16cid:paraId="257B4015" w16cid:durableId="279DF915"/>
  <w16cid:commentId w16cid:paraId="415442DB" w16cid:durableId="279DC059"/>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4A1DC" w14:textId="77777777" w:rsidR="00211EB1" w:rsidRDefault="00211EB1" w:rsidP="005F6ED0">
      <w:pPr>
        <w:spacing w:after="0" w:line="240" w:lineRule="auto"/>
      </w:pPr>
      <w:r>
        <w:separator/>
      </w:r>
    </w:p>
  </w:endnote>
  <w:endnote w:type="continuationSeparator" w:id="0">
    <w:p w14:paraId="1AA0D481" w14:textId="77777777" w:rsidR="00211EB1" w:rsidRDefault="00211EB1" w:rsidP="005F6ED0">
      <w:pPr>
        <w:spacing w:after="0" w:line="240" w:lineRule="auto"/>
      </w:pPr>
      <w:r>
        <w:continuationSeparator/>
      </w:r>
    </w:p>
  </w:endnote>
  <w:endnote w:type="continuationNotice" w:id="1">
    <w:p w14:paraId="08B43767" w14:textId="77777777" w:rsidR="00211EB1" w:rsidRDefault="00211E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BF589" w14:textId="77777777" w:rsidR="00211EB1" w:rsidRDefault="00211EB1" w:rsidP="005F6ED0">
      <w:pPr>
        <w:spacing w:after="0" w:line="240" w:lineRule="auto"/>
      </w:pPr>
      <w:r>
        <w:separator/>
      </w:r>
    </w:p>
  </w:footnote>
  <w:footnote w:type="continuationSeparator" w:id="0">
    <w:p w14:paraId="56ECFBEF" w14:textId="77777777" w:rsidR="00211EB1" w:rsidRDefault="00211EB1" w:rsidP="005F6ED0">
      <w:pPr>
        <w:spacing w:after="0" w:line="240" w:lineRule="auto"/>
      </w:pPr>
      <w:r>
        <w:continuationSeparator/>
      </w:r>
    </w:p>
  </w:footnote>
  <w:footnote w:type="continuationNotice" w:id="1">
    <w:p w14:paraId="326CBE08" w14:textId="77777777" w:rsidR="00211EB1" w:rsidRDefault="00211EB1">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w:t>
      </w:r>
      <w:proofErr w:type="gramStart"/>
      <w:r>
        <w:t>depend</w:t>
      </w:r>
      <w:proofErr w:type="gramEnd"/>
      <w:r>
        <w:t xml:space="preserve">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w:t>
      </w:r>
      <w:proofErr w:type="gramStart"/>
      <w:r w:rsidR="00A10016">
        <w:t xml:space="preserve">little </w:t>
      </w:r>
      <w:r w:rsidR="00556E2C">
        <w:t>cautions</w:t>
      </w:r>
      <w:proofErr w:type="gramEnd"/>
      <w:r w:rsidR="00556E2C">
        <w:t>.</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1EB1"/>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06B"/>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C89"/>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36B"/>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798"/>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143A"/>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D7A7B"/>
    <w:rsid w:val="005E1037"/>
    <w:rsid w:val="005E2F00"/>
    <w:rsid w:val="005E3761"/>
    <w:rsid w:val="005E461E"/>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0C0A"/>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873"/>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2688"/>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2B11"/>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7F8"/>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06B8"/>
    <w:rsid w:val="00A91153"/>
    <w:rsid w:val="00A913EA"/>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693"/>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3E2E"/>
    <w:rsid w:val="00C44380"/>
    <w:rsid w:val="00C454DE"/>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65"/>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581448364">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55</Pages>
  <Words>23676</Words>
  <Characters>134957</Characters>
  <Application>Microsoft Office Word</Application>
  <DocSecurity>0</DocSecurity>
  <Lines>1124</Lines>
  <Paragraphs>316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158317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9</cp:revision>
  <cp:lastPrinted>2022-11-30T09:36:00Z</cp:lastPrinted>
  <dcterms:created xsi:type="dcterms:W3CDTF">2023-02-19T15:24:00Z</dcterms:created>
  <dcterms:modified xsi:type="dcterms:W3CDTF">2023-02-21T11:58:00Z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