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4C9FAB73"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commentRangeStart w:id="1"/>
      <w:commentRangeStart w:id="2"/>
      <w:commentRangeStart w:id="3"/>
      <w:r w:rsidR="00B05A26">
        <w:rPr>
          <w:rFonts w:ascii="Calibri" w:hAnsi="Calibri" w:cs="Calibri"/>
          <w:color w:val="4472C4" w:themeColor="accent1"/>
          <w:sz w:val="24"/>
          <w:szCs w:val="24"/>
        </w:rPr>
        <w:fldChar w:fldCharType="begin" w:fldLock="1"/>
      </w:r>
      <w:r w:rsidR="00A93A27">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id":"ITEM-4","itemData":{"author":[{"dropping-particle":"","family":"DØRS","given":"","non-dropping-particle":"","parse-names":false,"suffix":""}],"id":"ITEM-4","issued":{"date-parts":[["2022"]]},"title":"RAPPORT FRA FORMANDSKABET DANSK ØKONOMI FORÅR 2022","type":"report"},"uris":["http://www.mendeley.com/documents/?uuid=ba41821c-8687-3dd4-967a-44acd8f66336"]}],"mendeley":{"formattedCitation":"(Aastrup, 2018; DØRS, 2022; Jensen &amp; Nørgaard, 2021; Risgaard, 2021)","plainTextFormattedCitation":"(Aastrup, 2018; DØRS, 2022; Jensen &amp; Nørgaard, 2021; Risgaard, 2021)","previouslyFormattedCitation":"(Aastrup, 2018; DØRS, 2022;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A93A27" w:rsidRPr="00A93A27">
        <w:rPr>
          <w:rFonts w:ascii="Calibri" w:hAnsi="Calibri" w:cs="Calibri"/>
          <w:noProof/>
          <w:color w:val="4472C4" w:themeColor="accent1"/>
          <w:sz w:val="24"/>
          <w:szCs w:val="24"/>
        </w:rPr>
        <w:t>(Aastrup, 2018; DØRS, 2022; Jensen &amp; Nørgaard, 2021; Risgaard, 2021)</w:t>
      </w:r>
      <w:r w:rsidR="00B05A26">
        <w:rPr>
          <w:rFonts w:ascii="Calibri" w:hAnsi="Calibri" w:cs="Calibri"/>
          <w:color w:val="4472C4" w:themeColor="accent1"/>
          <w:sz w:val="24"/>
          <w:szCs w:val="24"/>
        </w:rPr>
        <w:fldChar w:fldCharType="end"/>
      </w:r>
      <w:commentRangeEnd w:id="0"/>
      <w:r w:rsidR="00CD6AA8">
        <w:rPr>
          <w:rStyle w:val="Kommentarhenvisning"/>
        </w:rPr>
        <w:commentReference w:id="0"/>
      </w:r>
      <w:commentRangeEnd w:id="1"/>
      <w:r w:rsidR="00CD6AA8">
        <w:rPr>
          <w:rStyle w:val="Kommentarhenvisning"/>
        </w:rPr>
        <w:commentReference w:id="1"/>
      </w:r>
      <w:commentRangeEnd w:id="2"/>
      <w:r w:rsidR="00CD6AA8">
        <w:rPr>
          <w:rStyle w:val="Kommentarhenvisning"/>
        </w:rPr>
        <w:commentReference w:id="2"/>
      </w:r>
      <w:commentRangeEnd w:id="3"/>
      <w:r w:rsidR="00A93A27">
        <w:rPr>
          <w:rStyle w:val="Kommentarhenvisning"/>
        </w:rPr>
        <w:commentReference w:id="3"/>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4"/>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4"/>
      <w:r w:rsidR="00BF2693">
        <w:rPr>
          <w:rStyle w:val="Kommentarhenvisning"/>
        </w:rPr>
        <w:commentReference w:id="4"/>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Our paper contributes to the more recent literature by taking into account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proposed 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is able to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 xml:space="preserve">and compare the results with </w:t>
      </w:r>
      <w:r w:rsidR="00526425" w:rsidRPr="003E1997">
        <w:rPr>
          <w:rFonts w:cstheme="minorHAnsi"/>
          <w:color w:val="000000" w:themeColor="text1"/>
          <w:sz w:val="24"/>
          <w:szCs w:val="24"/>
        </w:rPr>
        <w:lastRenderedPageBreak/>
        <w:t>the baseline containing the policy effects.</w:t>
      </w:r>
      <w:r w:rsidR="001E0153">
        <w:rPr>
          <w:rFonts w:cstheme="minorHAnsi"/>
          <w:color w:val="000000" w:themeColor="text1"/>
          <w:sz w:val="24"/>
          <w:szCs w:val="24"/>
        </w:rPr>
        <w:t xml:space="preserve"> </w:t>
      </w:r>
      <w:commentRangeStart w:id="5"/>
      <w:r w:rsidR="008A33D8">
        <w:rPr>
          <w:rFonts w:cstheme="minorHAnsi"/>
          <w:color w:val="000000" w:themeColor="text1"/>
          <w:sz w:val="24"/>
          <w:szCs w:val="24"/>
        </w:rPr>
        <w:t>We find that reversing the public policy can both 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5"/>
      <w:r w:rsidR="008A33D8">
        <w:rPr>
          <w:rStyle w:val="Kommentarhenvisning"/>
        </w:rPr>
        <w:commentReference w:id="5"/>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4BD8ACAE"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w:t>
      </w:r>
      <w:r w:rsidR="0035606B">
        <w:rPr>
          <w:sz w:val="24"/>
          <w:szCs w:val="24"/>
        </w:rPr>
        <w:t xml:space="preserve"> </w:t>
      </w:r>
      <w:commentRangeStart w:id="6"/>
      <w:commentRangeStart w:id="7"/>
      <w:r w:rsidR="0035606B" w:rsidRPr="0035606B">
        <w:rPr>
          <w:color w:val="FF0000"/>
          <w:sz w:val="24"/>
          <w:szCs w:val="24"/>
        </w:rPr>
        <w:t>The economics of job-search</w:t>
      </w:r>
      <w:r w:rsidR="0035606B">
        <w:rPr>
          <w:color w:val="FF0000"/>
          <w:sz w:val="24"/>
          <w:szCs w:val="24"/>
        </w:rPr>
        <w:t>: A Survey by Steven Lippman &amp; John J. McCall</w:t>
      </w:r>
      <w:r w:rsidR="00564798">
        <w:rPr>
          <w:color w:val="FF0000"/>
          <w:sz w:val="24"/>
          <w:szCs w:val="24"/>
        </w:rPr>
        <w:t>; Job search and unemployment insurance: New evidence from time use data by *Krueger &amp; Mueller 2010</w:t>
      </w:r>
      <w:r w:rsidR="006631F3" w:rsidRPr="0035606B">
        <w:rPr>
          <w:color w:val="FF0000"/>
          <w:sz w:val="24"/>
          <w:szCs w:val="24"/>
        </w:rPr>
        <w:t xml:space="preserve"> </w:t>
      </w:r>
      <w:commentRangeEnd w:id="6"/>
      <w:r w:rsidR="00564798">
        <w:rPr>
          <w:rStyle w:val="Kommentarhenvisning"/>
        </w:rPr>
        <w:commentReference w:id="6"/>
      </w:r>
      <w:commentRangeEnd w:id="7"/>
      <w:r w:rsidR="00564798">
        <w:rPr>
          <w:rStyle w:val="Kommentarhenvisning"/>
        </w:rPr>
        <w:commentReference w:id="7"/>
      </w:r>
      <w:r w:rsidR="006631F3" w:rsidRPr="003E1997">
        <w:rPr>
          <w:sz w:val="24"/>
          <w:szCs w:val="24"/>
        </w:rPr>
        <w:t>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 xml:space="preserve">Holmlund (1998); Krueger and Meyer (2002); cite: Unemployment duration and unemployment insurance: a comparative analysis based on Scandinavian micro data; </w:t>
      </w:r>
      <w:commentRangeStart w:id="8"/>
      <w:r w:rsidR="00564798">
        <w:rPr>
          <w:color w:val="4472C4" w:themeColor="accent1"/>
          <w:sz w:val="24"/>
          <w:szCs w:val="24"/>
        </w:rPr>
        <w:t>The consumption smoothing benefits of unemployment insurance by Jonathan Gruber</w:t>
      </w:r>
      <w:commentRangeEnd w:id="8"/>
      <w:r w:rsidR="00564798">
        <w:rPr>
          <w:rStyle w:val="Kommentarhenvisning"/>
        </w:rPr>
        <w:commentReference w:id="8"/>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less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7F12AAD"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9"/>
      <w:commentRangeStart w:id="10"/>
      <w:r w:rsidR="003952BB" w:rsidRPr="003B4D5B">
        <w:rPr>
          <w:rFonts w:cstheme="minorHAnsi"/>
          <w:color w:val="4472C4" w:themeColor="accent1"/>
          <w:sz w:val="24"/>
          <w:szCs w:val="24"/>
        </w:rPr>
        <w:t>citations</w:t>
      </w:r>
      <w:commentRangeEnd w:id="9"/>
      <w:r w:rsidR="0058143A">
        <w:rPr>
          <w:rStyle w:val="Kommentarhenvisning"/>
        </w:rPr>
        <w:commentReference w:id="9"/>
      </w:r>
      <w:commentRangeEnd w:id="10"/>
      <w:r w:rsidR="005D7A7B">
        <w:rPr>
          <w:rStyle w:val="Kommentarhenvisning"/>
        </w:rPr>
        <w:commentReference w:id="10"/>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11"/>
      <w:commentRangeStart w:id="12"/>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3A27">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w:t>
      </w:r>
      <w:r w:rsidR="00802688">
        <w:rPr>
          <w:rFonts w:cstheme="minorHAnsi"/>
          <w:color w:val="FF0000"/>
          <w:sz w:val="24"/>
          <w:szCs w:val="24"/>
        </w:rPr>
        <w:lastRenderedPageBreak/>
        <w:t xml:space="preserve">smaller/non-existent </w:t>
      </w:r>
      <w:r w:rsidR="00C71265">
        <w:rPr>
          <w:rFonts w:cstheme="minorHAnsi"/>
          <w:color w:val="FF0000"/>
          <w:sz w:val="24"/>
          <w:szCs w:val="24"/>
        </w:rPr>
        <w:t>when wages are rigid</w:t>
      </w:r>
      <w:r w:rsidR="00A906B8">
        <w:rPr>
          <w:rFonts w:cstheme="minorHAnsi"/>
          <w:color w:val="FF0000"/>
          <w:sz w:val="24"/>
          <w:szCs w:val="24"/>
        </w:rPr>
        <w:t xml:space="preserve">. He also shows how a falling marginal product of </w:t>
      </w:r>
      <w:proofErr w:type="spellStart"/>
      <w:r w:rsidR="00A906B8">
        <w:rPr>
          <w:rFonts w:cstheme="minorHAnsi"/>
          <w:color w:val="FF0000"/>
          <w:sz w:val="24"/>
          <w:szCs w:val="24"/>
        </w:rPr>
        <w:t>labor</w:t>
      </w:r>
      <w:proofErr w:type="spellEnd"/>
      <w:r w:rsidR="00C71265">
        <w:rPr>
          <w:rFonts w:cstheme="minorHAnsi"/>
          <w:color w:val="FF0000"/>
          <w:sz w:val="24"/>
          <w:szCs w:val="24"/>
        </w:rPr>
        <w:t xml:space="preserve"> in contrast to assuming constant worker productivity, can in fact increase the number of vacancies when wages are ridged, thereby leading to a lower macro effect relatively to micro effects. </w:t>
      </w:r>
      <w:commentRangeEnd w:id="11"/>
      <w:r w:rsidR="00C71265">
        <w:rPr>
          <w:rStyle w:val="Kommentarhenvisning"/>
        </w:rPr>
        <w:commentReference w:id="11"/>
      </w:r>
      <w:commentRangeEnd w:id="12"/>
      <w:r w:rsidR="00C71265">
        <w:rPr>
          <w:rStyle w:val="Kommentarhenvisning"/>
        </w:rPr>
        <w:commentReference w:id="12"/>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13"/>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13"/>
      <w:r w:rsidR="00986D5C">
        <w:rPr>
          <w:rStyle w:val="Kommentarhenvisning"/>
        </w:rPr>
        <w:commentReference w:id="13"/>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370FE34B" w14:textId="7290BC76" w:rsidR="00A93A2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a number of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commentRangeStart w:id="14"/>
      <w:r w:rsidR="00A93A27" w:rsidRPr="00A93A27">
        <w:rPr>
          <w:rFonts w:ascii="Calibri" w:hAnsi="Calibri" w:cs="Calibri"/>
          <w:color w:val="FF0000"/>
          <w:sz w:val="24"/>
          <w:szCs w:val="24"/>
        </w:rPr>
        <w:t xml:space="preserve">The same studies </w:t>
      </w:r>
      <w:commentRangeEnd w:id="14"/>
      <w:r w:rsidR="00A93A27">
        <w:rPr>
          <w:rStyle w:val="Kommentarhenvisning"/>
        </w:rPr>
        <w:commentReference w:id="14"/>
      </w:r>
      <w:r w:rsidR="00A93A27" w:rsidRPr="00A93A27">
        <w:rPr>
          <w:rFonts w:ascii="Calibri" w:hAnsi="Calibri" w:cs="Calibri"/>
          <w:color w:val="FF0000"/>
          <w:sz w:val="24"/>
          <w:szCs w:val="24"/>
        </w:rPr>
        <w:t xml:space="preserve">are also pointing out the missing macro effects, as the IS-model is argued to neglect the effects </w:t>
      </w:r>
      <w:r w:rsidR="00A93A27">
        <w:rPr>
          <w:rFonts w:ascii="Calibri" w:hAnsi="Calibri" w:cs="Calibri"/>
          <w:color w:val="FF0000"/>
          <w:sz w:val="24"/>
          <w:szCs w:val="24"/>
        </w:rPr>
        <w:t>in which</w:t>
      </w:r>
      <w:r w:rsidR="00A93A27" w:rsidRPr="00A93A27">
        <w:rPr>
          <w:rFonts w:ascii="Calibri" w:hAnsi="Calibri" w:cs="Calibri"/>
          <w:color w:val="FF0000"/>
          <w:sz w:val="24"/>
          <w:szCs w:val="24"/>
        </w:rPr>
        <w:t xml:space="preserve"> a lower compensation rate might affect the economy through a lower incentive to take part in the income insurance program</w:t>
      </w:r>
      <w:r w:rsidR="00A93A27">
        <w:rPr>
          <w:rFonts w:ascii="Calibri" w:hAnsi="Calibri" w:cs="Calibri"/>
          <w:color w:val="FF0000"/>
          <w:sz w:val="24"/>
          <w:szCs w:val="24"/>
        </w:rPr>
        <w:t xml:space="preserve"> </w:t>
      </w:r>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DØRS","given":"","non-dropping-particle":"","parse-names":false,"suffix":""}],"id":"ITEM-3","issued":{"date-parts":[["2022"]]},"title":"RAPPORT FRA FORMANDSKABET DANSK ØKONOMI FORÅR 2022","type":"report"},"uris":["http://www.mendeley.com/documents/?uuid=ba41821c-8687-3dd4-967a-44acd8f66336"]}],"mendeley":{"formattedCitation":"(DØRS, 2022; Jensen &amp; Nørgaard, 2021; Risgaard, 2021)","plainTextFormattedCitation":"(DØRS, 2022; Jensen &amp; Nørgaard, 2021; Risgaard, 2021)","previouslyFormattedCitation":"(DØRS, 2022; Jensen &amp; Nørgaard, 2021; Risgaard, 2021)"},"properties":{"noteIndex":0},"schema":"https://github.com/citation-style-language/schema/raw/master/csl-citation.json"}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 Jensen &amp; Nørgaard, 2021; Risgaard, 2021)</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r w:rsidR="003F3E8F">
        <w:rPr>
          <w:rFonts w:ascii="Calibri" w:hAnsi="Calibri" w:cs="Calibri"/>
          <w:color w:val="FF0000"/>
          <w:sz w:val="24"/>
          <w:szCs w:val="24"/>
        </w:rPr>
        <w:t xml:space="preserve">Other effects like how </w:t>
      </w:r>
      <w:r w:rsidR="00A93A27">
        <w:rPr>
          <w:rFonts w:ascii="Calibri" w:hAnsi="Calibri" w:cs="Calibri"/>
          <w:color w:val="FF0000"/>
          <w:sz w:val="24"/>
          <w:szCs w:val="24"/>
        </w:rPr>
        <w:t>wages</w:t>
      </w:r>
      <w:r w:rsidR="003F3E8F">
        <w:rPr>
          <w:rFonts w:ascii="Calibri" w:hAnsi="Calibri" w:cs="Calibri"/>
          <w:color w:val="FF0000"/>
          <w:sz w:val="24"/>
          <w:szCs w:val="24"/>
        </w:rPr>
        <w:t xml:space="preserve"> might affect the number of vacancies</w:t>
      </w:r>
      <w:r w:rsidR="00A93A27">
        <w:rPr>
          <w:rFonts w:ascii="Calibri" w:hAnsi="Calibri" w:cs="Calibri"/>
          <w:color w:val="FF0000"/>
          <w:sz w:val="24"/>
          <w:szCs w:val="24"/>
        </w:rPr>
        <w:t xml:space="preserve"> and</w:t>
      </w:r>
      <w:r w:rsidR="003F3E8F">
        <w:rPr>
          <w:rFonts w:ascii="Calibri" w:hAnsi="Calibri" w:cs="Calibri"/>
          <w:color w:val="FF0000"/>
          <w:sz w:val="24"/>
          <w:szCs w:val="24"/>
        </w:rPr>
        <w:t xml:space="preserve"> how better job matches might effect</w:t>
      </w:r>
      <w:r w:rsidR="00A93A27">
        <w:rPr>
          <w:rFonts w:ascii="Calibri" w:hAnsi="Calibri" w:cs="Calibri"/>
          <w:color w:val="FF0000"/>
          <w:sz w:val="24"/>
          <w:szCs w:val="24"/>
        </w:rPr>
        <w:t xml:space="preserve"> productivity </w:t>
      </w:r>
      <w:r w:rsidR="003F3E8F">
        <w:rPr>
          <w:rFonts w:ascii="Calibri" w:hAnsi="Calibri" w:cs="Calibri"/>
          <w:color w:val="FF0000"/>
          <w:sz w:val="24"/>
          <w:szCs w:val="24"/>
        </w:rPr>
        <w:t xml:space="preserve">is also omitted by the IS-model </w:t>
      </w:r>
      <w:commentRangeStart w:id="15"/>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commentRangeEnd w:id="15"/>
      <w:r w:rsidR="00A93A27">
        <w:rPr>
          <w:rStyle w:val="Kommentarhenvisning"/>
        </w:rPr>
        <w:commentReference w:id="15"/>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A71594">
        <w:rPr>
          <w:rFonts w:ascii="Calibri" w:eastAsiaTheme="minorEastAsia" w:hAnsi="Calibri" w:cs="Calibri"/>
          <w:color w:val="000000" w:themeColor="text1"/>
          <w:sz w:val="24"/>
          <w:szCs w:val="24"/>
        </w:rPr>
        <w:t xml:space="preserve">in a given year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a number of attempts to tighten UI. The government reduced the duration of UI from four to two years in 2010. </w:t>
      </w:r>
      <w:r w:rsidR="004652AD" w:rsidRPr="00F13EAB">
        <w:rPr>
          <w:rFonts w:ascii="Calibri" w:hAnsi="Calibri" w:cs="Calibri"/>
          <w:color w:val="000000" w:themeColor="text1"/>
          <w:sz w:val="24"/>
          <w:szCs w:val="24"/>
        </w:rPr>
        <w:t xml:space="preserve">A number of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lastRenderedPageBreak/>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lastRenderedPageBreak/>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time period.</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We take these issues into consideration and later on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w:lastRenderedPageBreak/>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w:lastRenderedPageBreak/>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ur approach differentiate itself from most 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16"/>
      <w:commentRangeStart w:id="17"/>
      <w:commentRangeStart w:id="18"/>
      <w:commentRangeStart w:id="19"/>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16"/>
      <w:r w:rsidR="00590467" w:rsidRPr="003E1997">
        <w:rPr>
          <w:rStyle w:val="Kommentarhenvisning"/>
          <w:rFonts w:ascii="Calibri" w:hAnsi="Calibri" w:cs="Calibri"/>
          <w:sz w:val="24"/>
          <w:szCs w:val="24"/>
        </w:rPr>
        <w:commentReference w:id="16"/>
      </w:r>
      <w:commentRangeEnd w:id="17"/>
      <w:r w:rsidR="00C31F9C" w:rsidRPr="003E1997">
        <w:rPr>
          <w:rStyle w:val="Kommentarhenvisning"/>
          <w:rFonts w:ascii="Calibri" w:hAnsi="Calibri" w:cs="Calibri"/>
          <w:sz w:val="24"/>
          <w:szCs w:val="24"/>
        </w:rPr>
        <w:commentReference w:id="17"/>
      </w:r>
      <w:commentRangeEnd w:id="18"/>
      <w:r w:rsidR="00692E45" w:rsidRPr="003E1997">
        <w:rPr>
          <w:rStyle w:val="Kommentarhenvisning"/>
          <w:rFonts w:ascii="Calibri" w:hAnsi="Calibri" w:cs="Calibri"/>
          <w:sz w:val="24"/>
          <w:szCs w:val="24"/>
        </w:rPr>
        <w:commentReference w:id="18"/>
      </w:r>
      <w:commentRangeEnd w:id="19"/>
      <w:r w:rsidR="004E23C5" w:rsidRPr="003E1997">
        <w:rPr>
          <w:rStyle w:val="Kommentarhenvisning"/>
          <w:rFonts w:ascii="Calibri" w:hAnsi="Calibri" w:cs="Calibri"/>
          <w:sz w:val="24"/>
          <w:szCs w:val="24"/>
        </w:rPr>
        <w:commentReference w:id="19"/>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20"/>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case in reality</w:t>
      </w:r>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w:t>
      </w:r>
      <w:r w:rsidR="000C24CF" w:rsidRPr="003E1997">
        <w:rPr>
          <w:rFonts w:ascii="Calibri" w:hAnsi="Calibri" w:cs="Calibri"/>
          <w:sz w:val="24"/>
          <w:szCs w:val="24"/>
        </w:rPr>
        <w:lastRenderedPageBreak/>
        <w:t>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21"/>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21"/>
      <w:r w:rsidR="00BE79C7" w:rsidRPr="003E1997">
        <w:rPr>
          <w:rStyle w:val="Kommentarhenvisning"/>
          <w:rFonts w:ascii="Calibri" w:hAnsi="Calibri" w:cs="Calibri"/>
          <w:sz w:val="24"/>
          <w:szCs w:val="24"/>
        </w:rPr>
        <w:commentReference w:id="21"/>
      </w:r>
      <w:commentRangeEnd w:id="20"/>
      <w:r w:rsidR="000865A5">
        <w:rPr>
          <w:rStyle w:val="Kommentarhenvisning"/>
        </w:rPr>
        <w:commentReference w:id="20"/>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r w:rsidR="000865A5">
        <w:rPr>
          <w:rFonts w:ascii="Calibri" w:hAnsi="Calibri" w:cs="Calibri"/>
          <w:sz w:val="24"/>
          <w:szCs w:val="24"/>
        </w:rPr>
        <w:t xml:space="preserve">wages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in order to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drop in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w:t>
      </w:r>
      <w:r w:rsidR="00DB287A" w:rsidRPr="003E1997">
        <w:rPr>
          <w:rFonts w:ascii="Calibri" w:hAnsi="Calibri" w:cs="Calibri"/>
          <w:sz w:val="24"/>
          <w:szCs w:val="24"/>
        </w:rPr>
        <w:lastRenderedPageBreak/>
        <w:t>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t>
      </w:r>
      <w:r w:rsidR="0030783A" w:rsidRPr="003E1997">
        <w:rPr>
          <w:rFonts w:ascii="Calibri" w:hAnsi="Calibri" w:cs="Calibri"/>
          <w:sz w:val="24"/>
          <w:szCs w:val="24"/>
        </w:rPr>
        <w:lastRenderedPageBreak/>
        <w:t xml:space="preserve">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lastRenderedPageBreak/>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program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reason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should be set lower than 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w:t>
      </w:r>
      <w:r w:rsidR="00BB0FA4" w:rsidRPr="003E1997">
        <w:rPr>
          <w:rFonts w:ascii="Calibri" w:hAnsi="Calibri" w:cs="Calibri"/>
          <w:sz w:val="24"/>
          <w:szCs w:val="24"/>
        </w:rPr>
        <w:lastRenderedPageBreak/>
        <w:t xml:space="preserve">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w:t>
      </w:r>
      <w:r w:rsidR="00744FD6" w:rsidRPr="003E1997">
        <w:rPr>
          <w:rFonts w:ascii="Calibri" w:hAnsi="Calibri" w:cs="Calibri"/>
          <w:sz w:val="24"/>
          <w:szCs w:val="24"/>
        </w:rPr>
        <w:lastRenderedPageBreak/>
        <w:t xml:space="preserve">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taking into account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 xml:space="preserve">As they argue that changes in the level of income insurance </w:t>
      </w:r>
      <w:r w:rsidRPr="003E1997">
        <w:rPr>
          <w:rFonts w:ascii="Calibri" w:eastAsiaTheme="minorEastAsia" w:hAnsi="Calibri" w:cs="Calibri"/>
          <w:sz w:val="24"/>
          <w:szCs w:val="24"/>
        </w:rPr>
        <w:lastRenderedPageBreak/>
        <w:t>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22"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22"/>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taking into account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This leaves us to 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lastRenderedPageBreak/>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23"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23"/>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24"/>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24"/>
      <w:r w:rsidR="0018198D" w:rsidRPr="003E1997">
        <w:rPr>
          <w:rStyle w:val="Kommentarhenvisning"/>
          <w:rFonts w:ascii="Calibri" w:hAnsi="Calibri" w:cs="Calibri"/>
          <w:sz w:val="24"/>
          <w:szCs w:val="24"/>
        </w:rPr>
        <w:commentReference w:id="24"/>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r>
        <w:rPr>
          <w:rFonts w:ascii="Calibri" w:eastAsiaTheme="minorEastAsia" w:hAnsi="Calibri" w:cs="Calibri"/>
          <w:sz w:val="24"/>
          <w:szCs w:val="24"/>
        </w:rPr>
        <w:t xml:space="preserve">6 </w:t>
      </w:r>
      <w:commentRangeStart w:id="25"/>
      <w:commentRangeStart w:id="26"/>
      <w:r w:rsidR="006409C0" w:rsidRPr="00D9286C">
        <w:rPr>
          <w:b/>
          <w:bCs/>
        </w:rPr>
        <w:t xml:space="preserve"> </w:t>
      </w:r>
      <w:r w:rsidR="004C5315" w:rsidRPr="00D9286C">
        <w:rPr>
          <w:b/>
          <w:bCs/>
        </w:rPr>
        <w:t>Conclusion</w:t>
      </w:r>
      <w:commentRangeEnd w:id="25"/>
      <w:r w:rsidR="00AC1E57" w:rsidRPr="00D9286C">
        <w:rPr>
          <w:b/>
          <w:bCs/>
        </w:rPr>
        <w:commentReference w:id="25"/>
      </w:r>
      <w:commentRangeEnd w:id="26"/>
      <w:r w:rsidR="004C7C78" w:rsidRPr="00D9286C">
        <w:rPr>
          <w:b/>
          <w:bCs/>
        </w:rPr>
        <w:commentReference w:id="26"/>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7"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w:t>
      </w:r>
      <w:r w:rsidRPr="003E1997">
        <w:rPr>
          <w:rFonts w:ascii="Calibri" w:hAnsi="Calibri" w:cs="Calibri"/>
          <w:sz w:val="24"/>
          <w:szCs w:val="24"/>
        </w:rPr>
        <w:lastRenderedPageBreak/>
        <w:t>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7"/>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8"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8"/>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29"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29"/>
      <w:r w:rsidR="0062727A" w:rsidRPr="003E1997">
        <w:rPr>
          <w:rFonts w:ascii="Calibri" w:hAnsi="Calibri" w:cs="Calibri"/>
          <w:sz w:val="24"/>
          <w:szCs w:val="24"/>
        </w:rPr>
        <w:t xml:space="preserve"> </w:t>
      </w:r>
      <w:bookmarkStart w:id="30"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30"/>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31"/>
      <w:r w:rsidR="00560ED3" w:rsidRPr="003E1997">
        <w:rPr>
          <w:rFonts w:ascii="Calibri" w:hAnsi="Calibri" w:cs="Calibri"/>
          <w:sz w:val="24"/>
          <w:szCs w:val="24"/>
        </w:rPr>
        <w:t>1500</w:t>
      </w:r>
      <w:commentRangeEnd w:id="31"/>
      <w:r w:rsidR="0076761C" w:rsidRPr="003E1997">
        <w:rPr>
          <w:rStyle w:val="Kommentarhenvisning"/>
          <w:rFonts w:ascii="Calibri" w:hAnsi="Calibri" w:cs="Calibri"/>
          <w:sz w:val="24"/>
          <w:szCs w:val="24"/>
        </w:rPr>
        <w:commentReference w:id="31"/>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income insurance companies 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as a result of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32"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32"/>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33"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33"/>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67AC4B25" w14:textId="19D86C7E" w:rsidR="00A93A27" w:rsidRPr="00A93A27" w:rsidRDefault="00333B3D" w:rsidP="00A93A2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A93A27" w:rsidRPr="00A93A27">
        <w:rPr>
          <w:rFonts w:ascii="Calibri" w:hAnsi="Calibri" w:cs="Calibri"/>
          <w:noProof/>
          <w:sz w:val="24"/>
          <w:szCs w:val="24"/>
        </w:rPr>
        <w:t xml:space="preserve">Aastrup, M. (2018). 30 Års dagpengeforringelser. </w:t>
      </w:r>
      <w:r w:rsidR="00A93A27" w:rsidRPr="00A93A27">
        <w:rPr>
          <w:rFonts w:ascii="Calibri" w:hAnsi="Calibri" w:cs="Calibri"/>
          <w:i/>
          <w:iCs/>
          <w:noProof/>
          <w:sz w:val="24"/>
          <w:szCs w:val="24"/>
        </w:rPr>
        <w:t>Landsorganisationen</w:t>
      </w:r>
      <w:r w:rsidR="00A93A27" w:rsidRPr="00A93A27">
        <w:rPr>
          <w:rFonts w:ascii="Calibri" w:hAnsi="Calibri" w:cs="Calibri"/>
          <w:noProof/>
          <w:sz w:val="24"/>
          <w:szCs w:val="24"/>
        </w:rPr>
        <w:t xml:space="preserve">, </w:t>
      </w:r>
      <w:r w:rsidR="00A93A27" w:rsidRPr="00A93A27">
        <w:rPr>
          <w:rFonts w:ascii="Calibri" w:hAnsi="Calibri" w:cs="Calibri"/>
          <w:i/>
          <w:iCs/>
          <w:noProof/>
          <w:sz w:val="24"/>
          <w:szCs w:val="24"/>
        </w:rPr>
        <w:t>September 2018</w:t>
      </w:r>
      <w:r w:rsidR="00A93A27" w:rsidRPr="00A93A27">
        <w:rPr>
          <w:rFonts w:ascii="Calibri" w:hAnsi="Calibri" w:cs="Calibri"/>
          <w:noProof/>
          <w:sz w:val="24"/>
          <w:szCs w:val="24"/>
        </w:rPr>
        <w:t>.</w:t>
      </w:r>
    </w:p>
    <w:p w14:paraId="57CBA6A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&amp; Svarer, M. (2006). Flexicurity: The Danish Labour-Market Model. </w:t>
      </w:r>
      <w:r w:rsidRPr="00A93A27">
        <w:rPr>
          <w:rFonts w:ascii="Calibri" w:hAnsi="Calibri" w:cs="Calibri"/>
          <w:i/>
          <w:iCs/>
          <w:noProof/>
          <w:sz w:val="24"/>
          <w:szCs w:val="24"/>
        </w:rPr>
        <w:t>Ekonomisk Debatt</w:t>
      </w:r>
      <w:r w:rsidRPr="00A93A27">
        <w:rPr>
          <w:rFonts w:ascii="Calibri" w:hAnsi="Calibri" w:cs="Calibri"/>
          <w:noProof/>
          <w:sz w:val="24"/>
          <w:szCs w:val="24"/>
        </w:rPr>
        <w:t xml:space="preserve">, </w:t>
      </w:r>
      <w:r w:rsidRPr="00A93A27">
        <w:rPr>
          <w:rFonts w:ascii="Calibri" w:hAnsi="Calibri" w:cs="Calibri"/>
          <w:i/>
          <w:iCs/>
          <w:noProof/>
          <w:sz w:val="24"/>
          <w:szCs w:val="24"/>
        </w:rPr>
        <w:t>1</w:t>
      </w:r>
      <w:r w:rsidRPr="00A93A27">
        <w:rPr>
          <w:rFonts w:ascii="Calibri" w:hAnsi="Calibri" w:cs="Calibri"/>
          <w:noProof/>
          <w:sz w:val="24"/>
          <w:szCs w:val="24"/>
        </w:rPr>
        <w:t>(April), 17–29.</w:t>
      </w:r>
    </w:p>
    <w:p w14:paraId="3AC62BB1"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Svarer, M., &amp; Vejlin, R. M. (2015). Litteraturreview af effekter af indretning af arbejdsunderstøttelsen. </w:t>
      </w:r>
      <w:r w:rsidRPr="00A93A27">
        <w:rPr>
          <w:rFonts w:ascii="Calibri" w:hAnsi="Calibri" w:cs="Calibri"/>
          <w:i/>
          <w:iCs/>
          <w:noProof/>
          <w:sz w:val="24"/>
          <w:szCs w:val="24"/>
        </w:rPr>
        <w:t>Beskæftigelsesministeriet</w:t>
      </w:r>
      <w:r w:rsidRPr="00A93A27">
        <w:rPr>
          <w:rFonts w:ascii="Calibri" w:hAnsi="Calibri" w:cs="Calibri"/>
          <w:noProof/>
          <w:sz w:val="24"/>
          <w:szCs w:val="24"/>
        </w:rPr>
        <w:t>, 1–99.</w:t>
      </w:r>
    </w:p>
    <w:p w14:paraId="5F86EDE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Boone, C., Dube, A., Goodman, L., &amp; Kaplan, E. (2021). Unemployment Insurance Generosity and Aggregate Employment. </w:t>
      </w:r>
      <w:r w:rsidRPr="00A93A27">
        <w:rPr>
          <w:rFonts w:ascii="Calibri" w:hAnsi="Calibri" w:cs="Calibri"/>
          <w:i/>
          <w:iCs/>
          <w:noProof/>
          <w:sz w:val="24"/>
          <w:szCs w:val="24"/>
        </w:rPr>
        <w:t>American Economic Journal: Economic Policy</w:t>
      </w:r>
      <w:r w:rsidRPr="00A93A27">
        <w:rPr>
          <w:rFonts w:ascii="Calibri" w:hAnsi="Calibri" w:cs="Calibri"/>
          <w:noProof/>
          <w:sz w:val="24"/>
          <w:szCs w:val="24"/>
        </w:rPr>
        <w:t xml:space="preserve">, </w:t>
      </w:r>
      <w:r w:rsidRPr="00A93A27">
        <w:rPr>
          <w:rFonts w:ascii="Calibri" w:hAnsi="Calibri" w:cs="Calibri"/>
          <w:i/>
          <w:iCs/>
          <w:noProof/>
          <w:sz w:val="24"/>
          <w:szCs w:val="24"/>
        </w:rPr>
        <w:t>13</w:t>
      </w:r>
      <w:r w:rsidRPr="00A93A27">
        <w:rPr>
          <w:rFonts w:ascii="Calibri" w:hAnsi="Calibri" w:cs="Calibri"/>
          <w:noProof/>
          <w:sz w:val="24"/>
          <w:szCs w:val="24"/>
        </w:rPr>
        <w:t>(2), 58–99. https://doi.org/10.1257/pol.20160613</w:t>
      </w:r>
    </w:p>
    <w:p w14:paraId="5661B77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Byrialsen, M. R., Raza, H., &amp; Valdecantos, S. (2022). </w:t>
      </w:r>
      <w:r w:rsidRPr="00A93A27">
        <w:rPr>
          <w:rFonts w:ascii="Calibri" w:hAnsi="Calibri" w:cs="Calibri"/>
          <w:i/>
          <w:iCs/>
          <w:noProof/>
          <w:sz w:val="24"/>
          <w:szCs w:val="24"/>
        </w:rPr>
        <w:t>QMDE : A QUARTERLY EMPIRICAL MODEL FOR THE DANISH ECONOMY : A STOCK-FLOW CONSISTENT APPROACH</w:t>
      </w:r>
      <w:r w:rsidRPr="00A93A27">
        <w:rPr>
          <w:rFonts w:ascii="Calibri" w:hAnsi="Calibri" w:cs="Calibri"/>
          <w:noProof/>
          <w:sz w:val="24"/>
          <w:szCs w:val="24"/>
        </w:rPr>
        <w:t xml:space="preserve">. </w:t>
      </w:r>
      <w:r w:rsidRPr="00A93A27">
        <w:rPr>
          <w:rFonts w:ascii="Calibri" w:hAnsi="Calibri" w:cs="Calibri"/>
          <w:i/>
          <w:iCs/>
          <w:noProof/>
          <w:sz w:val="24"/>
          <w:szCs w:val="24"/>
        </w:rPr>
        <w:t>79</w:t>
      </w:r>
      <w:r w:rsidRPr="00A93A27">
        <w:rPr>
          <w:rFonts w:ascii="Calibri" w:hAnsi="Calibri" w:cs="Calibri"/>
          <w:noProof/>
          <w:sz w:val="24"/>
          <w:szCs w:val="24"/>
        </w:rPr>
        <w:t>.</w:t>
      </w:r>
    </w:p>
    <w:p w14:paraId="7DC95149"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A93A27">
        <w:rPr>
          <w:rFonts w:ascii="Calibri" w:hAnsi="Calibri" w:cs="Calibri"/>
          <w:i/>
          <w:iCs/>
          <w:noProof/>
          <w:sz w:val="24"/>
          <w:szCs w:val="24"/>
        </w:rPr>
        <w:t>American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(5), 126–130. https://doi.org/10.1257/aer.p20151061</w:t>
      </w:r>
    </w:p>
    <w:p w14:paraId="2F4048AB"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Carling, K., Holmlund, B., &amp; Vejsiu, A. (2001). </w:t>
      </w:r>
      <w:r w:rsidRPr="00A93A27">
        <w:rPr>
          <w:rFonts w:ascii="Calibri" w:hAnsi="Calibri" w:cs="Calibri"/>
          <w:i/>
          <w:iCs/>
          <w:noProof/>
          <w:sz w:val="24"/>
          <w:szCs w:val="24"/>
        </w:rPr>
        <w:t>Do Benefit Cuts Boost Job Finding ? Swedish Evidence from the 1990s</w:t>
      </w:r>
      <w:r w:rsidRPr="00A93A27">
        <w:rPr>
          <w:rFonts w:ascii="Calibri" w:hAnsi="Calibri" w:cs="Calibri"/>
          <w:noProof/>
          <w:sz w:val="24"/>
          <w:szCs w:val="24"/>
        </w:rPr>
        <w:t xml:space="preserve">. </w:t>
      </w:r>
      <w:r w:rsidRPr="00A93A27">
        <w:rPr>
          <w:rFonts w:ascii="Calibri" w:hAnsi="Calibri" w:cs="Calibri"/>
          <w:i/>
          <w:iCs/>
          <w:noProof/>
          <w:sz w:val="24"/>
          <w:szCs w:val="24"/>
        </w:rPr>
        <w:t>111</w:t>
      </w:r>
      <w:r w:rsidRPr="00A93A27">
        <w:rPr>
          <w:rFonts w:ascii="Calibri" w:hAnsi="Calibri" w:cs="Calibri"/>
          <w:noProof/>
          <w:sz w:val="24"/>
          <w:szCs w:val="24"/>
        </w:rPr>
        <w:t>(474), 766–790.</w:t>
      </w:r>
    </w:p>
    <w:p w14:paraId="5030985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Chetty, R. (2006). A general formula for the optimal level of social insurance.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90</w:t>
      </w:r>
      <w:r w:rsidRPr="00A93A27">
        <w:rPr>
          <w:rFonts w:ascii="Calibri" w:hAnsi="Calibri" w:cs="Calibri"/>
          <w:noProof/>
          <w:sz w:val="24"/>
          <w:szCs w:val="24"/>
        </w:rPr>
        <w:t>(10–11), 1879–1901. https://doi.org/10.1016/j.jpubeco.2006.01.004</w:t>
      </w:r>
    </w:p>
    <w:p w14:paraId="73523C9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DØRS. (2014). </w:t>
      </w:r>
      <w:r w:rsidRPr="00A93A27">
        <w:rPr>
          <w:rFonts w:ascii="Calibri" w:hAnsi="Calibri" w:cs="Calibri"/>
          <w:i/>
          <w:iCs/>
          <w:noProof/>
          <w:sz w:val="24"/>
          <w:szCs w:val="24"/>
        </w:rPr>
        <w:t>Dansk økonomi. Efterår 2014 : Konjunkturvurdering ; Dagpengesystemet</w:t>
      </w:r>
      <w:r w:rsidRPr="00A93A27">
        <w:rPr>
          <w:rFonts w:ascii="Calibri" w:hAnsi="Calibri" w:cs="Calibri"/>
          <w:noProof/>
          <w:sz w:val="24"/>
          <w:szCs w:val="24"/>
        </w:rPr>
        <w:t>.</w:t>
      </w:r>
    </w:p>
    <w:p w14:paraId="34EB6305"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lastRenderedPageBreak/>
        <w:t xml:space="preserve">DØRS. (2022). </w:t>
      </w:r>
      <w:r w:rsidRPr="00A93A27">
        <w:rPr>
          <w:rFonts w:ascii="Calibri" w:hAnsi="Calibri" w:cs="Calibri"/>
          <w:i/>
          <w:iCs/>
          <w:noProof/>
          <w:sz w:val="24"/>
          <w:szCs w:val="24"/>
        </w:rPr>
        <w:t>RAPPORT FRA FORMANDSKABET DANSK ØKONOMI FORÅR 2022</w:t>
      </w:r>
      <w:r w:rsidRPr="00A93A27">
        <w:rPr>
          <w:rFonts w:ascii="Calibri" w:hAnsi="Calibri" w:cs="Calibri"/>
          <w:noProof/>
          <w:sz w:val="24"/>
          <w:szCs w:val="24"/>
        </w:rPr>
        <w:t>. https://dors.dk/raad-vismaend/loven.</w:t>
      </w:r>
    </w:p>
    <w:p w14:paraId="45427B8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DREAM. (2013). </w:t>
      </w:r>
      <w:r w:rsidRPr="00A93A27">
        <w:rPr>
          <w:rFonts w:ascii="Calibri" w:hAnsi="Calibri" w:cs="Calibri"/>
          <w:i/>
          <w:iCs/>
          <w:noProof/>
          <w:sz w:val="24"/>
          <w:szCs w:val="24"/>
        </w:rPr>
        <w:t>Langsigtet økonomisk fremskrivning 2013</w:t>
      </w:r>
      <w:r w:rsidRPr="00A93A27">
        <w:rPr>
          <w:rFonts w:ascii="Calibri" w:hAnsi="Calibri" w:cs="Calibri"/>
          <w:noProof/>
          <w:sz w:val="24"/>
          <w:szCs w:val="24"/>
        </w:rPr>
        <w:t xml:space="preserve">. </w:t>
      </w:r>
      <w:r w:rsidRPr="00A93A27">
        <w:rPr>
          <w:rFonts w:ascii="Calibri" w:hAnsi="Calibri" w:cs="Calibri"/>
          <w:i/>
          <w:iCs/>
          <w:noProof/>
          <w:sz w:val="24"/>
          <w:szCs w:val="24"/>
        </w:rPr>
        <w:t>August</w:t>
      </w:r>
      <w:r w:rsidRPr="00A93A27">
        <w:rPr>
          <w:rFonts w:ascii="Calibri" w:hAnsi="Calibri" w:cs="Calibri"/>
          <w:noProof/>
          <w:sz w:val="24"/>
          <w:szCs w:val="24"/>
        </w:rPr>
        <w:t>.</w:t>
      </w:r>
    </w:p>
    <w:p w14:paraId="2289B32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Falch, N. S. (2015). </w:t>
      </w:r>
      <w:r w:rsidRPr="00A93A27">
        <w:rPr>
          <w:rFonts w:ascii="Calibri" w:hAnsi="Calibri" w:cs="Calibri"/>
          <w:i/>
          <w:iCs/>
          <w:noProof/>
          <w:sz w:val="24"/>
          <w:szCs w:val="24"/>
        </w:rPr>
        <w:t>Three essays on unemployment insurance</w:t>
      </w:r>
      <w:r w:rsidRPr="00A93A27">
        <w:rPr>
          <w:rFonts w:ascii="Calibri" w:hAnsi="Calibri" w:cs="Calibri"/>
          <w:noProof/>
          <w:sz w:val="24"/>
          <w:szCs w:val="24"/>
        </w:rPr>
        <w:t xml:space="preserve">. </w:t>
      </w:r>
      <w:r w:rsidRPr="00A93A27">
        <w:rPr>
          <w:rFonts w:ascii="Calibri" w:hAnsi="Calibri" w:cs="Calibri"/>
          <w:i/>
          <w:iCs/>
          <w:noProof/>
          <w:sz w:val="24"/>
          <w:szCs w:val="24"/>
        </w:rPr>
        <w:t>April</w:t>
      </w:r>
      <w:r w:rsidRPr="00A93A27">
        <w:rPr>
          <w:rFonts w:ascii="Calibri" w:hAnsi="Calibri" w:cs="Calibri"/>
          <w:noProof/>
          <w:sz w:val="24"/>
          <w:szCs w:val="24"/>
        </w:rPr>
        <w:t>.</w:t>
      </w:r>
    </w:p>
    <w:p w14:paraId="17AB839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Finkelstein, A., &amp; Chetty, R. (2012). </w:t>
      </w:r>
      <w:r w:rsidRPr="00A93A27">
        <w:rPr>
          <w:rFonts w:ascii="Calibri" w:hAnsi="Calibri" w:cs="Calibri"/>
          <w:i/>
          <w:iCs/>
          <w:noProof/>
          <w:sz w:val="24"/>
          <w:szCs w:val="24"/>
        </w:rPr>
        <w:t>SOCIAL INSURANCE: CONNECTING THEORY TO DATA</w:t>
      </w:r>
      <w:r w:rsidRPr="00A93A27">
        <w:rPr>
          <w:rFonts w:ascii="Calibri" w:hAnsi="Calibri" w:cs="Calibri"/>
          <w:noProof/>
          <w:sz w:val="24"/>
          <w:szCs w:val="24"/>
        </w:rPr>
        <w:t>.</w:t>
      </w:r>
    </w:p>
    <w:p w14:paraId="29E4F5B4"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Fredriksson, P., &amp; Söderström, M. (2020). The equilibrium impact of unemployment insurance on unemployment: Evidence from a non-linear policy rule.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187</w:t>
      </w:r>
      <w:r w:rsidRPr="00A93A27">
        <w:rPr>
          <w:rFonts w:ascii="Calibri" w:hAnsi="Calibri" w:cs="Calibri"/>
          <w:noProof/>
          <w:sz w:val="24"/>
          <w:szCs w:val="24"/>
        </w:rPr>
        <w:t>, 104199. https://doi.org/10.1016/j.jpubeco.2020.104199</w:t>
      </w:r>
    </w:p>
    <w:p w14:paraId="4FB2C1C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Ganong, P., Greig, F., Noel, P., Sullivan, D. M., &amp; Vavra, J. (2021). Micro and Macro Disincentive Effects of Expanded Unemployment Benefits. </w:t>
      </w:r>
      <w:r w:rsidRPr="00A93A27">
        <w:rPr>
          <w:rFonts w:ascii="Calibri" w:hAnsi="Calibri" w:cs="Calibri"/>
          <w:i/>
          <w:iCs/>
          <w:noProof/>
          <w:sz w:val="24"/>
          <w:szCs w:val="24"/>
        </w:rPr>
        <w:t>Working Paper</w:t>
      </w:r>
      <w:r w:rsidRPr="00A93A27">
        <w:rPr>
          <w:rFonts w:ascii="Calibri" w:hAnsi="Calibri" w:cs="Calibri"/>
          <w:noProof/>
          <w:sz w:val="24"/>
          <w:szCs w:val="24"/>
        </w:rPr>
        <w:t>.</w:t>
      </w:r>
    </w:p>
    <w:p w14:paraId="17C18CE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Hummelgaard, P. (2021). </w:t>
      </w:r>
      <w:r w:rsidRPr="00A93A27">
        <w:rPr>
          <w:rFonts w:ascii="Calibri" w:hAnsi="Calibri" w:cs="Calibri"/>
          <w:i/>
          <w:iCs/>
          <w:noProof/>
          <w:sz w:val="24"/>
          <w:szCs w:val="24"/>
        </w:rPr>
        <w:t>Spørgsmål nr:270</w:t>
      </w:r>
      <w:r w:rsidRPr="00A93A27">
        <w:rPr>
          <w:rFonts w:ascii="Calibri" w:hAnsi="Calibri" w:cs="Calibri"/>
          <w:noProof/>
          <w:sz w:val="24"/>
          <w:szCs w:val="24"/>
        </w:rPr>
        <w:t>. Beskæftigelses Ministeriet. https://www.ft.dk/samling/20201/almdel/beu/spm/270/svar/1776624/2384360/index.htm</w:t>
      </w:r>
    </w:p>
    <w:p w14:paraId="7747FD1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IS-Commission. (2015). </w:t>
      </w:r>
      <w:r w:rsidRPr="00A93A27">
        <w:rPr>
          <w:rFonts w:ascii="Calibri" w:hAnsi="Calibri" w:cs="Calibri"/>
          <w:i/>
          <w:iCs/>
          <w:noProof/>
          <w:sz w:val="24"/>
          <w:szCs w:val="24"/>
        </w:rPr>
        <w:t>Dagpengemodellen teknisk analyserapport</w:t>
      </w:r>
      <w:r w:rsidRPr="00A93A27">
        <w:rPr>
          <w:rFonts w:ascii="Calibri" w:hAnsi="Calibri" w:cs="Calibri"/>
          <w:noProof/>
          <w:sz w:val="24"/>
          <w:szCs w:val="24"/>
        </w:rPr>
        <w:t>.</w:t>
      </w:r>
    </w:p>
    <w:p w14:paraId="1FC566E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Jensen, M. T., &amp; Nørgaard, A. (2021). Prisen for at løfte dagpengene overdrives. </w:t>
      </w:r>
      <w:r w:rsidRPr="00A93A27">
        <w:rPr>
          <w:rFonts w:ascii="Calibri" w:hAnsi="Calibri" w:cs="Calibri"/>
          <w:i/>
          <w:iCs/>
          <w:noProof/>
          <w:sz w:val="24"/>
          <w:szCs w:val="24"/>
        </w:rPr>
        <w:t>Cevea</w:t>
      </w:r>
      <w:r w:rsidRPr="00A93A27">
        <w:rPr>
          <w:rFonts w:ascii="Calibri" w:hAnsi="Calibri" w:cs="Calibri"/>
          <w:noProof/>
          <w:sz w:val="24"/>
          <w:szCs w:val="24"/>
        </w:rPr>
        <w:t>, 1–10.</w:t>
      </w:r>
    </w:p>
    <w:p w14:paraId="73085B3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Jurajda, Š. (2002). Estimating the effect of unemployment insurance compensation on the labor market histories of displaced workers. </w:t>
      </w:r>
      <w:r w:rsidRPr="00A93A27">
        <w:rPr>
          <w:rFonts w:ascii="Calibri" w:hAnsi="Calibri" w:cs="Calibri"/>
          <w:i/>
          <w:iCs/>
          <w:noProof/>
          <w:sz w:val="24"/>
          <w:szCs w:val="24"/>
        </w:rPr>
        <w:t>Journal of Econometrics</w:t>
      </w:r>
      <w:r w:rsidRPr="00A93A27">
        <w:rPr>
          <w:rFonts w:ascii="Calibri" w:hAnsi="Calibri" w:cs="Calibri"/>
          <w:noProof/>
          <w:sz w:val="24"/>
          <w:szCs w:val="24"/>
        </w:rPr>
        <w:t xml:space="preserve">, </w:t>
      </w:r>
      <w:r w:rsidRPr="00A93A27">
        <w:rPr>
          <w:rFonts w:ascii="Calibri" w:hAnsi="Calibri" w:cs="Calibri"/>
          <w:i/>
          <w:iCs/>
          <w:noProof/>
          <w:sz w:val="24"/>
          <w:szCs w:val="24"/>
        </w:rPr>
        <w:t>108</w:t>
      </w:r>
      <w:r w:rsidRPr="00A93A27">
        <w:rPr>
          <w:rFonts w:ascii="Calibri" w:hAnsi="Calibri" w:cs="Calibri"/>
          <w:noProof/>
          <w:sz w:val="24"/>
          <w:szCs w:val="24"/>
        </w:rPr>
        <w:t>(2), 227–252. https://doi.org/10.1016/S0304-4076(01)00135-X</w:t>
      </w:r>
    </w:p>
    <w:p w14:paraId="22A13863"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Lalive, B. R., Landais, C., &amp; Zweimüller, J. (2015). </w:t>
      </w:r>
      <w:r w:rsidRPr="00A93A27">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(12), 3564–3596.</w:t>
      </w:r>
    </w:p>
    <w:p w14:paraId="1DFCDFF2"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Risgaard, L. (2021). </w:t>
      </w:r>
      <w:r w:rsidRPr="00A93A27">
        <w:rPr>
          <w:rFonts w:ascii="Calibri" w:hAnsi="Calibri" w:cs="Calibri"/>
          <w:i/>
          <w:iCs/>
          <w:noProof/>
          <w:sz w:val="24"/>
          <w:szCs w:val="24"/>
        </w:rPr>
        <w:t>Mere tryghed til lønmodtagerne</w:t>
      </w:r>
      <w:r w:rsidRPr="00A93A27">
        <w:rPr>
          <w:rFonts w:ascii="Calibri" w:hAnsi="Calibri" w:cs="Calibri"/>
          <w:noProof/>
          <w:sz w:val="24"/>
          <w:szCs w:val="24"/>
        </w:rPr>
        <w:t>.</w:t>
      </w:r>
    </w:p>
    <w:p w14:paraId="0928005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Røed, K., &amp; Zhang, T. (2005). Unemployment duration and economic incentives - A quasi random-assignment approach. </w:t>
      </w:r>
      <w:r w:rsidRPr="00A93A27">
        <w:rPr>
          <w:rFonts w:ascii="Calibri" w:hAnsi="Calibri" w:cs="Calibri"/>
          <w:i/>
          <w:iCs/>
          <w:noProof/>
          <w:sz w:val="24"/>
          <w:szCs w:val="24"/>
        </w:rPr>
        <w:t>European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49</w:t>
      </w:r>
      <w:r w:rsidRPr="00A93A27">
        <w:rPr>
          <w:rFonts w:ascii="Calibri" w:hAnsi="Calibri" w:cs="Calibri"/>
          <w:noProof/>
          <w:sz w:val="24"/>
          <w:szCs w:val="24"/>
        </w:rPr>
        <w:t>(7), 1799–1825. https://doi.org/10.1016/j.euroecorev.2004.04.001</w:t>
      </w:r>
    </w:p>
    <w:p w14:paraId="5EA0B5C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Topel, B. R. H. (1983). </w:t>
      </w:r>
      <w:r w:rsidRPr="00A93A27">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A93A27">
        <w:rPr>
          <w:rFonts w:ascii="Calibri" w:hAnsi="Calibri" w:cs="Calibri"/>
          <w:noProof/>
          <w:sz w:val="24"/>
          <w:szCs w:val="24"/>
        </w:rPr>
        <w:t xml:space="preserve">. </w:t>
      </w:r>
      <w:r w:rsidRPr="00A93A27">
        <w:rPr>
          <w:rFonts w:ascii="Calibri" w:hAnsi="Calibri" w:cs="Calibri"/>
          <w:i/>
          <w:iCs/>
          <w:noProof/>
          <w:sz w:val="24"/>
          <w:szCs w:val="24"/>
        </w:rPr>
        <w:t>73</w:t>
      </w:r>
      <w:r w:rsidRPr="00A93A27">
        <w:rPr>
          <w:rFonts w:ascii="Calibri" w:hAnsi="Calibri" w:cs="Calibri"/>
          <w:noProof/>
          <w:sz w:val="24"/>
          <w:szCs w:val="24"/>
        </w:rPr>
        <w:t>(4), 541–559.</w:t>
      </w:r>
    </w:p>
    <w:p w14:paraId="566AA6C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rPr>
      </w:pPr>
      <w:r w:rsidRPr="00A93A27">
        <w:rPr>
          <w:rFonts w:ascii="Calibri" w:hAnsi="Calibri" w:cs="Calibri"/>
          <w:noProof/>
          <w:sz w:val="24"/>
          <w:szCs w:val="24"/>
        </w:rPr>
        <w:t xml:space="preserve">Zweimüller, J. (2017). </w:t>
      </w:r>
      <w:r w:rsidRPr="00A93A27">
        <w:rPr>
          <w:rFonts w:ascii="Calibri" w:hAnsi="Calibri" w:cs="Calibri"/>
          <w:i/>
          <w:iCs/>
          <w:noProof/>
          <w:sz w:val="24"/>
          <w:szCs w:val="24"/>
        </w:rPr>
        <w:t>Unemployment insurance and the labor market University of Zurich Department of Economics Unemployment Insurance and the Labor Market Josef Zweimüller</w:t>
      </w:r>
      <w:r w:rsidRPr="00A93A27">
        <w:rPr>
          <w:rFonts w:ascii="Calibri" w:hAnsi="Calibri" w:cs="Calibri"/>
          <w:noProof/>
          <w:sz w:val="24"/>
          <w:szCs w:val="24"/>
        </w:rPr>
        <w:t xml:space="preserve">. </w:t>
      </w:r>
      <w:r w:rsidRPr="00A93A27">
        <w:rPr>
          <w:rFonts w:ascii="Calibri" w:hAnsi="Calibri" w:cs="Calibri"/>
          <w:i/>
          <w:iCs/>
          <w:noProof/>
          <w:sz w:val="24"/>
          <w:szCs w:val="24"/>
        </w:rPr>
        <w:t>276</w:t>
      </w:r>
      <w:r w:rsidRPr="00A93A27">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lastRenderedPageBreak/>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34"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34"/>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35"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35"/>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In an attempt to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consumption and export function. In the last plot we see </w:t>
      </w:r>
      <w:r w:rsidRPr="003E1997">
        <w:rPr>
          <w:rFonts w:ascii="Calibri" w:hAnsi="Calibri" w:cs="Calibri"/>
          <w:sz w:val="24"/>
          <w:szCs w:val="24"/>
        </w:rPr>
        <w:t>that the increase in consumption is actually larger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36"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36"/>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7"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7"/>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issued by Financial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Benefits received by Households subtracted with the amount paid in income insurance</w:t>
      </w:r>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1T17:13:00Z" w:initials="ST">
    <w:p w14:paraId="4493FB7C" w14:textId="77777777" w:rsidR="00CD6AA8" w:rsidRDefault="00CD6AA8" w:rsidP="00AD1D3B">
      <w:pPr>
        <w:pStyle w:val="Kommentartekst"/>
      </w:pPr>
      <w:r>
        <w:rPr>
          <w:rStyle w:val="Kommentarhenvisning"/>
        </w:rPr>
        <w:annotationRef/>
      </w:r>
      <w:r>
        <w:t xml:space="preserve">LO is sepcifically criticising the fact that the IS model is only looking at behavioural changes, and not how a larger "forsikringsgrad" in the economy will affect BNP. Also the channel we include later looking at the share of people being a member of an "a-kasse" is argued to be missing by LO. </w:t>
      </w:r>
    </w:p>
  </w:comment>
  <w:comment w:id="1" w:author="Simon Thomsen" w:date="2023-02-21T17:19:00Z" w:initials="ST">
    <w:p w14:paraId="377B71E3" w14:textId="77777777" w:rsidR="00CD6AA8" w:rsidRDefault="00CD6AA8" w:rsidP="00BB76B1">
      <w:pPr>
        <w:pStyle w:val="Kommentartekst"/>
      </w:pPr>
      <w:r>
        <w:rPr>
          <w:rStyle w:val="Kommentarhenvisning"/>
        </w:rPr>
        <w:annotationRef/>
      </w:r>
      <w:r>
        <w:t xml:space="preserve">CEVEA (Jensen &amp; Nørregard) also decribe the missing effect of the IS model: that a falling compensation rate should negatively effect the share of people being memebr of an "a-kasse" worsening the economic activity.  </w:t>
      </w:r>
    </w:p>
  </w:comment>
  <w:comment w:id="2" w:author="Simon Thomsen" w:date="2023-02-21T17:21:00Z" w:initials="ST">
    <w:p w14:paraId="1EE67E30" w14:textId="77777777" w:rsidR="00CD6AA8" w:rsidRDefault="00CD6AA8" w:rsidP="007200FF">
      <w:pPr>
        <w:pStyle w:val="Kommentartekst"/>
      </w:pPr>
      <w:r>
        <w:rPr>
          <w:rStyle w:val="Kommentarhenvisning"/>
        </w:rPr>
        <w:annotationRef/>
      </w:r>
      <w:r>
        <w:t>FH is mentioning the same channel is missing as the two above.</w:t>
      </w:r>
    </w:p>
  </w:comment>
  <w:comment w:id="3" w:author="Simon Thomsen" w:date="2023-02-21T17:46:00Z" w:initials="ST">
    <w:p w14:paraId="6F0A5F43" w14:textId="77777777" w:rsidR="00A93A27" w:rsidRDefault="00A93A27" w:rsidP="005336A4">
      <w:pPr>
        <w:pStyle w:val="Kommentartekst"/>
      </w:pPr>
      <w:r>
        <w:rPr>
          <w:rStyle w:val="Kommentarhenvisning"/>
        </w:rPr>
        <w:annotationRef/>
      </w:r>
      <w:r>
        <w:t xml:space="preserve">DØRS 2022 mentions the macro effects through Wages, higher share of people being memeber of an "a-kasse" and mentions in the end that these are omitted by the IS-model. </w:t>
      </w:r>
    </w:p>
  </w:comment>
  <w:comment w:id="4" w:author="Simon Thomsen" w:date="2023-02-20T10:55:00Z" w:initials="ST">
    <w:p w14:paraId="3782EC00" w14:textId="66698FC1" w:rsidR="00BF2693" w:rsidRDefault="00BF2693" w:rsidP="00D063F0">
      <w:pPr>
        <w:pStyle w:val="Kommentartekst"/>
      </w:pPr>
      <w:r>
        <w:rPr>
          <w:rStyle w:val="Kommentarhenvisning"/>
        </w:rPr>
        <w:annotationRef/>
      </w:r>
      <w:r>
        <w:t>Added more citations. (Mostly used the lit review by Andersen)</w:t>
      </w:r>
    </w:p>
  </w:comment>
  <w:comment w:id="5"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6" w:author="Simon Thomsen" w:date="2023-02-21T12:39:00Z" w:initials="ST">
    <w:p w14:paraId="52655BB4" w14:textId="77777777" w:rsidR="00564798" w:rsidRDefault="00564798" w:rsidP="009C2F95">
      <w:pPr>
        <w:pStyle w:val="Kommentartekst"/>
      </w:pPr>
      <w:r>
        <w:rPr>
          <w:rStyle w:val="Kommentarhenvisning"/>
        </w:rPr>
        <w:annotationRef/>
      </w:r>
      <w:r>
        <w:t>added</w:t>
      </w:r>
    </w:p>
  </w:comment>
  <w:comment w:id="7" w:author="Simon Thomsen" w:date="2023-02-21T12:42:00Z" w:initials="ST">
    <w:p w14:paraId="5B1700D4" w14:textId="77777777" w:rsidR="00564798" w:rsidRDefault="00564798" w:rsidP="007C627C">
      <w:pPr>
        <w:pStyle w:val="Kommentartekst"/>
      </w:pPr>
      <w:r>
        <w:rPr>
          <w:rStyle w:val="Kommentarhenvisning"/>
        </w:rPr>
        <w:annotationRef/>
      </w:r>
      <w:r>
        <w:t>Dont know if there should be new lit (the one from 2010)</w:t>
      </w:r>
    </w:p>
  </w:comment>
  <w:comment w:id="8" w:author="Simon Thomsen" w:date="2023-02-21T12:37:00Z" w:initials="ST">
    <w:p w14:paraId="75044DC1" w14:textId="69C866A4" w:rsidR="00564798" w:rsidRDefault="00564798" w:rsidP="00AA6378">
      <w:pPr>
        <w:pStyle w:val="Kommentartekst"/>
      </w:pPr>
      <w:r>
        <w:rPr>
          <w:rStyle w:val="Kommentarhenvisning"/>
        </w:rPr>
        <w:annotationRef/>
      </w:r>
      <w:r>
        <w:t>added</w:t>
      </w:r>
    </w:p>
  </w:comment>
  <w:comment w:id="9" w:author="Simon Thomsen" w:date="2023-02-20T10:41:00Z" w:initials="ST">
    <w:p w14:paraId="688F98A3" w14:textId="6414B4CC" w:rsidR="0058143A" w:rsidRDefault="0058143A" w:rsidP="00675FD6">
      <w:pPr>
        <w:pStyle w:val="Kommentartekst"/>
      </w:pPr>
      <w:r>
        <w:rPr>
          <w:rStyle w:val="Kommentarhenvisning"/>
        </w:rPr>
        <w:annotationRef/>
      </w:r>
      <w:r>
        <w:t xml:space="preserve">(Diamond 1982; Mortensen and Pissarides 1994) </w:t>
      </w:r>
    </w:p>
  </w:comment>
  <w:comment w:id="10"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11"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 xml:space="preserve">assumption of other variables such as, wage adjustment, labour participation rate, and productivity citation: (e.g., see the discussion on micro vs macro effects in Unemployment Insurance and the Labor Market∗ Josef Zweimuller) – In which cases, the macro effects can be larger or smaller than the micro effects should be explain in detail here! </w:t>
      </w:r>
    </w:p>
  </w:comment>
  <w:comment w:id="12"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13"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14" w:author="Simon Thomsen" w:date="2023-02-21T17:53:00Z" w:initials="ST">
    <w:p w14:paraId="3FCEE062" w14:textId="77777777" w:rsidR="00A93A27" w:rsidRDefault="00A93A27" w:rsidP="007D2394">
      <w:pPr>
        <w:pStyle w:val="Kommentartekst"/>
      </w:pPr>
      <w:r>
        <w:rPr>
          <w:rStyle w:val="Kommentarhenvisning"/>
        </w:rPr>
        <w:annotationRef/>
      </w:r>
      <w:r>
        <w:t>(</w:t>
      </w:r>
      <w:r>
        <w:rPr>
          <w:color w:val="FF0000"/>
        </w:rPr>
        <w:t>Here we should conclude the discussion by citing the criticism on the missing macro effects, which authors are those?)</w:t>
      </w:r>
    </w:p>
  </w:comment>
  <w:comment w:id="15" w:author="Simon Thomsen" w:date="2023-02-21T17:53:00Z" w:initials="ST">
    <w:p w14:paraId="5052F089" w14:textId="77777777" w:rsidR="003F3E8F" w:rsidRDefault="00A93A27" w:rsidP="00FF6D56">
      <w:pPr>
        <w:pStyle w:val="Kommentartekst"/>
      </w:pPr>
      <w:r>
        <w:rPr>
          <w:rStyle w:val="Kommentarhenvisning"/>
        </w:rPr>
        <w:annotationRef/>
      </w:r>
      <w:r w:rsidR="003F3E8F">
        <w:t xml:space="preserve">I dont know if we can say DØRS is critizising, as they just explain all possible channels, and then later say that the IS-model is looking at behavioural effects only. </w:t>
      </w:r>
    </w:p>
  </w:comment>
  <w:comment w:id="16" w:author="Simon Fløj Thomsen" w:date="2022-12-21T14:37:00Z" w:initials="SFT">
    <w:p w14:paraId="1D029492" w14:textId="075A9583" w:rsidR="00590467" w:rsidRDefault="00590467" w:rsidP="00AA6F4A">
      <w:pPr>
        <w:pStyle w:val="Kommentartekst"/>
      </w:pPr>
      <w:r>
        <w:rPr>
          <w:rStyle w:val="Kommentarhenvisning"/>
        </w:rPr>
        <w:annotationRef/>
      </w:r>
      <w:r>
        <w:t>Kommer meget pludseligt</w:t>
      </w:r>
    </w:p>
  </w:comment>
  <w:comment w:id="17"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8"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9"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21"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20"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24"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5"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6"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31"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93FB7C" w15:done="0"/>
  <w15:commentEx w15:paraId="377B71E3" w15:paraIdParent="4493FB7C" w15:done="0"/>
  <w15:commentEx w15:paraId="1EE67E30" w15:paraIdParent="4493FB7C" w15:done="0"/>
  <w15:commentEx w15:paraId="6F0A5F43" w15:paraIdParent="4493FB7C" w15:done="0"/>
  <w15:commentEx w15:paraId="3782EC00" w15:done="0"/>
  <w15:commentEx w15:paraId="43298958" w15:done="0"/>
  <w15:commentEx w15:paraId="52655BB4" w15:done="0"/>
  <w15:commentEx w15:paraId="5B1700D4" w15:paraIdParent="52655BB4" w15:done="0"/>
  <w15:commentEx w15:paraId="75044DC1"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3FCEE062" w15:done="0"/>
  <w15:commentEx w15:paraId="5052F089"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F7A38" w16cex:dateUtc="2023-02-21T16:13:00Z"/>
  <w16cex:commentExtensible w16cex:durableId="279F7B8F" w16cex:dateUtc="2023-02-21T16:19:00Z"/>
  <w16cex:commentExtensible w16cex:durableId="279F7C08" w16cex:dateUtc="2023-02-21T16:21:00Z"/>
  <w16cex:commentExtensible w16cex:durableId="279F8204" w16cex:dateUtc="2023-02-21T16:46:00Z"/>
  <w16cex:commentExtensible w16cex:durableId="279DD036" w16cex:dateUtc="2023-02-20T09:55:00Z"/>
  <w16cex:commentExtensible w16cex:durableId="279DB319" w16cex:dateUtc="2023-02-20T07:51:00Z"/>
  <w16cex:commentExtensible w16cex:durableId="279F39FE" w16cex:dateUtc="2023-02-21T11:39:00Z"/>
  <w16cex:commentExtensible w16cex:durableId="279F3AA2" w16cex:dateUtc="2023-02-21T11:42:00Z"/>
  <w16cex:commentExtensible w16cex:durableId="279F3974" w16cex:dateUtc="2023-02-21T11:37: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9F8394" w16cex:dateUtc="2023-02-21T16:53:00Z"/>
  <w16cex:commentExtensible w16cex:durableId="279F8383" w16cex:dateUtc="2023-02-21T16:53: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93FB7C" w16cid:durableId="279F7A38"/>
  <w16cid:commentId w16cid:paraId="377B71E3" w16cid:durableId="279F7B8F"/>
  <w16cid:commentId w16cid:paraId="1EE67E30" w16cid:durableId="279F7C08"/>
  <w16cid:commentId w16cid:paraId="6F0A5F43" w16cid:durableId="279F8204"/>
  <w16cid:commentId w16cid:paraId="3782EC00" w16cid:durableId="279DD036"/>
  <w16cid:commentId w16cid:paraId="43298958" w16cid:durableId="279DB319"/>
  <w16cid:commentId w16cid:paraId="52655BB4" w16cid:durableId="279F39FE"/>
  <w16cid:commentId w16cid:paraId="5B1700D4" w16cid:durableId="279F3AA2"/>
  <w16cid:commentId w16cid:paraId="75044DC1" w16cid:durableId="279F3974"/>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3FCEE062" w16cid:durableId="279F8394"/>
  <w16cid:commentId w16cid:paraId="5052F089" w16cid:durableId="279F8383"/>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0BDB1" w14:textId="77777777" w:rsidR="00597CD0" w:rsidRDefault="00597CD0" w:rsidP="005F6ED0">
      <w:pPr>
        <w:spacing w:after="0" w:line="240" w:lineRule="auto"/>
      </w:pPr>
      <w:r>
        <w:separator/>
      </w:r>
    </w:p>
  </w:endnote>
  <w:endnote w:type="continuationSeparator" w:id="0">
    <w:p w14:paraId="5A7C6E30" w14:textId="77777777" w:rsidR="00597CD0" w:rsidRDefault="00597CD0" w:rsidP="005F6ED0">
      <w:pPr>
        <w:spacing w:after="0" w:line="240" w:lineRule="auto"/>
      </w:pPr>
      <w:r>
        <w:continuationSeparator/>
      </w:r>
    </w:p>
  </w:endnote>
  <w:endnote w:type="continuationNotice" w:id="1">
    <w:p w14:paraId="653D65B0" w14:textId="77777777" w:rsidR="00597CD0" w:rsidRDefault="00597C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F0FAE" w14:textId="77777777" w:rsidR="00597CD0" w:rsidRDefault="00597CD0" w:rsidP="005F6ED0">
      <w:pPr>
        <w:spacing w:after="0" w:line="240" w:lineRule="auto"/>
      </w:pPr>
      <w:r>
        <w:separator/>
      </w:r>
    </w:p>
  </w:footnote>
  <w:footnote w:type="continuationSeparator" w:id="0">
    <w:p w14:paraId="2351C89C" w14:textId="77777777" w:rsidR="00597CD0" w:rsidRDefault="00597CD0" w:rsidP="005F6ED0">
      <w:pPr>
        <w:spacing w:after="0" w:line="240" w:lineRule="auto"/>
      </w:pPr>
      <w:r>
        <w:continuationSeparator/>
      </w:r>
    </w:p>
  </w:footnote>
  <w:footnote w:type="continuationNotice" w:id="1">
    <w:p w14:paraId="29DAE340" w14:textId="77777777" w:rsidR="00597CD0" w:rsidRDefault="00597CD0">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little </w:t>
      </w:r>
      <w:r w:rsidR="00556E2C">
        <w:t>cautions.</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1EB1"/>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06B"/>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C89"/>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36B"/>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3E8F"/>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798"/>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97CD0"/>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3A27"/>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6AA8"/>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581448364">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56</Pages>
  <Words>24088</Words>
  <Characters>137307</Characters>
  <Application>Microsoft Office Word</Application>
  <DocSecurity>0</DocSecurity>
  <Lines>1144</Lines>
  <Paragraphs>322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161073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10</cp:revision>
  <cp:lastPrinted>2022-11-30T09:36:00Z</cp:lastPrinted>
  <dcterms:created xsi:type="dcterms:W3CDTF">2023-02-19T15:24:00Z</dcterms:created>
  <dcterms:modified xsi:type="dcterms:W3CDTF">2023-02-21T16:59:00Z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