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697E4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总控室泄露预案知识要点</w:t>
      </w:r>
    </w:p>
    <w:p w14:paraId="0BC9A344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1.总控室值班员</w:t>
      </w:r>
      <w:r>
        <w:rPr>
          <w:rFonts w:hint="eastAsia" w:ascii="宋体" w:hAnsi="宋体"/>
          <w:sz w:val="24"/>
          <w:szCs w:val="24"/>
          <w:lang w:eastAsia="zh-CN"/>
        </w:rPr>
        <w:t>接到外部报警：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询问事故发生地点、周边环境、有无明显建筑物、标志物。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询问现场情况，有无油品渗漏，有无人员伤亡、</w:t>
      </w:r>
      <w:r>
        <w:rPr>
          <w:rFonts w:hint="eastAsia" w:ascii="宋体" w:hAnsi="宋体"/>
          <w:sz w:val="24"/>
          <w:szCs w:val="24"/>
          <w:lang w:val="en-US" w:eastAsia="zh-CN"/>
        </w:rPr>
        <w:t>有无第三方作业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询问报警人姓名电话，请对方保持电话畅通，会有人尽快与他联系。</w:t>
      </w:r>
    </w:p>
    <w:p w14:paraId="72783F68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向总值班、管道中心、应急办分别报告外部报警情况，并确认是否需要停泵。</w:t>
      </w:r>
    </w:p>
    <w:p w14:paraId="694BF8C0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在管道稳态运行状态下，</w:t>
      </w:r>
      <w:r>
        <w:rPr>
          <w:rFonts w:hint="eastAsia" w:ascii="宋体" w:hAnsi="宋体"/>
          <w:sz w:val="24"/>
          <w:szCs w:val="24"/>
          <w:lang w:val="en-US" w:eastAsia="zh-CN"/>
        </w:rPr>
        <w:t>总控室</w:t>
      </w:r>
      <w:r>
        <w:rPr>
          <w:rFonts w:hint="eastAsia" w:ascii="宋体" w:hAnsi="宋体"/>
          <w:sz w:val="24"/>
          <w:szCs w:val="24"/>
          <w:lang w:eastAsia="zh-CN"/>
        </w:rPr>
        <w:t>人员用泄漏定位系统测算泄漏位置，将定位结果通知管道中心。</w:t>
      </w:r>
    </w:p>
    <w:p w14:paraId="3978E141"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总控室</w:t>
      </w:r>
      <w:r>
        <w:rPr>
          <w:rFonts w:hint="eastAsia" w:ascii="宋体" w:hAnsi="宋体"/>
          <w:sz w:val="24"/>
          <w:szCs w:val="24"/>
          <w:lang w:eastAsia="zh-CN"/>
        </w:rPr>
        <w:t>通知其它相关各站，检查站内现场情况，关注流量压力变化，有情况及时联系。</w:t>
      </w:r>
    </w:p>
    <w:p w14:paraId="4533ED35"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auto"/>
          <w:sz w:val="24"/>
          <w:szCs w:val="24"/>
          <w:lang w:eastAsia="zh-CN"/>
        </w:rPr>
      </w:pPr>
      <w:r>
        <w:rPr>
          <w:rFonts w:hint="eastAsia" w:ascii="宋体" w:hAnsi="宋体"/>
          <w:color w:val="auto"/>
          <w:sz w:val="24"/>
          <w:szCs w:val="24"/>
          <w:lang w:eastAsia="zh-CN"/>
        </w:rPr>
        <w:t>若泄漏软件工作异常状态，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总控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人员根据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一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管道S</w:t>
      </w:r>
      <w:r>
        <w:rPr>
          <w:rFonts w:ascii="宋体" w:hAnsi="宋体"/>
          <w:color w:val="auto"/>
          <w:sz w:val="24"/>
          <w:szCs w:val="24"/>
          <w:lang w:eastAsia="zh-CN"/>
        </w:rPr>
        <w:t>CADA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系统瞬时流量以及压力波动相关报警情况，对工艺趋势进行综合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分析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判断。</w:t>
      </w:r>
    </w:p>
    <w:p w14:paraId="3F6F4534">
      <w:pPr>
        <w:pStyle w:val="5"/>
        <w:numPr>
          <w:numId w:val="0"/>
        </w:numPr>
        <w:spacing w:line="360" w:lineRule="auto"/>
        <w:ind w:leftChars="0"/>
        <w:rPr>
          <w:rFonts w:hint="eastAsia" w:ascii="宋体" w:hAnsi="宋体"/>
          <w:color w:val="auto"/>
          <w:sz w:val="24"/>
          <w:szCs w:val="24"/>
          <w:lang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5.停泵保压情况下，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站场间某段管道出现首末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端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压力同时突降（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3分钟同时降低0</w:t>
      </w:r>
      <w:r>
        <w:rPr>
          <w:rFonts w:ascii="宋体" w:hAnsi="宋体" w:eastAsia="宋体"/>
          <w:color w:val="auto"/>
          <w:sz w:val="24"/>
          <w:szCs w:val="24"/>
          <w:lang w:eastAsia="zh-CN"/>
        </w:rPr>
        <w:t>.0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03</w:t>
      </w:r>
      <w:r>
        <w:rPr>
          <w:rFonts w:ascii="宋体" w:hAnsi="宋体" w:eastAsia="宋体"/>
          <w:color w:val="auto"/>
          <w:sz w:val="24"/>
          <w:szCs w:val="24"/>
          <w:lang w:eastAsia="zh-CN"/>
        </w:rPr>
        <w:t>M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pa，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依据总控室工艺特征图库比对，特别是出现管道泄漏异常图谱时，经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值班人员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复核后，初步判定为管道异常泄漏。</w:t>
      </w:r>
    </w:p>
    <w:p w14:paraId="08C6D05F">
      <w:pPr>
        <w:pStyle w:val="5"/>
        <w:numPr>
          <w:numId w:val="0"/>
        </w:numPr>
        <w:spacing w:line="360" w:lineRule="auto"/>
        <w:ind w:leftChars="0"/>
        <w:rPr>
          <w:rFonts w:hint="eastAsia" w:ascii="宋体" w:hAnsi="宋体"/>
          <w:color w:val="auto"/>
          <w:sz w:val="24"/>
          <w:szCs w:val="24"/>
          <w:lang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6.定位方式为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两个站室之间出站和进站（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某段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管道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首末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端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压力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）同时出现压降情况，或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同时发生压力异常波动，特征点在哪端先变化，则泄漏点距离该端更近，同时选取点的时间差不能超过该段总体负压波传递时间。</w:t>
      </w:r>
    </w:p>
    <w:p w14:paraId="75FA9005">
      <w:pPr>
        <w:pStyle w:val="5"/>
        <w:spacing w:line="360" w:lineRule="auto"/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一线泄漏手动定位公式：X=</w:t>
      </w:r>
      <w:r>
        <w:rPr>
          <w:rFonts w:ascii="宋体" w:hAnsi="宋体" w:cs="宋体"/>
          <w:b/>
          <w:bCs/>
          <w:color w:val="auto"/>
          <w:sz w:val="24"/>
          <w:szCs w:val="24"/>
          <w:lang w:eastAsia="zh-CN"/>
        </w:rPr>
        <w:t>(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△t</w:t>
      </w:r>
      <w:r>
        <w:rPr>
          <w:rFonts w:ascii="宋体" w:hAnsi="宋体" w:cs="宋体"/>
          <w:b/>
          <w:bCs/>
          <w:color w:val="auto"/>
          <w:sz w:val="24"/>
          <w:szCs w:val="24"/>
          <w:lang w:eastAsia="zh-CN"/>
        </w:rPr>
        <w:t>*1.16729+L)/2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；</w:t>
      </w:r>
      <w:r>
        <w:rPr>
          <w:rFonts w:ascii="宋体" w:hAnsi="宋体" w:cs="宋体"/>
          <w:b/>
          <w:bCs/>
          <w:color w:val="auto"/>
          <w:sz w:val="24"/>
          <w:szCs w:val="24"/>
          <w:lang w:eastAsia="zh-CN"/>
        </w:rPr>
        <w:t>X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—泄漏点距离先出现异常波动阀室的公里数; 1.1</w:t>
      </w:r>
      <w:r>
        <w:rPr>
          <w:rFonts w:ascii="宋体" w:hAnsi="宋体" w:cs="宋体"/>
          <w:b/>
          <w:bCs/>
          <w:color w:val="auto"/>
          <w:sz w:val="24"/>
          <w:szCs w:val="24"/>
          <w:lang w:eastAsia="zh-CN"/>
        </w:rPr>
        <w:t>6729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 xml:space="preserve">km/s—压力波速手动计算值;  △t—首端时间差 </w:t>
      </w:r>
    </w:p>
    <w:p w14:paraId="00393569">
      <w:pPr>
        <w:pStyle w:val="5"/>
        <w:spacing w:line="360" w:lineRule="auto"/>
        <w:jc w:val="both"/>
        <w:rPr>
          <w:rFonts w:hint="eastAsia" w:ascii="宋体" w:hAnsi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8.总控室值班员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将异常情况及定位结果以录音值班电话形式上报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相关领导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不可微信或短信上报，并做好值班记录。</w:t>
      </w:r>
    </w:p>
    <w:p w14:paraId="61DD3454">
      <w:pPr>
        <w:spacing w:line="360" w:lineRule="auto"/>
        <w:jc w:val="both"/>
        <w:rPr>
          <w:rFonts w:hint="eastAsia" w:ascii="宋体" w:hAnsi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9.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一、二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线停输保压期间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加强上位机巡检。确保相关趋势监控画面实时更新。</w:t>
      </w:r>
    </w:p>
    <w:p w14:paraId="0E4A2BEE">
      <w:pPr>
        <w:spacing w:line="360" w:lineRule="auto"/>
        <w:rPr>
          <w:rFonts w:hint="eastAsia" w:ascii="宋体" w:hAnsi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10.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每日在交接班时，接班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总控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交班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人员对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2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4小时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保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压或稳态输油工况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下的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压力、流量（输油稳态）进行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设定区间为20分钟采样时间为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1秒的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趋势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复核检查，发现问题及时报告。</w:t>
      </w:r>
    </w:p>
    <w:p w14:paraId="0C47384F">
      <w:pPr>
        <w:pStyle w:val="5"/>
        <w:spacing w:line="360" w:lineRule="auto"/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11.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>二线泄漏手动定位公式：（阀室间距离-X）/1.178 -（X/1.178）=△t；</w:t>
      </w:r>
    </w:p>
    <w:p w14:paraId="3A53AA53">
      <w:pPr>
        <w:pStyle w:val="5"/>
        <w:spacing w:line="360" w:lineRule="auto"/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eastAsia="zh-CN"/>
        </w:rPr>
        <w:t xml:space="preserve">X——泄漏点距离先出现异常波动阀室的公里数; 1.178km/s：压力波速手动计算值;   △t——阀室波动秒数差 </w:t>
      </w:r>
    </w:p>
    <w:p w14:paraId="741A4405">
      <w:pPr>
        <w:numPr>
          <w:ilvl w:val="0"/>
          <w:numId w:val="2"/>
        </w:numPr>
        <w:spacing w:line="360" w:lineRule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二线</w:t>
      </w:r>
      <w:r>
        <w:rPr>
          <w:rFonts w:hint="eastAsia" w:ascii="宋体" w:hAnsi="宋体"/>
          <w:b w:val="0"/>
          <w:bCs w:val="0"/>
          <w:color w:val="auto"/>
          <w:sz w:val="24"/>
          <w:szCs w:val="24"/>
          <w:lang w:eastAsia="zh-CN"/>
        </w:rPr>
        <w:t>停输期间，上位机画面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eastAsia="zh-CN"/>
        </w:rPr>
        <w:t>切换至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600段各阀室压力温度趋势、500段各阀室压力温度趋势和二线管线总貌图以及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600段和500段泄漏压力趋势界面，并将压力点位进行相应放大，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以便及时发现异常进行快速处置。</w:t>
      </w:r>
    </w:p>
    <w:p w14:paraId="719D3495">
      <w:pPr>
        <w:numPr>
          <w:ilvl w:val="0"/>
          <w:numId w:val="2"/>
        </w:numPr>
        <w:spacing w:line="360" w:lineRule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发现泄漏向上级领导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汇报内容需统一规范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：“您好，调控中心总控室X时X分发现一线（二线）在X号阀室至X号阀室之间，出现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压力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异常波形，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判断出现泄漏点，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经过手动定位计算，初步确定泄漏位置位于距X号阀室向X号阀室方向多少到多少公里范围内。”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且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不可微信或短信上报。</w:t>
      </w:r>
    </w:p>
    <w:p w14:paraId="5E2209FB">
      <w:pPr>
        <w:spacing w:line="360" w:lineRule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</w:p>
    <w:p w14:paraId="291406DD">
      <w:pPr>
        <w:spacing w:line="360" w:lineRule="auto"/>
        <w:rPr>
          <w:rFonts w:hint="eastAsia" w:ascii="宋体" w:hAnsi="宋体"/>
          <w:color w:val="auto"/>
          <w:sz w:val="24"/>
          <w:szCs w:val="24"/>
          <w:lang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14.发生泄漏后总控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人员接打电话一律使用录音电话，填写电话记录字迹清楚详细，事发时间情况做好记录，相关参数与报警事后截屏保存。</w:t>
      </w:r>
    </w:p>
    <w:p w14:paraId="54567FF8">
      <w:pPr>
        <w:numPr>
          <w:numId w:val="0"/>
        </w:numPr>
        <w:spacing w:line="360" w:lineRule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 xml:space="preserve"> </w:t>
      </w:r>
    </w:p>
    <w:p w14:paraId="0C9D6D3B">
      <w:pPr>
        <w:pStyle w:val="5"/>
        <w:spacing w:line="360" w:lineRule="auto"/>
        <w:rPr>
          <w:rFonts w:hint="default" w:ascii="宋体" w:hAnsi="宋体" w:cs="宋体"/>
          <w:b/>
          <w:bCs/>
          <w:color w:val="auto"/>
          <w:sz w:val="24"/>
          <w:szCs w:val="24"/>
          <w:lang w:val="en-US" w:eastAsia="zh-CN"/>
        </w:rPr>
      </w:pPr>
    </w:p>
    <w:p w14:paraId="4362CE56">
      <w:pPr>
        <w:spacing w:line="360" w:lineRule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</w:p>
    <w:p w14:paraId="49A841CE">
      <w:pPr>
        <w:spacing w:line="360" w:lineRule="auto"/>
        <w:jc w:val="both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</w:p>
    <w:p w14:paraId="25655A36">
      <w:pPr>
        <w:pStyle w:val="5"/>
        <w:spacing w:line="360" w:lineRule="auto"/>
        <w:jc w:val="both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</w:p>
    <w:p w14:paraId="4932F8CD">
      <w:pPr>
        <w:pStyle w:val="5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</w:p>
    <w:p w14:paraId="39A2C4F3">
      <w:pPr>
        <w:pStyle w:val="5"/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</w:p>
    <w:p w14:paraId="4C0C1DAA"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FF0000"/>
          <w:sz w:val="24"/>
          <w:szCs w:val="24"/>
          <w:lang w:eastAsia="zh-CN"/>
        </w:rPr>
      </w:pPr>
    </w:p>
    <w:p w14:paraId="427F8A91"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82FC4"/>
    <w:multiLevelType w:val="singleLevel"/>
    <w:tmpl w:val="E6D82F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E8B41E"/>
    <w:multiLevelType w:val="singleLevel"/>
    <w:tmpl w:val="31E8B41E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zMyMmVmZDc2ZWMxNmQ3YjFlODFkODI5ZGMxMjcifQ=="/>
  </w:docVars>
  <w:rsids>
    <w:rsidRoot w:val="6BD97135"/>
    <w:rsid w:val="0D4E3564"/>
    <w:rsid w:val="101E3DAE"/>
    <w:rsid w:val="118500A2"/>
    <w:rsid w:val="467851AB"/>
    <w:rsid w:val="554A42CB"/>
    <w:rsid w:val="6639016F"/>
    <w:rsid w:val="663920D1"/>
    <w:rsid w:val="69405AA8"/>
    <w:rsid w:val="6BD97135"/>
    <w:rsid w:val="719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7"/>
    </w:pPr>
    <w:rPr>
      <w:rFonts w:ascii="楷体" w:hAnsi="楷体" w:eastAsia="楷体"/>
      <w:sz w:val="21"/>
      <w:szCs w:val="21"/>
    </w:rPr>
  </w:style>
  <w:style w:type="paragraph" w:styleId="5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1216</Words>
  <Characters>1302</Characters>
  <Lines>0</Lines>
  <Paragraphs>0</Paragraphs>
  <TotalTime>6</TotalTime>
  <ScaleCrop>false</ScaleCrop>
  <LinksUpToDate>false</LinksUpToDate>
  <CharactersWithSpaces>1313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2024-11-05T08:35:00Z</dcterms:created>
  <dc:creator>印印儿</dc:creator>
  <cp:lastModifiedBy>印印儿</cp:lastModifiedBy>
  <dcterms:modified xsi:type="dcterms:W3CDTF">2024-11-27T08:30:50Z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723596ED45C94B019E81AACAAA96D9C0_11</vt:lpwstr>
  </property>
</Properties>
</file>