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697E4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总控室泄露预案知识要点</w:t>
      </w:r>
    </w:p>
    <w:p w14:paraId="0BC9A344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1.总控室值班员</w:t>
      </w:r>
      <w:r>
        <w:rPr>
          <w:rFonts w:hint="eastAsia" w:ascii="宋体" w:hAnsi="宋体"/>
          <w:sz w:val="24"/>
          <w:szCs w:val="24"/>
          <w:lang w:eastAsia="zh-CN"/>
        </w:rPr>
        <w:t>接到外部报警：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询问事故发生地点、周边环境、有无明显建筑物、标志物。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询问现场情况，有无油品渗漏，有无人员伤亡、</w:t>
      </w:r>
      <w:r>
        <w:rPr>
          <w:rFonts w:hint="eastAsia" w:ascii="宋体" w:hAnsi="宋体"/>
          <w:sz w:val="24"/>
          <w:szCs w:val="24"/>
          <w:lang w:val="en-US" w:eastAsia="zh-CN"/>
        </w:rPr>
        <w:t>有无第三方作业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询问报警人姓名电话，请对方保持电话畅通，会有人尽快与他联系。</w:t>
      </w:r>
    </w:p>
    <w:p w14:paraId="72783F68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需要</w:t>
      </w:r>
      <w:r>
        <w:rPr>
          <w:rFonts w:hint="eastAsia" w:ascii="宋体" w:hAnsi="宋体"/>
          <w:sz w:val="24"/>
          <w:szCs w:val="24"/>
          <w:lang w:eastAsia="zh-CN"/>
        </w:rPr>
        <w:t>向总值班、管道中心、应急办分别报告外部报警情况，并确认是否需要停泵。</w:t>
      </w:r>
    </w:p>
    <w:p w14:paraId="694BF8C0">
      <w:pPr>
        <w:spacing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在管道稳态运行状态下，</w:t>
      </w:r>
      <w:r>
        <w:rPr>
          <w:rFonts w:hint="eastAsia" w:ascii="宋体" w:hAnsi="宋体"/>
          <w:sz w:val="24"/>
          <w:szCs w:val="24"/>
          <w:lang w:val="en-US" w:eastAsia="zh-CN"/>
        </w:rPr>
        <w:t>总控室</w:t>
      </w:r>
      <w:r>
        <w:rPr>
          <w:rFonts w:hint="eastAsia" w:ascii="宋体" w:hAnsi="宋体"/>
          <w:sz w:val="24"/>
          <w:szCs w:val="24"/>
          <w:lang w:eastAsia="zh-CN"/>
        </w:rPr>
        <w:t>人员用泄漏定位系统测算泄漏位置，将定位结果通知管道中心。</w:t>
      </w:r>
    </w:p>
    <w:p w14:paraId="3978E141"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总控室</w:t>
      </w:r>
      <w:r>
        <w:rPr>
          <w:rFonts w:hint="eastAsia" w:ascii="宋体" w:hAnsi="宋体"/>
          <w:sz w:val="24"/>
          <w:szCs w:val="24"/>
          <w:lang w:eastAsia="zh-CN"/>
        </w:rPr>
        <w:t>通知其它相关各站，检查站内现场情况，关注流量压力变化，有情况及时联系。</w:t>
      </w:r>
    </w:p>
    <w:p w14:paraId="0AE7FCBD"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color w:val="FF0000"/>
          <w:sz w:val="24"/>
          <w:szCs w:val="24"/>
          <w:lang w:eastAsia="zh-CN"/>
        </w:rPr>
        <w:t>若泄漏软件工作异常状态，C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/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D岗人员根据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管道S</w:t>
      </w:r>
      <w:r>
        <w:rPr>
          <w:rFonts w:ascii="宋体" w:hAnsi="宋体"/>
          <w:color w:val="FF0000"/>
          <w:sz w:val="24"/>
          <w:szCs w:val="24"/>
          <w:lang w:eastAsia="zh-CN"/>
        </w:rPr>
        <w:t>CADA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系统瞬时流量以及压力波动相关报警情况，对工艺趋势进行综合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分析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判断。</w:t>
      </w:r>
    </w:p>
    <w:p w14:paraId="4E3EB909"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color w:val="FF0000"/>
          <w:sz w:val="24"/>
          <w:szCs w:val="24"/>
          <w:lang w:eastAsia="zh-CN"/>
        </w:rPr>
      </w:pPr>
      <w:r>
        <w:rPr>
          <w:rFonts w:hint="eastAsia" w:ascii="宋体" w:hAnsi="宋体"/>
          <w:color w:val="FF0000"/>
          <w:sz w:val="24"/>
          <w:szCs w:val="24"/>
          <w:lang w:eastAsia="zh-CN"/>
        </w:rPr>
        <w:t>管道处于输油稳态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状态下的条件为三个：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即时批次负损益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超过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2‰；首站减末站为负值；站场间某段管道出现首末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端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压力同时突降。</w:t>
      </w:r>
    </w:p>
    <w:p w14:paraId="3F6F4534"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color w:val="FF0000"/>
          <w:sz w:val="24"/>
          <w:szCs w:val="24"/>
          <w:lang w:eastAsia="zh-CN"/>
        </w:rPr>
      </w:pP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停泵保压情况下，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站场间某段管道出现首末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端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压力同时突降（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3分钟同时降低0</w:t>
      </w:r>
      <w:r>
        <w:rPr>
          <w:rFonts w:ascii="宋体" w:hAnsi="宋体" w:eastAsia="宋体"/>
          <w:color w:val="FF0000"/>
          <w:sz w:val="24"/>
          <w:szCs w:val="24"/>
          <w:lang w:eastAsia="zh-CN"/>
        </w:rPr>
        <w:t>.0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03</w:t>
      </w:r>
      <w:r>
        <w:rPr>
          <w:rFonts w:ascii="宋体" w:hAnsi="宋体" w:eastAsia="宋体"/>
          <w:color w:val="FF0000"/>
          <w:sz w:val="24"/>
          <w:szCs w:val="24"/>
          <w:lang w:eastAsia="zh-CN"/>
        </w:rPr>
        <w:t>M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pa，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依据总控室工艺特征图库比对，特别是出现管道泄漏异常图谱时，经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值班人员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复核后，初步判定为管道异常泄漏。</w:t>
      </w:r>
    </w:p>
    <w:p w14:paraId="08C6D05F"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color w:val="FF0000"/>
          <w:sz w:val="24"/>
          <w:szCs w:val="24"/>
          <w:lang w:eastAsia="zh-CN"/>
        </w:rPr>
      </w:pP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定位方式为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两个站室之间出站和进站（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某段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管道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首末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端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压力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）同时出现压降情况，或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同时发生压力异常波动，特征点在哪端先变化，则泄漏点距离该端更近，同时选取点的时间差不能超过该段总体负压波传递时间。</w:t>
      </w:r>
    </w:p>
    <w:p w14:paraId="75FA9005">
      <w:pPr>
        <w:pStyle w:val="5"/>
        <w:spacing w:line="360" w:lineRule="auto"/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7.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一线泄漏手动定位公式：X=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>(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△t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>*1.16729+L)/2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；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>X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—泄漏点距离先出现异常波动阀室的公里数; 1.1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>6729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 xml:space="preserve">km/s—压力波速手动计算值;  △t—首端时间差 </w:t>
      </w:r>
    </w:p>
    <w:p w14:paraId="00393569">
      <w:pPr>
        <w:pStyle w:val="5"/>
        <w:spacing w:line="360" w:lineRule="auto"/>
        <w:jc w:val="both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8.总控室值班员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将异常情况及定位结果以录音值班电话形式上报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相关领导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不可微信或短信上报，并做好值班记录。</w:t>
      </w:r>
    </w:p>
    <w:p w14:paraId="61DD3454">
      <w:pPr>
        <w:spacing w:line="360" w:lineRule="auto"/>
        <w:jc w:val="both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9.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一、二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线停输保压期间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加强上位机巡检。确保相关趋势监控画面实时更新。</w:t>
      </w:r>
    </w:p>
    <w:p w14:paraId="0E4A2BEE">
      <w:pPr>
        <w:spacing w:line="360" w:lineRule="auto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10.</w:t>
      </w:r>
      <w:r>
        <w:rPr>
          <w:rFonts w:hint="eastAsia" w:ascii="宋体" w:hAnsi="宋体" w:cs="宋体"/>
          <w:color w:val="1F497D"/>
          <w:sz w:val="24"/>
          <w:szCs w:val="24"/>
          <w:lang w:eastAsia="zh-CN"/>
        </w:rPr>
        <w:t>每日在交接班时，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接班C岗人员与交班C岗人员对</w:t>
      </w:r>
      <w:r>
        <w:rPr>
          <w:rFonts w:hint="eastAsia" w:ascii="宋体" w:hAnsi="宋体" w:cs="宋体"/>
          <w:color w:val="FF0000"/>
          <w:sz w:val="24"/>
          <w:szCs w:val="24"/>
          <w:highlight w:val="yellow"/>
          <w:lang w:eastAsia="zh-CN"/>
        </w:rPr>
        <w:t>2</w:t>
      </w:r>
      <w:r>
        <w:rPr>
          <w:rFonts w:hint="eastAsia" w:ascii="宋体" w:hAnsi="宋体" w:cs="宋体"/>
          <w:color w:val="FF0000"/>
          <w:sz w:val="24"/>
          <w:szCs w:val="24"/>
          <w:highlight w:val="yellow"/>
          <w:lang w:val="en-US" w:eastAsia="zh-CN"/>
        </w:rPr>
        <w:t>4小时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保压或稳态输油工况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下的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压力、流量（输油稳态）进行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设定区间为20分钟采样时间为</w:t>
      </w:r>
      <w:r>
        <w:rPr>
          <w:rFonts w:hint="eastAsia" w:ascii="宋体" w:hAnsi="宋体" w:cs="宋体"/>
          <w:color w:val="FF0000"/>
          <w:sz w:val="24"/>
          <w:szCs w:val="24"/>
          <w:highlight w:val="yellow"/>
          <w:lang w:eastAsia="zh-CN"/>
        </w:rPr>
        <w:t>1秒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趋势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复核检查，发现问题及时报告。</w:t>
      </w:r>
    </w:p>
    <w:p w14:paraId="0C47384F">
      <w:pPr>
        <w:pStyle w:val="5"/>
        <w:spacing w:line="360" w:lineRule="auto"/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11.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二线泄漏手动定位公式：（阀室间距离-X）/1.178 -（X/1.178）=△t；</w:t>
      </w:r>
    </w:p>
    <w:p w14:paraId="3A53AA53">
      <w:pPr>
        <w:pStyle w:val="5"/>
        <w:spacing w:line="360" w:lineRule="auto"/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 xml:space="preserve">X——泄漏点距离先出现异常波动阀室的公里数; 1.178km/s：压力波速手动计算值;   △t——阀室波动秒数差 </w:t>
      </w:r>
    </w:p>
    <w:p w14:paraId="54567FF8">
      <w:pPr>
        <w:numPr>
          <w:ilvl w:val="0"/>
          <w:numId w:val="2"/>
        </w:numPr>
        <w:spacing w:line="360" w:lineRule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二线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停输期间，上位机画面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eastAsia="zh-CN"/>
        </w:rPr>
        <w:t>切换至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600段各阀室压力温度趋势、500段各阀室压力温度趋势和二线管线总貌图以及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600段和500段泄漏压力趋势界面，并将压力点位进行相应放大，</w:t>
      </w:r>
      <w:r>
        <w:rPr>
          <w:rFonts w:hint="eastAsia" w:ascii="宋体" w:hAnsi="宋体"/>
          <w:color w:val="auto"/>
          <w:sz w:val="24"/>
          <w:szCs w:val="24"/>
          <w:lang w:eastAsia="zh-CN"/>
        </w:rPr>
        <w:t>以便及时发现异常进行快速处置。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 xml:space="preserve"> </w:t>
      </w:r>
    </w:p>
    <w:p w14:paraId="3EE524D8"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当稳态输油瞬时流量差超过3吨/小时，批次实时流量差（体积、质量）出现负损益超过2‰，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此为总控</w:t>
      </w:r>
      <w:r>
        <w:rPr>
          <w:rFonts w:hint="eastAsia" w:ascii="宋体" w:hAnsi="宋体" w:eastAsia="宋体"/>
          <w:sz w:val="24"/>
          <w:szCs w:val="24"/>
          <w:lang w:eastAsia="zh-CN"/>
        </w:rPr>
        <w:t>三级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泄漏</w:t>
      </w:r>
      <w:r>
        <w:rPr>
          <w:rFonts w:hint="eastAsia" w:ascii="宋体" w:hAnsi="宋体" w:eastAsia="宋体"/>
          <w:sz w:val="24"/>
          <w:szCs w:val="24"/>
          <w:lang w:eastAsia="zh-CN"/>
        </w:rPr>
        <w:t>响应。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若持续异常5分钟，以及某点首末段压力同时呈现突降的明显特征点时，则上升为二</w:t>
      </w:r>
      <w:r>
        <w:rPr>
          <w:rFonts w:ascii="宋体" w:hAnsi="宋体" w:eastAsia="宋体"/>
          <w:color w:val="FF0000"/>
          <w:sz w:val="24"/>
          <w:szCs w:val="24"/>
          <w:lang w:eastAsia="zh-CN"/>
        </w:rPr>
        <w:t>级响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应。</w:t>
      </w:r>
    </w:p>
    <w:p w14:paraId="5562B6D8">
      <w:pPr>
        <w:pStyle w:val="5"/>
        <w:spacing w:line="360" w:lineRule="auto"/>
        <w:rPr>
          <w:rFonts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当瞬时流量差超过5吨/h，批次实时流量差（体积、质量）出现负损益超过4‰，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此为总控</w:t>
      </w:r>
      <w:r>
        <w:rPr>
          <w:rFonts w:hint="eastAsia" w:ascii="宋体" w:hAnsi="宋体" w:eastAsia="宋体"/>
          <w:sz w:val="24"/>
          <w:szCs w:val="24"/>
          <w:lang w:eastAsia="zh-CN"/>
        </w:rPr>
        <w:t>二</w:t>
      </w:r>
      <w:r>
        <w:rPr>
          <w:rFonts w:ascii="宋体" w:hAnsi="宋体" w:eastAsia="宋体"/>
          <w:sz w:val="24"/>
          <w:szCs w:val="24"/>
          <w:lang w:eastAsia="zh-CN"/>
        </w:rPr>
        <w:t>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泄漏</w:t>
      </w:r>
      <w:r>
        <w:rPr>
          <w:rFonts w:ascii="宋体" w:hAnsi="宋体" w:eastAsia="宋体"/>
          <w:sz w:val="24"/>
          <w:szCs w:val="24"/>
          <w:lang w:eastAsia="zh-CN"/>
        </w:rPr>
        <w:t>响应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eastAsia="zh-CN"/>
        </w:rPr>
        <w:t>如</w:t>
      </w:r>
      <w:r>
        <w:rPr>
          <w:rFonts w:ascii="宋体" w:hAnsi="宋体"/>
          <w:color w:val="FF0000"/>
          <w:sz w:val="24"/>
          <w:szCs w:val="24"/>
          <w:lang w:eastAsia="zh-CN"/>
        </w:rPr>
        <w:t>30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分钟以内，首末端压力同时持续下降，且存在多组明显特征点时，则上升为一</w:t>
      </w:r>
      <w:r>
        <w:rPr>
          <w:rFonts w:ascii="宋体" w:hAnsi="宋体"/>
          <w:color w:val="FF0000"/>
          <w:sz w:val="24"/>
          <w:szCs w:val="24"/>
          <w:lang w:eastAsia="zh-CN"/>
        </w:rPr>
        <w:t>级响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应。</w:t>
      </w:r>
    </w:p>
    <w:p w14:paraId="137A5069"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当稳态输油瞬时流量差超过5吨/h，批次实时流量差（体积、质量）出现负损益超过6‰，或稳态输油或停输保压后，某段管道出现分段压力（进出）同时持续下降，（3分钟同时降低超过0.003Mpa）并持续异常5分钟，且存在多组明显特征点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此为总控一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泄漏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响应。</w:t>
      </w:r>
      <w:bookmarkStart w:id="0" w:name="_GoBack"/>
      <w:bookmarkEnd w:id="0"/>
    </w:p>
    <w:p w14:paraId="193606E8">
      <w:pPr>
        <w:pStyle w:val="2"/>
        <w:spacing w:line="360" w:lineRule="auto"/>
        <w:ind w:left="0"/>
        <w:jc w:val="both"/>
        <w:rPr>
          <w:rFonts w:hint="default" w:ascii="宋体" w:hAnsi="宋体"/>
          <w:color w:val="auto"/>
          <w:sz w:val="24"/>
          <w:szCs w:val="24"/>
          <w:lang w:val="en-US" w:eastAsia="zh-CN"/>
        </w:rPr>
      </w:pPr>
    </w:p>
    <w:p w14:paraId="0C9D6D3B">
      <w:pPr>
        <w:pStyle w:val="5"/>
        <w:spacing w:line="360" w:lineRule="auto"/>
        <w:rPr>
          <w:rFonts w:hint="default" w:ascii="宋体" w:hAnsi="宋体" w:cs="宋体"/>
          <w:b/>
          <w:bCs/>
          <w:color w:val="auto"/>
          <w:sz w:val="24"/>
          <w:szCs w:val="24"/>
          <w:lang w:val="en-US" w:eastAsia="zh-CN"/>
        </w:rPr>
      </w:pPr>
    </w:p>
    <w:p w14:paraId="4362CE56">
      <w:pPr>
        <w:spacing w:line="360" w:lineRule="auto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</w:p>
    <w:p w14:paraId="49A841CE">
      <w:pPr>
        <w:spacing w:line="360" w:lineRule="auto"/>
        <w:jc w:val="both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</w:p>
    <w:p w14:paraId="25655A36">
      <w:pPr>
        <w:pStyle w:val="5"/>
        <w:spacing w:line="360" w:lineRule="auto"/>
        <w:jc w:val="both"/>
        <w:rPr>
          <w:rFonts w:hint="default" w:ascii="宋体" w:hAnsi="宋体" w:cs="宋体"/>
          <w:color w:val="FF0000"/>
          <w:sz w:val="24"/>
          <w:szCs w:val="24"/>
          <w:lang w:val="en-US" w:eastAsia="zh-CN"/>
        </w:rPr>
      </w:pPr>
    </w:p>
    <w:p w14:paraId="4932F8CD">
      <w:pPr>
        <w:pStyle w:val="5"/>
        <w:numPr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b/>
          <w:bCs/>
          <w:color w:val="FF0000"/>
          <w:sz w:val="24"/>
          <w:szCs w:val="24"/>
          <w:lang w:val="en-US" w:eastAsia="zh-CN"/>
        </w:rPr>
      </w:pPr>
    </w:p>
    <w:p w14:paraId="39A2C4F3">
      <w:pPr>
        <w:pStyle w:val="5"/>
        <w:numPr>
          <w:numId w:val="0"/>
        </w:numPr>
        <w:spacing w:line="360" w:lineRule="auto"/>
        <w:ind w:leftChars="0"/>
        <w:jc w:val="both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</w:p>
    <w:p w14:paraId="4C0C1DAA">
      <w:pPr>
        <w:pStyle w:val="5"/>
        <w:numPr>
          <w:numId w:val="0"/>
        </w:numPr>
        <w:spacing w:line="360" w:lineRule="auto"/>
        <w:ind w:leftChars="0"/>
        <w:rPr>
          <w:rFonts w:hint="eastAsia" w:ascii="宋体" w:hAnsi="宋体"/>
          <w:color w:val="FF0000"/>
          <w:sz w:val="24"/>
          <w:szCs w:val="24"/>
          <w:lang w:eastAsia="zh-CN"/>
        </w:rPr>
      </w:pPr>
    </w:p>
    <w:p w14:paraId="427F8A91"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82FC4"/>
    <w:multiLevelType w:val="singleLevel"/>
    <w:tmpl w:val="E6D82F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E8B41E"/>
    <w:multiLevelType w:val="singleLevel"/>
    <w:tmpl w:val="31E8B41E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zMyMmVmZDc2ZWMxNmQ3YjFlODFkODI5ZGMxMjcifQ=="/>
  </w:docVars>
  <w:rsids>
    <w:rsidRoot w:val="6BD97135"/>
    <w:rsid w:val="6BD9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7"/>
    </w:pPr>
    <w:rPr>
      <w:rFonts w:ascii="楷体" w:hAnsi="楷体" w:eastAsia="楷体"/>
      <w:sz w:val="21"/>
      <w:szCs w:val="21"/>
    </w:rPr>
  </w:style>
  <w:style w:type="paragraph" w:styleId="5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2024-11-05T08:35:00Z</dcterms:created>
  <dc:creator>印印儿</dc:creator>
  <cp:lastModifiedBy>印印儿</cp:lastModifiedBy>
  <dcterms:modified xsi:type="dcterms:W3CDTF">2024-11-05T10:59:20Z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723596ED45C94B019E81AACAAA96D9C0_11</vt:lpwstr>
  </property>
</Properties>
</file>